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83460" w14:textId="77777777" w:rsidR="00F533B2" w:rsidRPr="00F533B2" w:rsidRDefault="00F533B2" w:rsidP="00F533B2">
      <w:pPr>
        <w:pStyle w:val="DefaultText"/>
        <w:widowControl/>
        <w:jc w:val="center"/>
        <w:rPr>
          <w:rFonts w:ascii="Arial" w:hAnsi="Arial" w:cs="Arial"/>
          <w:sz w:val="22"/>
          <w:szCs w:val="22"/>
        </w:rPr>
      </w:pPr>
      <w:r w:rsidRPr="00F533B2">
        <w:rPr>
          <w:rFonts w:ascii="Arial" w:hAnsi="Arial" w:cs="Arial"/>
          <w:sz w:val="22"/>
          <w:szCs w:val="22"/>
        </w:rPr>
        <w:t>This form is to be completed as part of the application process.  The contract will be compared with the form and the applicant contacted if there are any questions or further clarification is needed.</w:t>
      </w:r>
    </w:p>
    <w:p w14:paraId="1B3E1DA5" w14:textId="77777777" w:rsidR="00F533B2" w:rsidRPr="00A906F1" w:rsidRDefault="00F533B2" w:rsidP="00F533B2">
      <w:pPr>
        <w:pStyle w:val="DefaultText"/>
        <w:widowControl/>
        <w:jc w:val="center"/>
        <w:rPr>
          <w:rFonts w:ascii="Arial" w:hAnsi="Arial" w:cs="Arial"/>
          <w:b/>
          <w:sz w:val="22"/>
          <w:szCs w:val="22"/>
        </w:rPr>
      </w:pPr>
      <w:r w:rsidRPr="00A906F1">
        <w:rPr>
          <w:rFonts w:ascii="Arial" w:hAnsi="Arial" w:cs="Arial"/>
          <w:b/>
          <w:sz w:val="22"/>
          <w:szCs w:val="22"/>
        </w:rPr>
        <w:t>This information is required pursuant to Title 24-A M.R.S.A. Chapter 16 §1494</w:t>
      </w:r>
    </w:p>
    <w:p w14:paraId="39040375" w14:textId="77777777" w:rsidR="00F533B2" w:rsidRDefault="00F533B2" w:rsidP="00364EA7">
      <w:pPr>
        <w:pStyle w:val="DefaultText"/>
        <w:widowControl/>
        <w:jc w:val="both"/>
        <w:rPr>
          <w:rFonts w:ascii="Arial" w:hAnsi="Arial" w:cs="Arial"/>
          <w:sz w:val="22"/>
          <w:szCs w:val="22"/>
        </w:rPr>
      </w:pPr>
    </w:p>
    <w:p w14:paraId="6A05620A" w14:textId="77777777" w:rsidR="0075549E" w:rsidRPr="003F567F" w:rsidRDefault="0075549E" w:rsidP="00364EA7">
      <w:pPr>
        <w:pStyle w:val="DefaultText"/>
        <w:widowControl/>
        <w:jc w:val="both"/>
        <w:rPr>
          <w:rFonts w:ascii="Arial" w:hAnsi="Arial" w:cs="Arial"/>
          <w:sz w:val="22"/>
          <w:szCs w:val="22"/>
          <w:u w:val="single"/>
        </w:rPr>
      </w:pPr>
      <w:r w:rsidRPr="003F567F">
        <w:rPr>
          <w:rFonts w:ascii="Arial" w:hAnsi="Arial" w:cs="Arial"/>
          <w:sz w:val="22"/>
          <w:szCs w:val="22"/>
        </w:rPr>
        <w:t>Contract between</w:t>
      </w:r>
      <w:r w:rsidRPr="00360F8E">
        <w:rPr>
          <w:rFonts w:ascii="Arial" w:hAnsi="Arial" w:cs="Arial"/>
          <w:sz w:val="22"/>
          <w:szCs w:val="22"/>
          <w:u w:val="single"/>
        </w:rPr>
        <w:t xml:space="preserve"> </w:t>
      </w:r>
      <w:r w:rsidR="00360F8E" w:rsidRPr="00360F8E">
        <w:rPr>
          <w:rFonts w:ascii="Arial" w:hAnsi="Arial" w:cs="Arial"/>
          <w:sz w:val="22"/>
          <w:szCs w:val="22"/>
          <w:u w:val="single"/>
        </w:rPr>
        <w:tab/>
      </w:r>
      <w:r w:rsidR="00360F8E" w:rsidRPr="00360F8E">
        <w:rPr>
          <w:rFonts w:ascii="Arial" w:hAnsi="Arial" w:cs="Arial"/>
          <w:sz w:val="22"/>
          <w:szCs w:val="22"/>
          <w:u w:val="single"/>
        </w:rPr>
        <w:tab/>
      </w:r>
      <w:r w:rsidR="00360F8E" w:rsidRPr="00360F8E">
        <w:rPr>
          <w:rFonts w:ascii="Arial" w:hAnsi="Arial" w:cs="Arial"/>
          <w:sz w:val="22"/>
          <w:szCs w:val="22"/>
          <w:u w:val="single"/>
        </w:rPr>
        <w:tab/>
      </w:r>
      <w:r w:rsidR="00360F8E" w:rsidRPr="00360F8E">
        <w:rPr>
          <w:rFonts w:ascii="Arial" w:hAnsi="Arial" w:cs="Arial"/>
          <w:sz w:val="22"/>
          <w:szCs w:val="22"/>
          <w:u w:val="single"/>
        </w:rPr>
        <w:tab/>
      </w:r>
      <w:r w:rsidR="00360F8E" w:rsidRPr="00360F8E">
        <w:rPr>
          <w:rFonts w:ascii="Arial" w:hAnsi="Arial" w:cs="Arial"/>
          <w:sz w:val="22"/>
          <w:szCs w:val="22"/>
          <w:u w:val="single"/>
        </w:rPr>
        <w:tab/>
      </w:r>
      <w:r w:rsidR="00360F8E" w:rsidRPr="00360F8E">
        <w:rPr>
          <w:rFonts w:ascii="Arial" w:hAnsi="Arial" w:cs="Arial"/>
          <w:sz w:val="22"/>
          <w:szCs w:val="22"/>
          <w:u w:val="single"/>
        </w:rPr>
        <w:tab/>
      </w:r>
      <w:r w:rsidR="00360F8E" w:rsidRPr="00360F8E">
        <w:rPr>
          <w:rFonts w:ascii="Arial" w:hAnsi="Arial" w:cs="Arial"/>
          <w:sz w:val="22"/>
          <w:szCs w:val="22"/>
          <w:u w:val="single"/>
        </w:rPr>
        <w:tab/>
      </w:r>
      <w:r w:rsidR="00360F8E" w:rsidRPr="00360F8E">
        <w:rPr>
          <w:rFonts w:ascii="Arial" w:hAnsi="Arial" w:cs="Arial"/>
          <w:sz w:val="22"/>
          <w:szCs w:val="22"/>
          <w:u w:val="single"/>
        </w:rPr>
        <w:tab/>
      </w:r>
      <w:r w:rsidR="00360F8E" w:rsidRP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sidRPr="00360F8E">
        <w:rPr>
          <w:rFonts w:ascii="Arial" w:hAnsi="Arial" w:cs="Arial"/>
          <w:sz w:val="22"/>
          <w:szCs w:val="22"/>
        </w:rPr>
        <w:tab/>
      </w:r>
      <w:r w:rsidR="00B652E8" w:rsidRPr="003F567F">
        <w:rPr>
          <w:rFonts w:ascii="Arial" w:hAnsi="Arial" w:cs="Arial"/>
          <w:sz w:val="22"/>
          <w:szCs w:val="22"/>
          <w:u w:val="single"/>
        </w:rPr>
        <w:t xml:space="preserve"> </w:t>
      </w:r>
      <w:r w:rsidRPr="003F567F">
        <w:rPr>
          <w:rFonts w:ascii="Arial" w:hAnsi="Arial" w:cs="Arial"/>
          <w:sz w:val="22"/>
          <w:szCs w:val="22"/>
        </w:rPr>
        <w:t xml:space="preserve">and </w:t>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p>
    <w:p w14:paraId="6B8EFEDC" w14:textId="77777777" w:rsidR="00364EA7" w:rsidRDefault="00364EA7" w:rsidP="00EF3140">
      <w:pPr>
        <w:pStyle w:val="DefaultText"/>
        <w:widowControl/>
        <w:jc w:val="both"/>
        <w:rPr>
          <w:rFonts w:ascii="Arial" w:hAnsi="Arial" w:cs="Arial"/>
          <w:sz w:val="22"/>
          <w:szCs w:val="22"/>
        </w:rPr>
      </w:pPr>
    </w:p>
    <w:p w14:paraId="67D426F8" w14:textId="77777777" w:rsidR="0075549E" w:rsidRPr="003F567F" w:rsidRDefault="00EF3140" w:rsidP="00EF3140">
      <w:pPr>
        <w:pStyle w:val="DefaultText"/>
        <w:widowControl/>
        <w:jc w:val="both"/>
        <w:rPr>
          <w:rFonts w:ascii="Arial" w:hAnsi="Arial" w:cs="Arial"/>
          <w:sz w:val="22"/>
          <w:szCs w:val="22"/>
          <w:u w:val="single"/>
        </w:rPr>
      </w:pPr>
      <w:r w:rsidRPr="003F567F">
        <w:rPr>
          <w:rFonts w:ascii="Arial" w:hAnsi="Arial" w:cs="Arial"/>
          <w:sz w:val="22"/>
          <w:szCs w:val="22"/>
        </w:rPr>
        <w:t>Dated:</w:t>
      </w:r>
      <w:r w:rsidR="0075549E" w:rsidRPr="003F567F">
        <w:rPr>
          <w:rFonts w:ascii="Arial" w:hAnsi="Arial" w:cs="Arial"/>
          <w:sz w:val="22"/>
          <w:szCs w:val="22"/>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p>
    <w:p w14:paraId="50E7EB68" w14:textId="77777777" w:rsidR="0075549E" w:rsidRPr="003F567F" w:rsidRDefault="0075549E" w:rsidP="00EF3140">
      <w:pPr>
        <w:pStyle w:val="DefaultText"/>
        <w:widowControl/>
        <w:jc w:val="both"/>
        <w:rPr>
          <w:rFonts w:ascii="Arial" w:hAnsi="Arial" w:cs="Arial"/>
          <w:sz w:val="22"/>
          <w:szCs w:val="22"/>
        </w:rPr>
      </w:pPr>
    </w:p>
    <w:p w14:paraId="6C3EE386" w14:textId="77777777" w:rsidR="0075549E" w:rsidRPr="003F567F" w:rsidRDefault="0075549E" w:rsidP="00EF3140">
      <w:pPr>
        <w:pStyle w:val="DefaultText"/>
        <w:widowControl/>
        <w:jc w:val="both"/>
        <w:rPr>
          <w:rFonts w:ascii="Arial" w:hAnsi="Arial" w:cs="Arial"/>
          <w:b/>
          <w:bCs/>
          <w:sz w:val="22"/>
          <w:szCs w:val="22"/>
        </w:rPr>
      </w:pPr>
      <w:r w:rsidRPr="003F567F">
        <w:rPr>
          <w:rFonts w:ascii="Arial" w:hAnsi="Arial" w:cs="Arial"/>
          <w:b/>
          <w:bCs/>
          <w:sz w:val="22"/>
          <w:szCs w:val="22"/>
        </w:rPr>
        <w:t>Responsibilities</w:t>
      </w:r>
    </w:p>
    <w:p w14:paraId="43AB775A" w14:textId="77777777" w:rsidR="0075549E" w:rsidRPr="00360F8E" w:rsidRDefault="00404AF8" w:rsidP="00EF3140">
      <w:pPr>
        <w:pStyle w:val="DefaultText"/>
        <w:widowControl/>
        <w:tabs>
          <w:tab w:val="left" w:pos="360"/>
        </w:tabs>
        <w:jc w:val="both"/>
        <w:rPr>
          <w:rFonts w:ascii="Arial" w:hAnsi="Arial" w:cs="Arial"/>
          <w:sz w:val="22"/>
          <w:szCs w:val="22"/>
          <w:u w:val="single"/>
        </w:rPr>
      </w:pPr>
      <w:r w:rsidRPr="003F567F">
        <w:rPr>
          <w:rFonts w:ascii="Arial" w:hAnsi="Arial" w:cs="Arial"/>
          <w:sz w:val="22"/>
          <w:szCs w:val="22"/>
        </w:rPr>
        <w:fldChar w:fldCharType="begin">
          <w:ffData>
            <w:name w:val="Check5"/>
            <w:enabled/>
            <w:calcOnExit w:val="0"/>
            <w:checkBox>
              <w:sizeAuto/>
              <w:default w:val="0"/>
              <w:checked w:val="0"/>
            </w:checkBox>
          </w:ffData>
        </w:fldChar>
      </w:r>
      <w:bookmarkStart w:id="0" w:name="Check5"/>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0"/>
      <w:r w:rsidRPr="003F567F">
        <w:rPr>
          <w:rFonts w:ascii="Arial" w:hAnsi="Arial" w:cs="Arial"/>
          <w:sz w:val="22"/>
          <w:szCs w:val="22"/>
        </w:rPr>
        <w:t xml:space="preserve"> </w:t>
      </w:r>
      <w:r w:rsidR="0075549E" w:rsidRPr="003F567F">
        <w:rPr>
          <w:rFonts w:ascii="Arial" w:hAnsi="Arial" w:cs="Arial"/>
          <w:sz w:val="22"/>
          <w:szCs w:val="22"/>
        </w:rPr>
        <w:t>Contract specifies division of any responsibilities shared by both parties.</w:t>
      </w:r>
      <w:r w:rsidR="0006407F">
        <w:rPr>
          <w:rFonts w:ascii="Arial" w:hAnsi="Arial" w:cs="Arial"/>
          <w:sz w:val="22"/>
          <w:szCs w:val="22"/>
        </w:rPr>
        <w:t xml:space="preserve"> </w:t>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r w:rsidR="00360F8E">
        <w:rPr>
          <w:rFonts w:ascii="Arial" w:hAnsi="Arial" w:cs="Arial"/>
          <w:sz w:val="22"/>
          <w:szCs w:val="22"/>
          <w:u w:val="single"/>
        </w:rPr>
        <w:tab/>
      </w:r>
    </w:p>
    <w:p w14:paraId="240E9249" w14:textId="77777777" w:rsidR="0075549E" w:rsidRPr="003F567F" w:rsidRDefault="0075549E" w:rsidP="00EF3140">
      <w:pPr>
        <w:pStyle w:val="DefaultText"/>
        <w:widowControl/>
        <w:jc w:val="both"/>
        <w:rPr>
          <w:rFonts w:ascii="Arial" w:hAnsi="Arial" w:cs="Arial"/>
          <w:sz w:val="22"/>
          <w:szCs w:val="22"/>
        </w:rPr>
      </w:pPr>
    </w:p>
    <w:p w14:paraId="5E0EC526" w14:textId="77777777" w:rsidR="0075549E" w:rsidRPr="003F567F" w:rsidRDefault="0075549E" w:rsidP="00EF3140">
      <w:pPr>
        <w:pStyle w:val="DefaultText"/>
        <w:widowControl/>
        <w:jc w:val="both"/>
        <w:rPr>
          <w:rFonts w:ascii="Arial" w:hAnsi="Arial" w:cs="Arial"/>
          <w:sz w:val="22"/>
          <w:szCs w:val="22"/>
        </w:rPr>
      </w:pPr>
      <w:r w:rsidRPr="003F567F">
        <w:rPr>
          <w:rFonts w:ascii="Arial" w:hAnsi="Arial" w:cs="Arial"/>
          <w:b/>
          <w:bCs/>
          <w:sz w:val="22"/>
          <w:szCs w:val="22"/>
        </w:rPr>
        <w:t xml:space="preserve">Termination </w:t>
      </w:r>
    </w:p>
    <w:p w14:paraId="77AE1958" w14:textId="77777777" w:rsidR="0075549E" w:rsidRPr="0006407F" w:rsidRDefault="00404AF8" w:rsidP="00EF3140">
      <w:pPr>
        <w:pStyle w:val="DefaultText"/>
        <w:widowControl/>
        <w:tabs>
          <w:tab w:val="left" w:pos="360"/>
        </w:tabs>
        <w:ind w:left="360" w:hanging="360"/>
        <w:jc w:val="both"/>
        <w:rPr>
          <w:rFonts w:ascii="Arial" w:hAnsi="Arial" w:cs="Arial"/>
          <w:b/>
          <w:sz w:val="22"/>
          <w:szCs w:val="22"/>
        </w:rPr>
      </w:pPr>
      <w:r w:rsidRPr="003F567F">
        <w:rPr>
          <w:rFonts w:ascii="Arial" w:hAnsi="Arial" w:cs="Arial"/>
          <w:sz w:val="22"/>
          <w:szCs w:val="22"/>
        </w:rPr>
        <w:fldChar w:fldCharType="begin">
          <w:ffData>
            <w:name w:val="Check6"/>
            <w:enabled/>
            <w:calcOnExit w:val="0"/>
            <w:checkBox>
              <w:sizeAuto/>
              <w:default w:val="0"/>
              <w:checked w:val="0"/>
            </w:checkBox>
          </w:ffData>
        </w:fldChar>
      </w:r>
      <w:bookmarkStart w:id="1" w:name="Check6"/>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1"/>
      <w:r w:rsidRPr="003F567F">
        <w:rPr>
          <w:rFonts w:ascii="Arial" w:hAnsi="Arial" w:cs="Arial"/>
          <w:sz w:val="22"/>
          <w:szCs w:val="22"/>
        </w:rPr>
        <w:t xml:space="preserve"> </w:t>
      </w:r>
      <w:r w:rsidR="0075549E" w:rsidRPr="003F567F">
        <w:rPr>
          <w:rFonts w:ascii="Arial" w:hAnsi="Arial" w:cs="Arial"/>
          <w:sz w:val="22"/>
          <w:szCs w:val="22"/>
        </w:rPr>
        <w:t>Insurer may terminate contract upon written notice to MGA.</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p>
    <w:p w14:paraId="6D0F3D4D"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7"/>
            <w:enabled/>
            <w:calcOnExit w:val="0"/>
            <w:checkBox>
              <w:sizeAuto/>
              <w:default w:val="0"/>
              <w:checked w:val="0"/>
            </w:checkBox>
          </w:ffData>
        </w:fldChar>
      </w:r>
      <w:bookmarkStart w:id="2" w:name="Check7"/>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2"/>
      <w:r w:rsidRPr="003F567F">
        <w:rPr>
          <w:rFonts w:ascii="Arial" w:hAnsi="Arial" w:cs="Arial"/>
          <w:sz w:val="22"/>
          <w:szCs w:val="22"/>
        </w:rPr>
        <w:t xml:space="preserve"> </w:t>
      </w:r>
      <w:r w:rsidR="0075549E" w:rsidRPr="003F567F">
        <w:rPr>
          <w:rFonts w:ascii="Arial" w:hAnsi="Arial" w:cs="Arial"/>
          <w:sz w:val="22"/>
          <w:szCs w:val="22"/>
        </w:rPr>
        <w:t>Insurer may suspend MGA’s underwriting authority while termination dispute is pending.</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7CAFA862" w14:textId="77777777" w:rsidR="0075549E" w:rsidRPr="00360F8E" w:rsidRDefault="00404AF8" w:rsidP="00EF3140">
      <w:pPr>
        <w:pStyle w:val="DefaultText"/>
        <w:widowControl/>
        <w:tabs>
          <w:tab w:val="left" w:pos="360"/>
        </w:tabs>
        <w:ind w:left="360" w:hanging="360"/>
        <w:jc w:val="both"/>
        <w:rPr>
          <w:rFonts w:ascii="Arial" w:hAnsi="Arial" w:cs="Arial"/>
          <w:sz w:val="22"/>
          <w:szCs w:val="22"/>
          <w:u w:val="single"/>
        </w:rPr>
      </w:pPr>
      <w:r w:rsidRPr="003F567F">
        <w:rPr>
          <w:rFonts w:ascii="Arial" w:hAnsi="Arial" w:cs="Arial"/>
          <w:sz w:val="22"/>
          <w:szCs w:val="22"/>
        </w:rPr>
        <w:fldChar w:fldCharType="begin">
          <w:ffData>
            <w:name w:val="Check8"/>
            <w:enabled/>
            <w:calcOnExit w:val="0"/>
            <w:checkBox>
              <w:sizeAuto/>
              <w:default w:val="0"/>
              <w:checked w:val="0"/>
            </w:checkBox>
          </w:ffData>
        </w:fldChar>
      </w:r>
      <w:bookmarkStart w:id="3" w:name="Check8"/>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3"/>
      <w:r w:rsidRPr="003F567F">
        <w:rPr>
          <w:rFonts w:ascii="Arial" w:hAnsi="Arial" w:cs="Arial"/>
          <w:sz w:val="22"/>
          <w:szCs w:val="22"/>
        </w:rPr>
        <w:t xml:space="preserve"> </w:t>
      </w:r>
      <w:r w:rsidR="0075549E" w:rsidRPr="003F567F">
        <w:rPr>
          <w:rFonts w:ascii="Arial" w:hAnsi="Arial" w:cs="Arial"/>
          <w:sz w:val="22"/>
          <w:szCs w:val="22"/>
        </w:rPr>
        <w:t>Suspension does not relieve MGA of obligation to service existing business.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sidRPr="00360F8E">
        <w:rPr>
          <w:rFonts w:ascii="Arial" w:hAnsi="Arial" w:cs="Arial"/>
          <w:b/>
          <w:sz w:val="16"/>
          <w:szCs w:val="16"/>
          <w:u w:val="single"/>
        </w:rPr>
        <w:tab/>
      </w:r>
      <w:r w:rsidR="00360F8E" w:rsidRPr="00360F8E">
        <w:rPr>
          <w:rFonts w:ascii="Arial" w:hAnsi="Arial" w:cs="Arial"/>
          <w:b/>
          <w:sz w:val="16"/>
          <w:szCs w:val="16"/>
          <w:u w:val="single"/>
        </w:rPr>
        <w:tab/>
      </w:r>
    </w:p>
    <w:p w14:paraId="79DBA9B7" w14:textId="77777777" w:rsidR="0075549E" w:rsidRPr="003F567F" w:rsidRDefault="0075549E" w:rsidP="00EF3140">
      <w:pPr>
        <w:pStyle w:val="DefaultText"/>
        <w:widowControl/>
        <w:tabs>
          <w:tab w:val="left" w:pos="720"/>
        </w:tabs>
        <w:ind w:left="720" w:hanging="720"/>
        <w:jc w:val="both"/>
        <w:rPr>
          <w:rFonts w:ascii="Arial" w:hAnsi="Arial" w:cs="Arial"/>
          <w:b/>
          <w:bCs/>
          <w:sz w:val="22"/>
          <w:szCs w:val="22"/>
        </w:rPr>
      </w:pPr>
    </w:p>
    <w:p w14:paraId="7B0AC3E5" w14:textId="77777777" w:rsidR="0075549E" w:rsidRPr="003F567F" w:rsidRDefault="0075549E" w:rsidP="00EF3140">
      <w:pPr>
        <w:pStyle w:val="DefaultText"/>
        <w:widowControl/>
        <w:tabs>
          <w:tab w:val="left" w:pos="720"/>
        </w:tabs>
        <w:ind w:left="720" w:hanging="720"/>
        <w:jc w:val="both"/>
        <w:rPr>
          <w:rFonts w:ascii="Arial" w:hAnsi="Arial" w:cs="Arial"/>
          <w:sz w:val="22"/>
          <w:szCs w:val="22"/>
        </w:rPr>
      </w:pPr>
      <w:r w:rsidRPr="003F567F">
        <w:rPr>
          <w:rFonts w:ascii="Arial" w:hAnsi="Arial" w:cs="Arial"/>
          <w:b/>
          <w:bCs/>
          <w:sz w:val="22"/>
          <w:szCs w:val="22"/>
        </w:rPr>
        <w:t xml:space="preserve">Accounting </w:t>
      </w:r>
    </w:p>
    <w:p w14:paraId="670A101D"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9"/>
            <w:enabled/>
            <w:calcOnExit w:val="0"/>
            <w:checkBox>
              <w:sizeAuto/>
              <w:default w:val="0"/>
              <w:checked w:val="0"/>
            </w:checkBox>
          </w:ffData>
        </w:fldChar>
      </w:r>
      <w:bookmarkStart w:id="4" w:name="Check9"/>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4"/>
      <w:r w:rsidRPr="003F567F">
        <w:rPr>
          <w:rFonts w:ascii="Arial" w:hAnsi="Arial" w:cs="Arial"/>
          <w:sz w:val="22"/>
          <w:szCs w:val="22"/>
        </w:rPr>
        <w:tab/>
      </w:r>
      <w:r w:rsidR="0075549E" w:rsidRPr="003F567F">
        <w:rPr>
          <w:rFonts w:ascii="Arial" w:hAnsi="Arial" w:cs="Arial"/>
          <w:sz w:val="22"/>
          <w:szCs w:val="22"/>
        </w:rPr>
        <w:t>MGA shall render accounts to insurer detailing all transactions and remit all funds due under contract on at least a monthly basis.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08192658" w14:textId="77777777" w:rsidR="0075549E" w:rsidRPr="003F567F" w:rsidRDefault="0075549E" w:rsidP="00EF3140">
      <w:pPr>
        <w:pStyle w:val="DefaultText"/>
        <w:widowControl/>
        <w:tabs>
          <w:tab w:val="left" w:pos="720"/>
        </w:tabs>
        <w:ind w:left="720" w:hanging="720"/>
        <w:jc w:val="both"/>
        <w:rPr>
          <w:rFonts w:ascii="Arial" w:hAnsi="Arial" w:cs="Arial"/>
          <w:b/>
          <w:bCs/>
          <w:sz w:val="22"/>
          <w:szCs w:val="22"/>
        </w:rPr>
      </w:pPr>
    </w:p>
    <w:p w14:paraId="47E0B078" w14:textId="77777777" w:rsidR="0075549E" w:rsidRPr="003F567F" w:rsidRDefault="0075549E" w:rsidP="00EF3140">
      <w:pPr>
        <w:pStyle w:val="DefaultText"/>
        <w:widowControl/>
        <w:tabs>
          <w:tab w:val="left" w:pos="720"/>
        </w:tabs>
        <w:ind w:left="720" w:hanging="720"/>
        <w:jc w:val="both"/>
        <w:rPr>
          <w:rFonts w:ascii="Arial" w:hAnsi="Arial" w:cs="Arial"/>
          <w:sz w:val="22"/>
          <w:szCs w:val="22"/>
        </w:rPr>
      </w:pPr>
      <w:r w:rsidRPr="003F567F">
        <w:rPr>
          <w:rFonts w:ascii="Arial" w:hAnsi="Arial" w:cs="Arial"/>
          <w:b/>
          <w:bCs/>
          <w:sz w:val="22"/>
          <w:szCs w:val="22"/>
        </w:rPr>
        <w:t>Fiduciary Accounts</w:t>
      </w:r>
    </w:p>
    <w:p w14:paraId="11DED5C5" w14:textId="77777777" w:rsidR="00360F8E" w:rsidRDefault="00404AF8" w:rsidP="00EF3140">
      <w:pPr>
        <w:pStyle w:val="DefaultText"/>
        <w:widowControl/>
        <w:tabs>
          <w:tab w:val="left" w:pos="360"/>
        </w:tabs>
        <w:ind w:left="360" w:hanging="360"/>
        <w:jc w:val="both"/>
        <w:rPr>
          <w:rFonts w:ascii="Arial" w:hAnsi="Arial" w:cs="Arial"/>
          <w:b/>
          <w:sz w:val="16"/>
          <w:szCs w:val="16"/>
          <w:u w:val="single"/>
        </w:rPr>
      </w:pPr>
      <w:r w:rsidRPr="003F567F">
        <w:rPr>
          <w:rFonts w:ascii="Arial" w:hAnsi="Arial" w:cs="Arial"/>
          <w:sz w:val="22"/>
          <w:szCs w:val="22"/>
        </w:rPr>
        <w:fldChar w:fldCharType="begin">
          <w:ffData>
            <w:name w:val="Check10"/>
            <w:enabled/>
            <w:calcOnExit w:val="0"/>
            <w:checkBox>
              <w:sizeAuto/>
              <w:default w:val="0"/>
              <w:checked w:val="0"/>
            </w:checkBox>
          </w:ffData>
        </w:fldChar>
      </w:r>
      <w:bookmarkStart w:id="5" w:name="Check10"/>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5"/>
      <w:r w:rsidRPr="003F567F">
        <w:rPr>
          <w:rFonts w:ascii="Arial" w:hAnsi="Arial" w:cs="Arial"/>
          <w:sz w:val="22"/>
          <w:szCs w:val="22"/>
        </w:rPr>
        <w:tab/>
      </w:r>
      <w:r w:rsidR="0075549E" w:rsidRPr="003F567F">
        <w:rPr>
          <w:rFonts w:ascii="Arial" w:hAnsi="Arial" w:cs="Arial"/>
          <w:sz w:val="22"/>
          <w:szCs w:val="22"/>
        </w:rPr>
        <w:t>All funds collected on behalf of insurer are to be held in fiduciary capacity in bank that is member of Federal Reserve System.</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2CBBA8CE"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11"/>
            <w:enabled/>
            <w:calcOnExit w:val="0"/>
            <w:checkBox>
              <w:sizeAuto/>
              <w:default w:val="0"/>
              <w:checked w:val="0"/>
            </w:checkBox>
          </w:ffData>
        </w:fldChar>
      </w:r>
      <w:bookmarkStart w:id="6" w:name="Check11"/>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6"/>
      <w:r w:rsidRPr="003F567F">
        <w:rPr>
          <w:rFonts w:ascii="Arial" w:hAnsi="Arial" w:cs="Arial"/>
          <w:sz w:val="22"/>
          <w:szCs w:val="22"/>
        </w:rPr>
        <w:tab/>
      </w:r>
      <w:r w:rsidR="0075549E" w:rsidRPr="003F567F">
        <w:rPr>
          <w:rFonts w:ascii="Arial" w:hAnsi="Arial" w:cs="Arial"/>
          <w:sz w:val="22"/>
          <w:szCs w:val="22"/>
        </w:rPr>
        <w:t>Account will be used for all payments o</w:t>
      </w:r>
      <w:r w:rsidR="003C0B3A">
        <w:rPr>
          <w:rFonts w:ascii="Arial" w:hAnsi="Arial" w:cs="Arial"/>
          <w:sz w:val="22"/>
          <w:szCs w:val="22"/>
        </w:rPr>
        <w:t>n</w:t>
      </w:r>
      <w:r w:rsidR="0075549E" w:rsidRPr="003F567F">
        <w:rPr>
          <w:rFonts w:ascii="Arial" w:hAnsi="Arial" w:cs="Arial"/>
          <w:sz w:val="22"/>
          <w:szCs w:val="22"/>
        </w:rPr>
        <w:t xml:space="preserve"> behalf of insurer.</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3647B031"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12"/>
            <w:enabled/>
            <w:calcOnExit w:val="0"/>
            <w:checkBox>
              <w:sizeAuto/>
              <w:default w:val="0"/>
              <w:checked w:val="0"/>
            </w:checkBox>
          </w:ffData>
        </w:fldChar>
      </w:r>
      <w:bookmarkStart w:id="7" w:name="Check12"/>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7"/>
      <w:r w:rsidRPr="003F567F">
        <w:rPr>
          <w:rFonts w:ascii="Arial" w:hAnsi="Arial" w:cs="Arial"/>
          <w:sz w:val="22"/>
          <w:szCs w:val="22"/>
        </w:rPr>
        <w:tab/>
      </w:r>
      <w:r w:rsidR="0075549E" w:rsidRPr="003F567F">
        <w:rPr>
          <w:rFonts w:ascii="Arial" w:hAnsi="Arial" w:cs="Arial"/>
          <w:sz w:val="22"/>
          <w:szCs w:val="22"/>
        </w:rPr>
        <w:t>MGA will not retain more that 3 months estimated claims payments and allocated loss adjustment expenses.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773F1AF8" w14:textId="77777777" w:rsidR="0075549E" w:rsidRPr="003F567F" w:rsidRDefault="0075549E" w:rsidP="00EF3140">
      <w:pPr>
        <w:pStyle w:val="DefaultText"/>
        <w:widowControl/>
        <w:tabs>
          <w:tab w:val="left" w:pos="720"/>
        </w:tabs>
        <w:ind w:left="720" w:hanging="720"/>
        <w:jc w:val="both"/>
        <w:rPr>
          <w:rFonts w:ascii="Arial" w:hAnsi="Arial" w:cs="Arial"/>
          <w:b/>
          <w:bCs/>
          <w:sz w:val="22"/>
          <w:szCs w:val="22"/>
        </w:rPr>
      </w:pPr>
    </w:p>
    <w:p w14:paraId="4AFA8DC2" w14:textId="77777777" w:rsidR="0075549E" w:rsidRPr="003F567F" w:rsidRDefault="0075549E" w:rsidP="00EF3140">
      <w:pPr>
        <w:pStyle w:val="DefaultText"/>
        <w:widowControl/>
        <w:tabs>
          <w:tab w:val="left" w:pos="720"/>
        </w:tabs>
        <w:ind w:left="720" w:hanging="720"/>
        <w:jc w:val="both"/>
        <w:rPr>
          <w:rFonts w:ascii="Arial" w:hAnsi="Arial" w:cs="Arial"/>
          <w:sz w:val="22"/>
          <w:szCs w:val="22"/>
        </w:rPr>
      </w:pPr>
      <w:r w:rsidRPr="003F567F">
        <w:rPr>
          <w:rFonts w:ascii="Arial" w:hAnsi="Arial" w:cs="Arial"/>
          <w:b/>
          <w:bCs/>
          <w:sz w:val="22"/>
          <w:szCs w:val="22"/>
        </w:rPr>
        <w:t>Records</w:t>
      </w:r>
    </w:p>
    <w:p w14:paraId="091D3A73"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13"/>
            <w:enabled/>
            <w:calcOnExit w:val="0"/>
            <w:checkBox>
              <w:sizeAuto/>
              <w:default w:val="0"/>
              <w:checked w:val="0"/>
            </w:checkBox>
          </w:ffData>
        </w:fldChar>
      </w:r>
      <w:bookmarkStart w:id="8" w:name="Check13"/>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8"/>
      <w:r w:rsidRPr="003F567F">
        <w:rPr>
          <w:rFonts w:ascii="Arial" w:hAnsi="Arial" w:cs="Arial"/>
          <w:sz w:val="22"/>
          <w:szCs w:val="22"/>
        </w:rPr>
        <w:tab/>
      </w:r>
      <w:r w:rsidR="0075549E" w:rsidRPr="003F567F">
        <w:rPr>
          <w:rFonts w:ascii="Arial" w:hAnsi="Arial" w:cs="Arial"/>
          <w:sz w:val="22"/>
          <w:szCs w:val="22"/>
        </w:rPr>
        <w:t>Separate records of business will be maintained by MGA.</w:t>
      </w:r>
      <w:r w:rsidR="006650B8">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415801A1"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14"/>
            <w:enabled/>
            <w:calcOnExit w:val="0"/>
            <w:checkBox>
              <w:sizeAuto/>
              <w:default w:val="0"/>
              <w:checked w:val="0"/>
            </w:checkBox>
          </w:ffData>
        </w:fldChar>
      </w:r>
      <w:bookmarkStart w:id="9" w:name="Check14"/>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9"/>
      <w:r w:rsidRPr="003F567F">
        <w:rPr>
          <w:rFonts w:ascii="Arial" w:hAnsi="Arial" w:cs="Arial"/>
          <w:sz w:val="22"/>
          <w:szCs w:val="22"/>
        </w:rPr>
        <w:tab/>
      </w:r>
      <w:r w:rsidR="0075549E" w:rsidRPr="003F567F">
        <w:rPr>
          <w:rFonts w:ascii="Arial" w:hAnsi="Arial" w:cs="Arial"/>
          <w:sz w:val="22"/>
          <w:szCs w:val="22"/>
        </w:rPr>
        <w:t xml:space="preserve">Insurer has access and may copy all accounts and records related to its business in a form usable by the </w:t>
      </w:r>
      <w:r w:rsidR="006650B8" w:rsidRPr="003F567F">
        <w:rPr>
          <w:rFonts w:ascii="Arial" w:hAnsi="Arial" w:cs="Arial"/>
          <w:sz w:val="22"/>
          <w:szCs w:val="22"/>
        </w:rPr>
        <w:t>insurer.</w:t>
      </w:r>
      <w:r w:rsidR="006650B8" w:rsidRPr="0006407F">
        <w:rPr>
          <w:rFonts w:ascii="Arial" w:hAnsi="Arial" w:cs="Arial"/>
          <w:b/>
          <w:sz w:val="16"/>
          <w:szCs w:val="16"/>
        </w:rPr>
        <w:t xml:space="preserve"> Contract</w:t>
      </w:r>
      <w:r w:rsidR="0006407F" w:rsidRPr="0006407F">
        <w:rPr>
          <w:rFonts w:ascii="Arial" w:hAnsi="Arial" w:cs="Arial"/>
          <w:b/>
          <w:sz w:val="16"/>
          <w:szCs w:val="16"/>
        </w:rPr>
        <w:t xml:space="preserve">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68434BA3"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15"/>
            <w:enabled/>
            <w:calcOnExit w:val="0"/>
            <w:checkBox>
              <w:sizeAuto/>
              <w:default w:val="0"/>
              <w:checked w:val="0"/>
            </w:checkBox>
          </w:ffData>
        </w:fldChar>
      </w:r>
      <w:bookmarkStart w:id="10" w:name="Check15"/>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10"/>
      <w:r w:rsidRPr="003F567F">
        <w:rPr>
          <w:rFonts w:ascii="Arial" w:hAnsi="Arial" w:cs="Arial"/>
          <w:sz w:val="22"/>
          <w:szCs w:val="22"/>
        </w:rPr>
        <w:tab/>
      </w:r>
      <w:r w:rsidR="0075549E" w:rsidRPr="003F567F">
        <w:rPr>
          <w:rFonts w:ascii="Arial" w:hAnsi="Arial" w:cs="Arial"/>
          <w:sz w:val="22"/>
          <w:szCs w:val="22"/>
        </w:rPr>
        <w:t xml:space="preserve">Superintendent has access to all books, bank accounts and records </w:t>
      </w:r>
      <w:r w:rsidR="006650B8">
        <w:rPr>
          <w:rFonts w:ascii="Arial" w:hAnsi="Arial" w:cs="Arial"/>
          <w:sz w:val="22"/>
          <w:szCs w:val="22"/>
        </w:rPr>
        <w:t>of MGA in a form usable to the S</w:t>
      </w:r>
      <w:r w:rsidR="006650B8" w:rsidRPr="003F567F">
        <w:rPr>
          <w:rFonts w:ascii="Arial" w:hAnsi="Arial" w:cs="Arial"/>
          <w:sz w:val="22"/>
          <w:szCs w:val="22"/>
        </w:rPr>
        <w:t>uperintendent.</w:t>
      </w:r>
      <w:r w:rsidR="006650B8" w:rsidRPr="0006407F">
        <w:rPr>
          <w:rFonts w:ascii="Arial" w:hAnsi="Arial" w:cs="Arial"/>
          <w:b/>
          <w:sz w:val="16"/>
          <w:szCs w:val="16"/>
        </w:rPr>
        <w:t xml:space="preserve"> Contract</w:t>
      </w:r>
      <w:r w:rsidR="00584FEB" w:rsidRPr="0006407F">
        <w:rPr>
          <w:rFonts w:ascii="Arial" w:hAnsi="Arial" w:cs="Arial"/>
          <w:b/>
          <w:sz w:val="16"/>
          <w:szCs w:val="16"/>
        </w:rPr>
        <w:t xml:space="preserve"> cite:</w:t>
      </w:r>
      <w:r w:rsidR="00584FEB">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78B9975C"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16"/>
            <w:enabled/>
            <w:calcOnExit w:val="0"/>
            <w:checkBox>
              <w:sizeAuto/>
              <w:default w:val="0"/>
              <w:checked w:val="0"/>
            </w:checkBox>
          </w:ffData>
        </w:fldChar>
      </w:r>
      <w:bookmarkStart w:id="11" w:name="Check16"/>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11"/>
      <w:r w:rsidRPr="003F567F">
        <w:rPr>
          <w:rFonts w:ascii="Arial" w:hAnsi="Arial" w:cs="Arial"/>
          <w:sz w:val="22"/>
          <w:szCs w:val="22"/>
        </w:rPr>
        <w:tab/>
      </w:r>
      <w:r w:rsidR="0075549E" w:rsidRPr="003F567F">
        <w:rPr>
          <w:rFonts w:ascii="Arial" w:hAnsi="Arial" w:cs="Arial"/>
          <w:sz w:val="22"/>
          <w:szCs w:val="22"/>
        </w:rPr>
        <w:t>Records will be retained for at least 6 years in accordance with usual and accepted principles and practices of insurance accounting.  (Title 24-A M.R.S.A. §3408 &amp; §3410).</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02F09AE3" w14:textId="77777777" w:rsidR="0075549E" w:rsidRPr="003F567F" w:rsidRDefault="0075549E" w:rsidP="00EF3140">
      <w:pPr>
        <w:pStyle w:val="DefaultText"/>
        <w:widowControl/>
        <w:tabs>
          <w:tab w:val="left" w:pos="360"/>
        </w:tabs>
        <w:jc w:val="both"/>
        <w:rPr>
          <w:rFonts w:ascii="Arial" w:hAnsi="Arial" w:cs="Arial"/>
          <w:b/>
          <w:bCs/>
          <w:sz w:val="22"/>
          <w:szCs w:val="22"/>
        </w:rPr>
      </w:pPr>
    </w:p>
    <w:p w14:paraId="6372B0AF" w14:textId="77777777" w:rsidR="0075549E" w:rsidRPr="003F567F" w:rsidRDefault="0075549E" w:rsidP="00EF3140">
      <w:pPr>
        <w:pStyle w:val="DefaultText"/>
        <w:widowControl/>
        <w:tabs>
          <w:tab w:val="left" w:pos="720"/>
        </w:tabs>
        <w:ind w:left="720" w:hanging="720"/>
        <w:jc w:val="both"/>
        <w:rPr>
          <w:rFonts w:ascii="Arial" w:hAnsi="Arial" w:cs="Arial"/>
          <w:sz w:val="22"/>
          <w:szCs w:val="22"/>
        </w:rPr>
      </w:pPr>
      <w:r w:rsidRPr="003F567F">
        <w:rPr>
          <w:rFonts w:ascii="Arial" w:hAnsi="Arial" w:cs="Arial"/>
          <w:b/>
          <w:bCs/>
          <w:sz w:val="22"/>
          <w:szCs w:val="22"/>
        </w:rPr>
        <w:t>Underwriting guidelines</w:t>
      </w:r>
      <w:r w:rsidRPr="003F567F">
        <w:rPr>
          <w:rFonts w:ascii="Arial" w:hAnsi="Arial" w:cs="Arial"/>
          <w:sz w:val="22"/>
          <w:szCs w:val="22"/>
        </w:rPr>
        <w:t>.</w:t>
      </w:r>
    </w:p>
    <w:p w14:paraId="41F10896"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17"/>
            <w:enabled/>
            <w:calcOnExit w:val="0"/>
            <w:checkBox>
              <w:sizeAuto/>
              <w:default w:val="0"/>
              <w:checked w:val="0"/>
            </w:checkBox>
          </w:ffData>
        </w:fldChar>
      </w:r>
      <w:bookmarkStart w:id="12" w:name="Check17"/>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12"/>
      <w:r w:rsidRPr="003F567F">
        <w:rPr>
          <w:rFonts w:ascii="Arial" w:hAnsi="Arial" w:cs="Arial"/>
          <w:sz w:val="22"/>
          <w:szCs w:val="22"/>
        </w:rPr>
        <w:tab/>
      </w:r>
      <w:r w:rsidR="0075549E" w:rsidRPr="003F567F">
        <w:rPr>
          <w:rFonts w:ascii="Arial" w:hAnsi="Arial" w:cs="Arial"/>
          <w:sz w:val="22"/>
          <w:szCs w:val="22"/>
        </w:rPr>
        <w:t>Maximum annual premium volume</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56E33942"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18"/>
            <w:enabled/>
            <w:calcOnExit w:val="0"/>
            <w:checkBox>
              <w:sizeAuto/>
              <w:default w:val="0"/>
              <w:checked w:val="0"/>
            </w:checkBox>
          </w:ffData>
        </w:fldChar>
      </w:r>
      <w:bookmarkStart w:id="13" w:name="Check18"/>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13"/>
      <w:r w:rsidRPr="003F567F">
        <w:rPr>
          <w:rFonts w:ascii="Arial" w:hAnsi="Arial" w:cs="Arial"/>
          <w:sz w:val="22"/>
          <w:szCs w:val="22"/>
        </w:rPr>
        <w:tab/>
      </w:r>
      <w:r w:rsidR="0075549E" w:rsidRPr="003F567F">
        <w:rPr>
          <w:rFonts w:ascii="Arial" w:hAnsi="Arial" w:cs="Arial"/>
          <w:sz w:val="22"/>
          <w:szCs w:val="22"/>
        </w:rPr>
        <w:t>Basis of rates to be charged</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66187FDA"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19"/>
            <w:enabled/>
            <w:calcOnExit w:val="0"/>
            <w:checkBox>
              <w:sizeAuto/>
              <w:default w:val="0"/>
              <w:checked w:val="0"/>
            </w:checkBox>
          </w:ffData>
        </w:fldChar>
      </w:r>
      <w:bookmarkStart w:id="14" w:name="Check19"/>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14"/>
      <w:r w:rsidRPr="003F567F">
        <w:rPr>
          <w:rFonts w:ascii="Arial" w:hAnsi="Arial" w:cs="Arial"/>
          <w:sz w:val="22"/>
          <w:szCs w:val="22"/>
        </w:rPr>
        <w:tab/>
      </w:r>
      <w:r w:rsidR="0075549E" w:rsidRPr="003F567F">
        <w:rPr>
          <w:rFonts w:ascii="Arial" w:hAnsi="Arial" w:cs="Arial"/>
          <w:sz w:val="22"/>
          <w:szCs w:val="22"/>
        </w:rPr>
        <w:t>Types of risks that may be written</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54EDB718"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20"/>
            <w:enabled/>
            <w:calcOnExit w:val="0"/>
            <w:checkBox>
              <w:sizeAuto/>
              <w:default w:val="0"/>
              <w:checked w:val="0"/>
            </w:checkBox>
          </w:ffData>
        </w:fldChar>
      </w:r>
      <w:bookmarkStart w:id="15" w:name="Check20"/>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15"/>
      <w:r w:rsidRPr="003F567F">
        <w:rPr>
          <w:rFonts w:ascii="Arial" w:hAnsi="Arial" w:cs="Arial"/>
          <w:sz w:val="22"/>
          <w:szCs w:val="22"/>
        </w:rPr>
        <w:tab/>
      </w:r>
      <w:r w:rsidR="0075549E" w:rsidRPr="003F567F">
        <w:rPr>
          <w:rFonts w:ascii="Arial" w:hAnsi="Arial" w:cs="Arial"/>
          <w:sz w:val="22"/>
          <w:szCs w:val="22"/>
        </w:rPr>
        <w:t>Maximum limits of liability</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3E95F8F3"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21"/>
            <w:enabled/>
            <w:calcOnExit w:val="0"/>
            <w:checkBox>
              <w:sizeAuto/>
              <w:default w:val="0"/>
              <w:checked w:val="0"/>
            </w:checkBox>
          </w:ffData>
        </w:fldChar>
      </w:r>
      <w:bookmarkStart w:id="16" w:name="Check21"/>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16"/>
      <w:r w:rsidRPr="003F567F">
        <w:rPr>
          <w:rFonts w:ascii="Arial" w:hAnsi="Arial" w:cs="Arial"/>
          <w:sz w:val="22"/>
          <w:szCs w:val="22"/>
        </w:rPr>
        <w:tab/>
      </w:r>
      <w:r w:rsidR="0075549E" w:rsidRPr="003F567F">
        <w:rPr>
          <w:rFonts w:ascii="Arial" w:hAnsi="Arial" w:cs="Arial"/>
          <w:sz w:val="22"/>
          <w:szCs w:val="22"/>
        </w:rPr>
        <w:t>Applicable exclusions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1A7C44F7"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22"/>
            <w:enabled/>
            <w:calcOnExit w:val="0"/>
            <w:checkBox>
              <w:sizeAuto/>
              <w:default w:val="0"/>
              <w:checked w:val="0"/>
            </w:checkBox>
          </w:ffData>
        </w:fldChar>
      </w:r>
      <w:bookmarkStart w:id="17" w:name="Check22"/>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17"/>
      <w:r w:rsidRPr="003F567F">
        <w:rPr>
          <w:rFonts w:ascii="Arial" w:hAnsi="Arial" w:cs="Arial"/>
          <w:sz w:val="22"/>
          <w:szCs w:val="22"/>
        </w:rPr>
        <w:tab/>
      </w:r>
      <w:r w:rsidR="0075549E" w:rsidRPr="003F567F">
        <w:rPr>
          <w:rFonts w:ascii="Arial" w:hAnsi="Arial" w:cs="Arial"/>
          <w:sz w:val="22"/>
          <w:szCs w:val="22"/>
        </w:rPr>
        <w:t>Territorial limitations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2C6E8489"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23"/>
            <w:enabled/>
            <w:calcOnExit w:val="0"/>
            <w:checkBox>
              <w:sizeAuto/>
              <w:default w:val="0"/>
              <w:checked w:val="0"/>
            </w:checkBox>
          </w:ffData>
        </w:fldChar>
      </w:r>
      <w:bookmarkStart w:id="18" w:name="Check23"/>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18"/>
      <w:r w:rsidRPr="003F567F">
        <w:rPr>
          <w:rFonts w:ascii="Arial" w:hAnsi="Arial" w:cs="Arial"/>
          <w:sz w:val="22"/>
          <w:szCs w:val="22"/>
        </w:rPr>
        <w:tab/>
      </w:r>
      <w:r w:rsidR="0075549E" w:rsidRPr="003F567F">
        <w:rPr>
          <w:rFonts w:ascii="Arial" w:hAnsi="Arial" w:cs="Arial"/>
          <w:sz w:val="22"/>
          <w:szCs w:val="22"/>
        </w:rPr>
        <w:t>Policy cancellation provisions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26DF3637"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24"/>
            <w:enabled/>
            <w:calcOnExit w:val="0"/>
            <w:checkBox>
              <w:sizeAuto/>
              <w:default w:val="0"/>
              <w:checked w:val="0"/>
            </w:checkBox>
          </w:ffData>
        </w:fldChar>
      </w:r>
      <w:bookmarkStart w:id="19" w:name="Check24"/>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19"/>
      <w:r w:rsidRPr="003F567F">
        <w:rPr>
          <w:rFonts w:ascii="Arial" w:hAnsi="Arial" w:cs="Arial"/>
          <w:sz w:val="22"/>
          <w:szCs w:val="22"/>
        </w:rPr>
        <w:tab/>
      </w:r>
      <w:r w:rsidR="0075549E" w:rsidRPr="003F567F">
        <w:rPr>
          <w:rFonts w:ascii="Arial" w:hAnsi="Arial" w:cs="Arial"/>
          <w:sz w:val="22"/>
          <w:szCs w:val="22"/>
        </w:rPr>
        <w:t>Maximum policy period</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5C2FA988" w14:textId="77777777" w:rsidR="00404AF8" w:rsidRDefault="00404AF8" w:rsidP="00364EA7">
      <w:pPr>
        <w:pStyle w:val="DefaultText"/>
        <w:widowControl/>
        <w:numPr>
          <w:ilvl w:val="12"/>
          <w:numId w:val="0"/>
        </w:numPr>
        <w:tabs>
          <w:tab w:val="left" w:pos="360"/>
        </w:tabs>
        <w:ind w:left="360" w:hanging="360"/>
        <w:rPr>
          <w:rFonts w:ascii="Arial" w:hAnsi="Arial" w:cs="Arial"/>
          <w:b/>
          <w:sz w:val="16"/>
          <w:szCs w:val="16"/>
        </w:rPr>
      </w:pPr>
      <w:r w:rsidRPr="003F567F">
        <w:rPr>
          <w:rFonts w:ascii="Arial" w:hAnsi="Arial" w:cs="Arial"/>
          <w:sz w:val="22"/>
          <w:szCs w:val="22"/>
        </w:rPr>
        <w:fldChar w:fldCharType="begin">
          <w:ffData>
            <w:name w:val="Check25"/>
            <w:enabled/>
            <w:calcOnExit w:val="0"/>
            <w:checkBox>
              <w:sizeAuto/>
              <w:default w:val="0"/>
              <w:checked w:val="0"/>
            </w:checkBox>
          </w:ffData>
        </w:fldChar>
      </w:r>
      <w:bookmarkStart w:id="20" w:name="Check25"/>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20"/>
      <w:r w:rsidRPr="003F567F">
        <w:rPr>
          <w:rFonts w:ascii="Arial" w:hAnsi="Arial" w:cs="Arial"/>
          <w:sz w:val="22"/>
          <w:szCs w:val="22"/>
        </w:rPr>
        <w:tab/>
      </w:r>
      <w:r w:rsidR="0075549E" w:rsidRPr="003F567F">
        <w:rPr>
          <w:rFonts w:ascii="Arial" w:hAnsi="Arial" w:cs="Arial"/>
          <w:sz w:val="22"/>
          <w:szCs w:val="22"/>
        </w:rPr>
        <w:t xml:space="preserve">Insurer has right to cancel or not renew any policy subject to all applicable laws and rules regarding </w:t>
      </w:r>
      <w:r w:rsidR="0006407F">
        <w:rPr>
          <w:rFonts w:ascii="Arial" w:hAnsi="Arial" w:cs="Arial"/>
          <w:sz w:val="22"/>
          <w:szCs w:val="22"/>
        </w:rPr>
        <w:t xml:space="preserve"> </w:t>
      </w:r>
      <w:r w:rsidR="0075549E" w:rsidRPr="003F567F">
        <w:rPr>
          <w:rFonts w:ascii="Arial" w:hAnsi="Arial" w:cs="Arial"/>
          <w:sz w:val="22"/>
          <w:szCs w:val="22"/>
        </w:rPr>
        <w:t>the cancellation and nonrenewal of insurance policies.</w:t>
      </w:r>
      <w:r w:rsidR="0075549E" w:rsidRPr="003F567F">
        <w:rPr>
          <w:rFonts w:ascii="Arial" w:hAnsi="Arial" w:cs="Arial"/>
          <w:sz w:val="22"/>
          <w:szCs w:val="22"/>
        </w:rPr>
        <w:tab/>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2B87A02C" w14:textId="77777777" w:rsidR="00364EA7" w:rsidRPr="003F567F" w:rsidRDefault="00364EA7" w:rsidP="00364EA7">
      <w:pPr>
        <w:pStyle w:val="DefaultText"/>
        <w:widowControl/>
        <w:numPr>
          <w:ilvl w:val="12"/>
          <w:numId w:val="0"/>
        </w:numPr>
        <w:tabs>
          <w:tab w:val="left" w:pos="360"/>
        </w:tabs>
        <w:ind w:left="360" w:hanging="360"/>
        <w:rPr>
          <w:rStyle w:val="PageNumber"/>
          <w:rFonts w:ascii="Arial" w:hAnsi="Arial" w:cs="Arial"/>
          <w:sz w:val="22"/>
          <w:szCs w:val="22"/>
        </w:rPr>
      </w:pPr>
    </w:p>
    <w:p w14:paraId="0D1882B1" w14:textId="77777777" w:rsidR="0075549E" w:rsidRPr="003F567F" w:rsidRDefault="0075549E" w:rsidP="00EF3140">
      <w:pPr>
        <w:pStyle w:val="DefaultText"/>
        <w:widowControl/>
        <w:numPr>
          <w:ilvl w:val="12"/>
          <w:numId w:val="0"/>
        </w:numPr>
        <w:tabs>
          <w:tab w:val="left" w:pos="360"/>
        </w:tabs>
        <w:jc w:val="both"/>
        <w:rPr>
          <w:rFonts w:ascii="Arial" w:hAnsi="Arial" w:cs="Arial"/>
          <w:sz w:val="22"/>
          <w:szCs w:val="22"/>
        </w:rPr>
      </w:pPr>
      <w:r w:rsidRPr="003F567F">
        <w:rPr>
          <w:rFonts w:ascii="Arial" w:hAnsi="Arial" w:cs="Arial"/>
          <w:b/>
          <w:bCs/>
          <w:sz w:val="22"/>
          <w:szCs w:val="22"/>
        </w:rPr>
        <w:t>Settlement Authority</w:t>
      </w:r>
      <w:r w:rsidRPr="003F567F">
        <w:rPr>
          <w:rFonts w:ascii="Arial" w:hAnsi="Arial" w:cs="Arial"/>
          <w:sz w:val="22"/>
          <w:szCs w:val="22"/>
        </w:rPr>
        <w:t xml:space="preserve"> (If contract permits MGA to settle claims on behalf of insurer)</w:t>
      </w:r>
    </w:p>
    <w:p w14:paraId="005A7774" w14:textId="77777777" w:rsidR="0075549E" w:rsidRPr="003F567F" w:rsidRDefault="00404AF8" w:rsidP="00741B25">
      <w:pPr>
        <w:pStyle w:val="DefaultText"/>
        <w:widowControl/>
        <w:tabs>
          <w:tab w:val="left" w:pos="360"/>
        </w:tabs>
        <w:spacing w:after="100" w:afterAutospacing="1"/>
        <w:jc w:val="both"/>
        <w:rPr>
          <w:rFonts w:ascii="Arial" w:hAnsi="Arial" w:cs="Arial"/>
          <w:sz w:val="22"/>
          <w:szCs w:val="22"/>
        </w:rPr>
      </w:pPr>
      <w:r w:rsidRPr="003F567F">
        <w:rPr>
          <w:rFonts w:ascii="Arial" w:hAnsi="Arial" w:cs="Arial"/>
          <w:sz w:val="22"/>
          <w:szCs w:val="22"/>
        </w:rPr>
        <w:fldChar w:fldCharType="begin">
          <w:ffData>
            <w:name w:val="Check26"/>
            <w:enabled/>
            <w:calcOnExit w:val="0"/>
            <w:checkBox>
              <w:sizeAuto/>
              <w:default w:val="0"/>
              <w:checked w:val="0"/>
            </w:checkBox>
          </w:ffData>
        </w:fldChar>
      </w:r>
      <w:bookmarkStart w:id="21" w:name="Check26"/>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21"/>
      <w:r w:rsidRPr="003F567F">
        <w:rPr>
          <w:rFonts w:ascii="Arial" w:hAnsi="Arial" w:cs="Arial"/>
          <w:sz w:val="22"/>
          <w:szCs w:val="22"/>
        </w:rPr>
        <w:tab/>
      </w:r>
      <w:r w:rsidR="0075549E" w:rsidRPr="003F567F">
        <w:rPr>
          <w:rFonts w:ascii="Arial" w:hAnsi="Arial" w:cs="Arial"/>
          <w:sz w:val="22"/>
          <w:szCs w:val="22"/>
        </w:rPr>
        <w:t>All claims will be reported to insurer in timely manner.</w:t>
      </w:r>
      <w:r w:rsidR="0006407F">
        <w:rPr>
          <w:rFonts w:ascii="Arial" w:hAnsi="Arial" w:cs="Arial"/>
          <w:sz w:val="22"/>
          <w:szCs w:val="22"/>
        </w:rPr>
        <w:t xml:space="preserve"> </w:t>
      </w:r>
      <w:r w:rsidR="0006407F" w:rsidRPr="00A906F1">
        <w:rPr>
          <w:rFonts w:ascii="Arial" w:hAnsi="Arial" w:cs="Arial"/>
          <w:b/>
          <w:sz w:val="16"/>
          <w:szCs w:val="16"/>
        </w:rPr>
        <w:t>Contract cite</w:t>
      </w:r>
      <w:r w:rsidR="0006407F" w:rsidRPr="00A906F1">
        <w:rPr>
          <w:rFonts w:ascii="Arial" w:hAnsi="Arial" w:cs="Arial"/>
          <w:b/>
          <w:sz w:val="22"/>
          <w:szCs w:val="22"/>
        </w:rPr>
        <w:t>:</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29A544A1" w14:textId="77777777" w:rsidR="0075549E" w:rsidRPr="003F567F" w:rsidRDefault="00404AF8" w:rsidP="0006407F">
      <w:pPr>
        <w:pStyle w:val="DefaultText"/>
        <w:widowControl/>
        <w:tabs>
          <w:tab w:val="left" w:pos="360"/>
        </w:tabs>
        <w:spacing w:after="100" w:afterAutospacing="1"/>
        <w:ind w:left="360" w:hanging="360"/>
        <w:jc w:val="both"/>
        <w:rPr>
          <w:rFonts w:ascii="Arial" w:hAnsi="Arial" w:cs="Arial"/>
          <w:sz w:val="22"/>
          <w:szCs w:val="22"/>
        </w:rPr>
      </w:pPr>
      <w:r w:rsidRPr="003F567F">
        <w:rPr>
          <w:rFonts w:ascii="Arial" w:hAnsi="Arial" w:cs="Arial"/>
          <w:sz w:val="22"/>
          <w:szCs w:val="22"/>
        </w:rPr>
        <w:fldChar w:fldCharType="begin">
          <w:ffData>
            <w:name w:val="Check27"/>
            <w:enabled/>
            <w:calcOnExit w:val="0"/>
            <w:checkBox>
              <w:sizeAuto/>
              <w:default w:val="0"/>
              <w:checked w:val="0"/>
            </w:checkBox>
          </w:ffData>
        </w:fldChar>
      </w:r>
      <w:bookmarkStart w:id="22" w:name="Check27"/>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22"/>
      <w:r w:rsidRPr="003F567F">
        <w:rPr>
          <w:rFonts w:ascii="Arial" w:hAnsi="Arial" w:cs="Arial"/>
          <w:sz w:val="22"/>
          <w:szCs w:val="22"/>
        </w:rPr>
        <w:tab/>
      </w:r>
      <w:r w:rsidR="0075549E" w:rsidRPr="003F567F">
        <w:rPr>
          <w:rFonts w:ascii="Arial" w:hAnsi="Arial" w:cs="Arial"/>
          <w:sz w:val="22"/>
          <w:szCs w:val="22"/>
        </w:rPr>
        <w:t>Copy of claim file will be sent to insurer at its request or as soon as it becomes known that claim:</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4446A3C4" w14:textId="77777777" w:rsidR="0075549E" w:rsidRPr="003F567F" w:rsidRDefault="003F567F" w:rsidP="003F567F">
      <w:pPr>
        <w:pStyle w:val="DefaultText"/>
        <w:widowControl/>
        <w:tabs>
          <w:tab w:val="left" w:pos="1170"/>
        </w:tabs>
        <w:ind w:left="1170" w:hanging="450"/>
        <w:jc w:val="both"/>
        <w:rPr>
          <w:rFonts w:ascii="Arial" w:hAnsi="Arial" w:cs="Arial"/>
          <w:sz w:val="22"/>
          <w:szCs w:val="22"/>
        </w:rPr>
      </w:pPr>
      <w:r w:rsidRPr="003F567F">
        <w:rPr>
          <w:rFonts w:ascii="Arial" w:hAnsi="Arial" w:cs="Arial"/>
          <w:sz w:val="22"/>
          <w:szCs w:val="22"/>
        </w:rPr>
        <w:lastRenderedPageBreak/>
        <w:fldChar w:fldCharType="begin">
          <w:ffData>
            <w:name w:val="Check53"/>
            <w:enabled/>
            <w:calcOnExit w:val="0"/>
            <w:checkBox>
              <w:sizeAuto/>
              <w:default w:val="0"/>
              <w:checked w:val="0"/>
            </w:checkBox>
          </w:ffData>
        </w:fldChar>
      </w:r>
      <w:bookmarkStart w:id="23" w:name="Check53"/>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23"/>
      <w:r w:rsidRPr="003F567F">
        <w:rPr>
          <w:rFonts w:ascii="Arial" w:hAnsi="Arial" w:cs="Arial"/>
          <w:sz w:val="22"/>
          <w:szCs w:val="22"/>
        </w:rPr>
        <w:tab/>
      </w:r>
      <w:r w:rsidR="0075549E" w:rsidRPr="003F567F">
        <w:rPr>
          <w:rFonts w:ascii="Arial" w:hAnsi="Arial" w:cs="Arial"/>
          <w:sz w:val="22"/>
          <w:szCs w:val="22"/>
        </w:rPr>
        <w:t>Has potential to exceed amount determined by Superintendent or exceeds the limit set by the insurer, whichever is less.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65055ECF" w14:textId="77777777" w:rsidR="0075549E" w:rsidRPr="003F567F" w:rsidRDefault="003F567F" w:rsidP="003F567F">
      <w:pPr>
        <w:pStyle w:val="DefaultText"/>
        <w:widowControl/>
        <w:tabs>
          <w:tab w:val="left" w:pos="1170"/>
        </w:tabs>
        <w:ind w:left="720"/>
        <w:jc w:val="both"/>
        <w:rPr>
          <w:rFonts w:ascii="Arial" w:hAnsi="Arial" w:cs="Arial"/>
          <w:sz w:val="22"/>
          <w:szCs w:val="22"/>
        </w:rPr>
      </w:pPr>
      <w:r w:rsidRPr="003F567F">
        <w:rPr>
          <w:rFonts w:ascii="Arial" w:hAnsi="Arial" w:cs="Arial"/>
          <w:sz w:val="22"/>
          <w:szCs w:val="22"/>
        </w:rPr>
        <w:fldChar w:fldCharType="begin">
          <w:ffData>
            <w:name w:val="Check54"/>
            <w:enabled/>
            <w:calcOnExit w:val="0"/>
            <w:checkBox>
              <w:sizeAuto/>
              <w:default w:val="0"/>
              <w:checked w:val="0"/>
            </w:checkBox>
          </w:ffData>
        </w:fldChar>
      </w:r>
      <w:bookmarkStart w:id="24" w:name="Check54"/>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24"/>
      <w:r w:rsidRPr="003F567F">
        <w:rPr>
          <w:rFonts w:ascii="Arial" w:hAnsi="Arial" w:cs="Arial"/>
          <w:sz w:val="22"/>
          <w:szCs w:val="22"/>
        </w:rPr>
        <w:tab/>
      </w:r>
      <w:r w:rsidR="0075549E" w:rsidRPr="003F567F">
        <w:rPr>
          <w:rFonts w:ascii="Arial" w:hAnsi="Arial" w:cs="Arial"/>
          <w:sz w:val="22"/>
          <w:szCs w:val="22"/>
        </w:rPr>
        <w:t>Involves a coverage dispute.</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1A13056A" w14:textId="77777777" w:rsidR="0075549E" w:rsidRPr="003F567F" w:rsidRDefault="003F567F" w:rsidP="003F567F">
      <w:pPr>
        <w:pStyle w:val="DefaultText"/>
        <w:widowControl/>
        <w:tabs>
          <w:tab w:val="left" w:pos="1170"/>
        </w:tabs>
        <w:ind w:left="720"/>
        <w:jc w:val="both"/>
        <w:rPr>
          <w:rFonts w:ascii="Arial" w:hAnsi="Arial" w:cs="Arial"/>
          <w:sz w:val="22"/>
          <w:szCs w:val="22"/>
        </w:rPr>
      </w:pPr>
      <w:r w:rsidRPr="003F567F">
        <w:rPr>
          <w:rFonts w:ascii="Arial" w:hAnsi="Arial" w:cs="Arial"/>
          <w:sz w:val="22"/>
          <w:szCs w:val="22"/>
        </w:rPr>
        <w:fldChar w:fldCharType="begin">
          <w:ffData>
            <w:name w:val="Check55"/>
            <w:enabled/>
            <w:calcOnExit w:val="0"/>
            <w:checkBox>
              <w:sizeAuto/>
              <w:default w:val="0"/>
              <w:checked w:val="0"/>
            </w:checkBox>
          </w:ffData>
        </w:fldChar>
      </w:r>
      <w:bookmarkStart w:id="25" w:name="Check55"/>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25"/>
      <w:r w:rsidRPr="003F567F">
        <w:rPr>
          <w:rFonts w:ascii="Arial" w:hAnsi="Arial" w:cs="Arial"/>
          <w:sz w:val="22"/>
          <w:szCs w:val="22"/>
        </w:rPr>
        <w:tab/>
      </w:r>
      <w:r w:rsidR="0075549E" w:rsidRPr="003F567F">
        <w:rPr>
          <w:rFonts w:ascii="Arial" w:hAnsi="Arial" w:cs="Arial"/>
          <w:sz w:val="22"/>
          <w:szCs w:val="22"/>
        </w:rPr>
        <w:t>May exceed MGA’s claim settlement authority.</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66C381A8" w14:textId="77777777" w:rsidR="0075549E" w:rsidRPr="003F567F" w:rsidRDefault="003F567F" w:rsidP="003F567F">
      <w:pPr>
        <w:pStyle w:val="DefaultText"/>
        <w:widowControl/>
        <w:tabs>
          <w:tab w:val="left" w:pos="1170"/>
        </w:tabs>
        <w:ind w:left="720"/>
        <w:jc w:val="both"/>
        <w:rPr>
          <w:rFonts w:ascii="Arial" w:hAnsi="Arial" w:cs="Arial"/>
          <w:sz w:val="22"/>
          <w:szCs w:val="22"/>
        </w:rPr>
      </w:pPr>
      <w:r w:rsidRPr="003F567F">
        <w:rPr>
          <w:rFonts w:ascii="Arial" w:hAnsi="Arial" w:cs="Arial"/>
          <w:sz w:val="22"/>
          <w:szCs w:val="22"/>
        </w:rPr>
        <w:fldChar w:fldCharType="begin">
          <w:ffData>
            <w:name w:val="Check56"/>
            <w:enabled/>
            <w:calcOnExit w:val="0"/>
            <w:checkBox>
              <w:sizeAuto/>
              <w:default w:val="0"/>
              <w:checked w:val="0"/>
            </w:checkBox>
          </w:ffData>
        </w:fldChar>
      </w:r>
      <w:bookmarkStart w:id="26" w:name="Check56"/>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26"/>
      <w:r w:rsidRPr="003F567F">
        <w:rPr>
          <w:rFonts w:ascii="Arial" w:hAnsi="Arial" w:cs="Arial"/>
          <w:sz w:val="22"/>
          <w:szCs w:val="22"/>
        </w:rPr>
        <w:tab/>
      </w:r>
      <w:r w:rsidR="0075549E" w:rsidRPr="003F567F">
        <w:rPr>
          <w:rFonts w:ascii="Arial" w:hAnsi="Arial" w:cs="Arial"/>
          <w:sz w:val="22"/>
          <w:szCs w:val="22"/>
        </w:rPr>
        <w:t>Is open for more than 6 months.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7551F52D" w14:textId="77777777" w:rsidR="0075549E" w:rsidRPr="003F567F" w:rsidRDefault="003F567F" w:rsidP="00287357">
      <w:pPr>
        <w:pStyle w:val="DefaultText"/>
        <w:widowControl/>
        <w:tabs>
          <w:tab w:val="left" w:pos="1170"/>
        </w:tabs>
        <w:spacing w:after="100" w:afterAutospacing="1"/>
        <w:ind w:left="1170" w:hanging="450"/>
        <w:jc w:val="both"/>
        <w:rPr>
          <w:rFonts w:ascii="Arial" w:hAnsi="Arial" w:cs="Arial"/>
          <w:sz w:val="22"/>
          <w:szCs w:val="22"/>
        </w:rPr>
      </w:pPr>
      <w:r w:rsidRPr="003F567F">
        <w:rPr>
          <w:rFonts w:ascii="Arial" w:hAnsi="Arial" w:cs="Arial"/>
          <w:sz w:val="22"/>
          <w:szCs w:val="22"/>
        </w:rPr>
        <w:fldChar w:fldCharType="begin">
          <w:ffData>
            <w:name w:val="Check57"/>
            <w:enabled/>
            <w:calcOnExit w:val="0"/>
            <w:checkBox>
              <w:sizeAuto/>
              <w:default w:val="0"/>
              <w:checked w:val="0"/>
            </w:checkBox>
          </w:ffData>
        </w:fldChar>
      </w:r>
      <w:bookmarkStart w:id="27" w:name="Check57"/>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27"/>
      <w:r w:rsidRPr="003F567F">
        <w:rPr>
          <w:rFonts w:ascii="Arial" w:hAnsi="Arial" w:cs="Arial"/>
          <w:sz w:val="22"/>
          <w:szCs w:val="22"/>
        </w:rPr>
        <w:tab/>
      </w:r>
      <w:r w:rsidR="0075549E" w:rsidRPr="003F567F">
        <w:rPr>
          <w:rFonts w:ascii="Arial" w:hAnsi="Arial" w:cs="Arial"/>
          <w:sz w:val="22"/>
          <w:szCs w:val="22"/>
        </w:rPr>
        <w:t>Is closed by payment of an amount awarded as a result of a judicial proceeding or an amount set by insurer, whichever is less.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6437B5CF" w14:textId="77777777" w:rsidR="0075549E" w:rsidRPr="003F567F" w:rsidRDefault="00404AF8" w:rsidP="00EF3140">
      <w:pPr>
        <w:pStyle w:val="DefaultText"/>
        <w:widowControl/>
        <w:tabs>
          <w:tab w:val="left" w:pos="360"/>
        </w:tabs>
        <w:jc w:val="both"/>
        <w:rPr>
          <w:rFonts w:ascii="Arial" w:hAnsi="Arial" w:cs="Arial"/>
          <w:sz w:val="22"/>
          <w:szCs w:val="22"/>
        </w:rPr>
      </w:pPr>
      <w:r w:rsidRPr="003F567F">
        <w:rPr>
          <w:rFonts w:ascii="Arial" w:hAnsi="Arial" w:cs="Arial"/>
          <w:sz w:val="22"/>
          <w:szCs w:val="22"/>
        </w:rPr>
        <w:fldChar w:fldCharType="begin">
          <w:ffData>
            <w:name w:val="Check28"/>
            <w:enabled/>
            <w:calcOnExit w:val="0"/>
            <w:checkBox>
              <w:sizeAuto/>
              <w:default w:val="0"/>
              <w:checked w:val="0"/>
            </w:checkBox>
          </w:ffData>
        </w:fldChar>
      </w:r>
      <w:bookmarkStart w:id="28" w:name="Check28"/>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28"/>
      <w:r w:rsidRPr="003F567F">
        <w:rPr>
          <w:rFonts w:ascii="Arial" w:hAnsi="Arial" w:cs="Arial"/>
          <w:sz w:val="22"/>
          <w:szCs w:val="22"/>
        </w:rPr>
        <w:tab/>
      </w:r>
      <w:r w:rsidR="0075549E" w:rsidRPr="003F567F">
        <w:rPr>
          <w:rFonts w:ascii="Arial" w:hAnsi="Arial" w:cs="Arial"/>
          <w:sz w:val="22"/>
          <w:szCs w:val="22"/>
        </w:rPr>
        <w:t>All claim files are joint property of insurer and MGA</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4846A6C8" w14:textId="77777777" w:rsidR="0075549E" w:rsidRPr="003F567F" w:rsidRDefault="0075549E" w:rsidP="00EF3140">
      <w:pPr>
        <w:pStyle w:val="DefaultText"/>
        <w:widowControl/>
        <w:numPr>
          <w:ilvl w:val="12"/>
          <w:numId w:val="0"/>
        </w:numPr>
        <w:tabs>
          <w:tab w:val="left" w:pos="360"/>
        </w:tabs>
        <w:jc w:val="both"/>
        <w:rPr>
          <w:rFonts w:ascii="Arial" w:hAnsi="Arial" w:cs="Arial"/>
          <w:sz w:val="22"/>
          <w:szCs w:val="22"/>
        </w:rPr>
      </w:pPr>
      <w:r w:rsidRPr="003F567F">
        <w:rPr>
          <w:rFonts w:ascii="Arial" w:hAnsi="Arial" w:cs="Arial"/>
          <w:sz w:val="22"/>
          <w:szCs w:val="22"/>
        </w:rPr>
        <w:tab/>
        <w:t>(Upon order of liquidation of insurer, files become sole property of insurer or its estate.)</w:t>
      </w:r>
    </w:p>
    <w:p w14:paraId="597925AA" w14:textId="77777777" w:rsidR="0075549E" w:rsidRPr="003F567F" w:rsidRDefault="00404AF8" w:rsidP="00EF3140">
      <w:pPr>
        <w:pStyle w:val="DefaultText"/>
        <w:widowControl/>
        <w:tabs>
          <w:tab w:val="left" w:pos="360"/>
        </w:tabs>
        <w:jc w:val="both"/>
        <w:rPr>
          <w:rFonts w:ascii="Arial" w:hAnsi="Arial" w:cs="Arial"/>
          <w:sz w:val="22"/>
          <w:szCs w:val="22"/>
        </w:rPr>
      </w:pPr>
      <w:r w:rsidRPr="003F567F">
        <w:rPr>
          <w:rFonts w:ascii="Arial" w:hAnsi="Arial" w:cs="Arial"/>
          <w:sz w:val="22"/>
          <w:szCs w:val="22"/>
        </w:rPr>
        <w:fldChar w:fldCharType="begin">
          <w:ffData>
            <w:name w:val="Check29"/>
            <w:enabled/>
            <w:calcOnExit w:val="0"/>
            <w:checkBox>
              <w:sizeAuto/>
              <w:default w:val="0"/>
              <w:checked w:val="0"/>
            </w:checkBox>
          </w:ffData>
        </w:fldChar>
      </w:r>
      <w:bookmarkStart w:id="29" w:name="Check29"/>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29"/>
      <w:r w:rsidRPr="003F567F">
        <w:rPr>
          <w:rFonts w:ascii="Arial" w:hAnsi="Arial" w:cs="Arial"/>
          <w:sz w:val="22"/>
          <w:szCs w:val="22"/>
        </w:rPr>
        <w:tab/>
      </w:r>
      <w:r w:rsidR="0075549E" w:rsidRPr="003F567F">
        <w:rPr>
          <w:rFonts w:ascii="Arial" w:hAnsi="Arial" w:cs="Arial"/>
          <w:sz w:val="22"/>
          <w:szCs w:val="22"/>
        </w:rPr>
        <w:t>MGA has reasonable access to files.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17A6D0E3" w14:textId="77777777" w:rsidR="0075549E" w:rsidRPr="003F567F" w:rsidRDefault="00404AF8" w:rsidP="0006407F">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30"/>
            <w:enabled/>
            <w:calcOnExit w:val="0"/>
            <w:checkBox>
              <w:sizeAuto/>
              <w:default w:val="0"/>
              <w:checked w:val="0"/>
            </w:checkBox>
          </w:ffData>
        </w:fldChar>
      </w:r>
      <w:bookmarkStart w:id="30" w:name="Check30"/>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30"/>
      <w:r w:rsidRPr="003F567F">
        <w:rPr>
          <w:rFonts w:ascii="Arial" w:hAnsi="Arial" w:cs="Arial"/>
          <w:sz w:val="22"/>
          <w:szCs w:val="22"/>
        </w:rPr>
        <w:tab/>
      </w:r>
      <w:r w:rsidR="0075549E" w:rsidRPr="003F567F">
        <w:rPr>
          <w:rFonts w:ascii="Arial" w:hAnsi="Arial" w:cs="Arial"/>
          <w:sz w:val="22"/>
          <w:szCs w:val="22"/>
        </w:rPr>
        <w:t>Insurer may terminate settlement authority upon written notice or upon termination of contract.</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75A85E0B" w14:textId="77777777" w:rsidR="0075549E" w:rsidRPr="003F567F" w:rsidRDefault="00404AF8" w:rsidP="00EF3140">
      <w:pPr>
        <w:pStyle w:val="DefaultText"/>
        <w:widowControl/>
        <w:tabs>
          <w:tab w:val="left" w:pos="360"/>
        </w:tabs>
        <w:jc w:val="both"/>
        <w:rPr>
          <w:rFonts w:ascii="Arial" w:hAnsi="Arial" w:cs="Arial"/>
          <w:sz w:val="22"/>
          <w:szCs w:val="22"/>
        </w:rPr>
      </w:pPr>
      <w:r w:rsidRPr="003F567F">
        <w:rPr>
          <w:rFonts w:ascii="Arial" w:hAnsi="Arial" w:cs="Arial"/>
          <w:sz w:val="22"/>
          <w:szCs w:val="22"/>
        </w:rPr>
        <w:fldChar w:fldCharType="begin">
          <w:ffData>
            <w:name w:val="Check31"/>
            <w:enabled/>
            <w:calcOnExit w:val="0"/>
            <w:checkBox>
              <w:sizeAuto/>
              <w:default w:val="0"/>
              <w:checked w:val="0"/>
            </w:checkBox>
          </w:ffData>
        </w:fldChar>
      </w:r>
      <w:bookmarkStart w:id="31" w:name="Check31"/>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31"/>
      <w:r w:rsidRPr="003F567F">
        <w:rPr>
          <w:rFonts w:ascii="Arial" w:hAnsi="Arial" w:cs="Arial"/>
          <w:sz w:val="22"/>
          <w:szCs w:val="22"/>
        </w:rPr>
        <w:tab/>
      </w:r>
      <w:r w:rsidR="0075549E" w:rsidRPr="003F567F">
        <w:rPr>
          <w:rFonts w:ascii="Arial" w:hAnsi="Arial" w:cs="Arial"/>
          <w:sz w:val="22"/>
          <w:szCs w:val="22"/>
        </w:rPr>
        <w:t>Insurer may suspend settlement authority while termination dispute is pending.</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p>
    <w:p w14:paraId="572CB412" w14:textId="77777777" w:rsidR="0075549E" w:rsidRPr="003F567F" w:rsidRDefault="00404AF8" w:rsidP="00741B25">
      <w:pPr>
        <w:pStyle w:val="DefaultText"/>
        <w:widowControl/>
        <w:tabs>
          <w:tab w:val="left" w:pos="360"/>
        </w:tabs>
        <w:spacing w:after="100" w:afterAutospacing="1"/>
        <w:jc w:val="both"/>
        <w:rPr>
          <w:rFonts w:ascii="Arial" w:hAnsi="Arial" w:cs="Arial"/>
          <w:sz w:val="22"/>
          <w:szCs w:val="22"/>
        </w:rPr>
      </w:pPr>
      <w:r w:rsidRPr="003F567F">
        <w:rPr>
          <w:rFonts w:ascii="Arial" w:hAnsi="Arial" w:cs="Arial"/>
          <w:sz w:val="22"/>
          <w:szCs w:val="22"/>
        </w:rPr>
        <w:fldChar w:fldCharType="begin">
          <w:ffData>
            <w:name w:val="Check32"/>
            <w:enabled/>
            <w:calcOnExit w:val="0"/>
            <w:checkBox>
              <w:sizeAuto/>
              <w:default w:val="0"/>
              <w:checked w:val="0"/>
            </w:checkBox>
          </w:ffData>
        </w:fldChar>
      </w:r>
      <w:bookmarkStart w:id="32" w:name="Check32"/>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32"/>
      <w:r w:rsidRPr="003F567F">
        <w:rPr>
          <w:rFonts w:ascii="Arial" w:hAnsi="Arial" w:cs="Arial"/>
          <w:sz w:val="22"/>
          <w:szCs w:val="22"/>
        </w:rPr>
        <w:tab/>
      </w:r>
      <w:r w:rsidR="0075549E" w:rsidRPr="003F567F">
        <w:rPr>
          <w:rFonts w:ascii="Arial" w:hAnsi="Arial" w:cs="Arial"/>
          <w:sz w:val="22"/>
          <w:szCs w:val="22"/>
        </w:rPr>
        <w:t>Upon termination  of settlement authority MGA shall:</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6904FBEA" w14:textId="77777777" w:rsidR="0075549E" w:rsidRPr="003F567F" w:rsidRDefault="003F567F" w:rsidP="003F567F">
      <w:pPr>
        <w:pStyle w:val="DefaultText"/>
        <w:widowControl/>
        <w:tabs>
          <w:tab w:val="left" w:pos="1170"/>
          <w:tab w:val="left" w:pos="1620"/>
        </w:tabs>
        <w:ind w:left="720"/>
        <w:jc w:val="both"/>
        <w:rPr>
          <w:rFonts w:ascii="Arial" w:hAnsi="Arial" w:cs="Arial"/>
          <w:sz w:val="22"/>
          <w:szCs w:val="22"/>
        </w:rPr>
      </w:pPr>
      <w:r w:rsidRPr="003F567F">
        <w:rPr>
          <w:rFonts w:ascii="Arial" w:hAnsi="Arial" w:cs="Arial"/>
          <w:sz w:val="22"/>
          <w:szCs w:val="22"/>
        </w:rPr>
        <w:fldChar w:fldCharType="begin">
          <w:ffData>
            <w:name w:val="Check49"/>
            <w:enabled/>
            <w:calcOnExit w:val="0"/>
            <w:checkBox>
              <w:sizeAuto/>
              <w:default w:val="0"/>
              <w:checked w:val="0"/>
            </w:checkBox>
          </w:ffData>
        </w:fldChar>
      </w:r>
      <w:bookmarkStart w:id="33" w:name="Check49"/>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33"/>
      <w:r w:rsidRPr="003F567F">
        <w:rPr>
          <w:rFonts w:ascii="Arial" w:hAnsi="Arial" w:cs="Arial"/>
          <w:sz w:val="22"/>
          <w:szCs w:val="22"/>
        </w:rPr>
        <w:tab/>
      </w:r>
      <w:r w:rsidR="0075549E" w:rsidRPr="003F567F">
        <w:rPr>
          <w:rFonts w:ascii="Arial" w:hAnsi="Arial" w:cs="Arial"/>
          <w:sz w:val="22"/>
          <w:szCs w:val="22"/>
        </w:rPr>
        <w:t>Desist from any draw on funds of insurer.</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7F4136FE" w14:textId="77777777" w:rsidR="0075549E" w:rsidRPr="003F567F" w:rsidRDefault="003F567F" w:rsidP="003F567F">
      <w:pPr>
        <w:pStyle w:val="DefaultText"/>
        <w:widowControl/>
        <w:tabs>
          <w:tab w:val="left" w:pos="1170"/>
          <w:tab w:val="left" w:pos="1620"/>
        </w:tabs>
        <w:ind w:left="1170" w:hanging="450"/>
        <w:jc w:val="both"/>
        <w:rPr>
          <w:rFonts w:ascii="Arial" w:hAnsi="Arial" w:cs="Arial"/>
          <w:sz w:val="22"/>
          <w:szCs w:val="22"/>
        </w:rPr>
      </w:pPr>
      <w:r w:rsidRPr="003F567F">
        <w:rPr>
          <w:rFonts w:ascii="Arial" w:hAnsi="Arial" w:cs="Arial"/>
          <w:sz w:val="22"/>
          <w:szCs w:val="22"/>
        </w:rPr>
        <w:fldChar w:fldCharType="begin">
          <w:ffData>
            <w:name w:val="Check50"/>
            <w:enabled/>
            <w:calcOnExit w:val="0"/>
            <w:checkBox>
              <w:sizeAuto/>
              <w:default w:val="0"/>
              <w:checked w:val="0"/>
            </w:checkBox>
          </w:ffData>
        </w:fldChar>
      </w:r>
      <w:bookmarkStart w:id="34" w:name="Check50"/>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34"/>
      <w:r w:rsidRPr="003F567F">
        <w:rPr>
          <w:rFonts w:ascii="Arial" w:hAnsi="Arial" w:cs="Arial"/>
          <w:sz w:val="22"/>
          <w:szCs w:val="22"/>
        </w:rPr>
        <w:tab/>
      </w:r>
      <w:r w:rsidR="0075549E" w:rsidRPr="003F567F">
        <w:rPr>
          <w:rFonts w:ascii="Arial" w:hAnsi="Arial" w:cs="Arial"/>
          <w:sz w:val="22"/>
          <w:szCs w:val="22"/>
        </w:rPr>
        <w:t>Immediately forward to insurer all claims files within MGA’s immediate possession (and any received thereafter).</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03E79933" w14:textId="77777777" w:rsidR="0075549E" w:rsidRPr="003F567F" w:rsidRDefault="003F567F" w:rsidP="0006407F">
      <w:pPr>
        <w:pStyle w:val="DefaultText"/>
        <w:widowControl/>
        <w:tabs>
          <w:tab w:val="left" w:pos="1170"/>
          <w:tab w:val="left" w:pos="1620"/>
        </w:tabs>
        <w:ind w:left="1170" w:hanging="450"/>
        <w:jc w:val="both"/>
        <w:rPr>
          <w:rFonts w:ascii="Arial" w:hAnsi="Arial" w:cs="Arial"/>
          <w:sz w:val="22"/>
          <w:szCs w:val="22"/>
        </w:rPr>
      </w:pPr>
      <w:r w:rsidRPr="003F567F">
        <w:rPr>
          <w:rFonts w:ascii="Arial" w:hAnsi="Arial" w:cs="Arial"/>
          <w:sz w:val="22"/>
          <w:szCs w:val="22"/>
        </w:rPr>
        <w:fldChar w:fldCharType="begin">
          <w:ffData>
            <w:name w:val="Check51"/>
            <w:enabled/>
            <w:calcOnExit w:val="0"/>
            <w:checkBox>
              <w:sizeAuto/>
              <w:default w:val="0"/>
              <w:checked w:val="0"/>
            </w:checkBox>
          </w:ffData>
        </w:fldChar>
      </w:r>
      <w:bookmarkStart w:id="35" w:name="Check51"/>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35"/>
      <w:r w:rsidRPr="003F567F">
        <w:rPr>
          <w:rFonts w:ascii="Arial" w:hAnsi="Arial" w:cs="Arial"/>
          <w:sz w:val="22"/>
          <w:szCs w:val="22"/>
        </w:rPr>
        <w:tab/>
      </w:r>
      <w:r w:rsidR="0075549E" w:rsidRPr="003F567F">
        <w:rPr>
          <w:rFonts w:ascii="Arial" w:hAnsi="Arial" w:cs="Arial"/>
          <w:sz w:val="22"/>
          <w:szCs w:val="22"/>
        </w:rPr>
        <w:t>Promptly transfer to insurer any funds owed to insurer or to any policyholder.</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66ECF4CB" w14:textId="77777777" w:rsidR="0075549E" w:rsidRPr="003F567F" w:rsidRDefault="003F567F" w:rsidP="003F567F">
      <w:pPr>
        <w:pStyle w:val="DefaultText"/>
        <w:widowControl/>
        <w:tabs>
          <w:tab w:val="left" w:pos="1170"/>
          <w:tab w:val="left" w:pos="1620"/>
        </w:tabs>
        <w:ind w:left="1170" w:hanging="450"/>
        <w:jc w:val="both"/>
        <w:rPr>
          <w:rFonts w:ascii="Arial" w:hAnsi="Arial" w:cs="Arial"/>
          <w:sz w:val="22"/>
          <w:szCs w:val="22"/>
        </w:rPr>
      </w:pPr>
      <w:r w:rsidRPr="003F567F">
        <w:rPr>
          <w:rFonts w:ascii="Arial" w:hAnsi="Arial" w:cs="Arial"/>
          <w:sz w:val="22"/>
          <w:szCs w:val="22"/>
        </w:rPr>
        <w:fldChar w:fldCharType="begin">
          <w:ffData>
            <w:name w:val="Check52"/>
            <w:enabled/>
            <w:calcOnExit w:val="0"/>
            <w:checkBox>
              <w:sizeAuto/>
              <w:default w:val="0"/>
              <w:checked w:val="0"/>
            </w:checkBox>
          </w:ffData>
        </w:fldChar>
      </w:r>
      <w:bookmarkStart w:id="36" w:name="Check52"/>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36"/>
      <w:r w:rsidRPr="003F567F">
        <w:rPr>
          <w:rFonts w:ascii="Arial" w:hAnsi="Arial" w:cs="Arial"/>
          <w:sz w:val="22"/>
          <w:szCs w:val="22"/>
        </w:rPr>
        <w:tab/>
      </w:r>
      <w:r w:rsidR="0075549E" w:rsidRPr="003F567F">
        <w:rPr>
          <w:rFonts w:ascii="Arial" w:hAnsi="Arial" w:cs="Arial"/>
          <w:sz w:val="22"/>
          <w:szCs w:val="22"/>
        </w:rPr>
        <w:t>Promptly transfer to insurer any property of insurer within MGA’s actual or constructive possession.</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2B780396" w14:textId="77777777" w:rsidR="0075549E" w:rsidRPr="003F567F" w:rsidRDefault="0075549E" w:rsidP="00EF3140">
      <w:pPr>
        <w:pStyle w:val="DefaultText"/>
        <w:widowControl/>
        <w:tabs>
          <w:tab w:val="left" w:pos="720"/>
        </w:tabs>
        <w:ind w:left="720" w:hanging="720"/>
        <w:jc w:val="both"/>
        <w:rPr>
          <w:rFonts w:ascii="Arial" w:hAnsi="Arial" w:cs="Arial"/>
          <w:b/>
          <w:bCs/>
          <w:sz w:val="22"/>
          <w:szCs w:val="22"/>
        </w:rPr>
      </w:pPr>
    </w:p>
    <w:p w14:paraId="362E644A" w14:textId="77777777" w:rsidR="0075549E" w:rsidRPr="003F567F" w:rsidRDefault="0075549E" w:rsidP="00EF3140">
      <w:pPr>
        <w:pStyle w:val="DefaultText"/>
        <w:widowControl/>
        <w:tabs>
          <w:tab w:val="left" w:pos="720"/>
        </w:tabs>
        <w:ind w:left="720" w:hanging="720"/>
        <w:jc w:val="both"/>
        <w:rPr>
          <w:rFonts w:ascii="Arial" w:hAnsi="Arial" w:cs="Arial"/>
          <w:sz w:val="22"/>
          <w:szCs w:val="22"/>
        </w:rPr>
      </w:pPr>
      <w:r w:rsidRPr="003F567F">
        <w:rPr>
          <w:rFonts w:ascii="Arial" w:hAnsi="Arial" w:cs="Arial"/>
          <w:b/>
          <w:bCs/>
          <w:sz w:val="22"/>
          <w:szCs w:val="22"/>
        </w:rPr>
        <w:t>Transmission</w:t>
      </w:r>
    </w:p>
    <w:p w14:paraId="2CCA39B5" w14:textId="77777777" w:rsidR="0075549E" w:rsidRPr="003F567F" w:rsidRDefault="00404AF8" w:rsidP="00EF3140">
      <w:pPr>
        <w:pStyle w:val="DefaultText"/>
        <w:widowControl/>
        <w:tabs>
          <w:tab w:val="left" w:pos="360"/>
        </w:tabs>
        <w:jc w:val="both"/>
        <w:rPr>
          <w:rFonts w:ascii="Arial" w:hAnsi="Arial" w:cs="Arial"/>
          <w:sz w:val="22"/>
          <w:szCs w:val="22"/>
        </w:rPr>
      </w:pPr>
      <w:r w:rsidRPr="003F567F">
        <w:rPr>
          <w:rFonts w:ascii="Arial" w:hAnsi="Arial" w:cs="Arial"/>
          <w:sz w:val="22"/>
          <w:szCs w:val="22"/>
        </w:rPr>
        <w:fldChar w:fldCharType="begin">
          <w:ffData>
            <w:name w:val="Check33"/>
            <w:enabled/>
            <w:calcOnExit w:val="0"/>
            <w:checkBox>
              <w:sizeAuto/>
              <w:default w:val="0"/>
              <w:checked w:val="0"/>
            </w:checkBox>
          </w:ffData>
        </w:fldChar>
      </w:r>
      <w:bookmarkStart w:id="37" w:name="Check33"/>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37"/>
      <w:r w:rsidRPr="003F567F">
        <w:rPr>
          <w:rFonts w:ascii="Arial" w:hAnsi="Arial" w:cs="Arial"/>
          <w:sz w:val="22"/>
          <w:szCs w:val="22"/>
        </w:rPr>
        <w:tab/>
      </w:r>
      <w:r w:rsidR="0075549E" w:rsidRPr="003F567F">
        <w:rPr>
          <w:rFonts w:ascii="Arial" w:hAnsi="Arial" w:cs="Arial"/>
          <w:sz w:val="22"/>
          <w:szCs w:val="22"/>
        </w:rPr>
        <w:t>If electronic claims files exist - contract addresses timely data transmission.</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p>
    <w:p w14:paraId="6514B1E3" w14:textId="77777777" w:rsidR="0075549E" w:rsidRPr="003F567F" w:rsidRDefault="0075549E" w:rsidP="00EF3140">
      <w:pPr>
        <w:pStyle w:val="DefaultText"/>
        <w:widowControl/>
        <w:tabs>
          <w:tab w:val="left" w:pos="720"/>
        </w:tabs>
        <w:ind w:left="720" w:hanging="720"/>
        <w:jc w:val="both"/>
        <w:rPr>
          <w:rFonts w:ascii="Arial" w:hAnsi="Arial" w:cs="Arial"/>
          <w:b/>
          <w:bCs/>
          <w:sz w:val="22"/>
          <w:szCs w:val="22"/>
        </w:rPr>
      </w:pPr>
    </w:p>
    <w:p w14:paraId="65F94933" w14:textId="77777777" w:rsidR="0075549E" w:rsidRPr="003F567F" w:rsidRDefault="0075549E" w:rsidP="00EF3140">
      <w:pPr>
        <w:pStyle w:val="DefaultText"/>
        <w:widowControl/>
        <w:tabs>
          <w:tab w:val="left" w:pos="720"/>
        </w:tabs>
        <w:ind w:left="720" w:hanging="720"/>
        <w:jc w:val="both"/>
        <w:rPr>
          <w:rFonts w:ascii="Arial" w:hAnsi="Arial" w:cs="Arial"/>
          <w:sz w:val="22"/>
          <w:szCs w:val="22"/>
        </w:rPr>
      </w:pPr>
      <w:r w:rsidRPr="003F567F">
        <w:rPr>
          <w:rFonts w:ascii="Arial" w:hAnsi="Arial" w:cs="Arial"/>
          <w:b/>
          <w:bCs/>
          <w:sz w:val="22"/>
          <w:szCs w:val="22"/>
        </w:rPr>
        <w:t>Interim profits (If applicable)</w:t>
      </w:r>
    </w:p>
    <w:p w14:paraId="277A0D69" w14:textId="77777777" w:rsidR="0075549E" w:rsidRPr="003F567F" w:rsidRDefault="00404AF8" w:rsidP="00360F8E">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34"/>
            <w:enabled/>
            <w:calcOnExit w:val="0"/>
            <w:checkBox>
              <w:sizeAuto/>
              <w:default w:val="0"/>
            </w:checkBox>
          </w:ffData>
        </w:fldChar>
      </w:r>
      <w:bookmarkStart w:id="38" w:name="Check34"/>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38"/>
      <w:r w:rsidRPr="003F567F">
        <w:rPr>
          <w:rFonts w:ascii="Arial" w:hAnsi="Arial" w:cs="Arial"/>
          <w:sz w:val="22"/>
          <w:szCs w:val="22"/>
        </w:rPr>
        <w:tab/>
      </w:r>
      <w:r w:rsidR="0075549E" w:rsidRPr="003F567F">
        <w:rPr>
          <w:rFonts w:ascii="Arial" w:hAnsi="Arial" w:cs="Arial"/>
          <w:sz w:val="22"/>
          <w:szCs w:val="22"/>
        </w:rPr>
        <w:t>Interims may not be paid until 1 year after earned for property; 5 years for casualty.</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10612D7E" w14:textId="77777777" w:rsidR="0075549E" w:rsidRPr="003F567F" w:rsidRDefault="00404AF8" w:rsidP="00EF3140">
      <w:pPr>
        <w:pStyle w:val="DefaultText"/>
        <w:widowControl/>
        <w:tabs>
          <w:tab w:val="left" w:pos="360"/>
        </w:tabs>
        <w:jc w:val="both"/>
        <w:rPr>
          <w:rFonts w:ascii="Arial" w:hAnsi="Arial" w:cs="Arial"/>
          <w:sz w:val="22"/>
          <w:szCs w:val="22"/>
        </w:rPr>
      </w:pPr>
      <w:r w:rsidRPr="003F567F">
        <w:rPr>
          <w:rFonts w:ascii="Arial" w:hAnsi="Arial" w:cs="Arial"/>
          <w:sz w:val="22"/>
          <w:szCs w:val="22"/>
        </w:rPr>
        <w:fldChar w:fldCharType="begin">
          <w:ffData>
            <w:name w:val="Check35"/>
            <w:enabled/>
            <w:calcOnExit w:val="0"/>
            <w:checkBox>
              <w:sizeAuto/>
              <w:default w:val="0"/>
            </w:checkBox>
          </w:ffData>
        </w:fldChar>
      </w:r>
      <w:bookmarkStart w:id="39" w:name="Check35"/>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39"/>
      <w:r w:rsidRPr="003F567F">
        <w:rPr>
          <w:rFonts w:ascii="Arial" w:hAnsi="Arial" w:cs="Arial"/>
          <w:sz w:val="22"/>
          <w:szCs w:val="22"/>
        </w:rPr>
        <w:tab/>
      </w:r>
      <w:r w:rsidR="0075549E" w:rsidRPr="003F567F">
        <w:rPr>
          <w:rFonts w:ascii="Arial" w:hAnsi="Arial" w:cs="Arial"/>
          <w:sz w:val="22"/>
          <w:szCs w:val="22"/>
        </w:rPr>
        <w:t>Interims may not be paid until verified by actuary.</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7B1B0506" w14:textId="77777777" w:rsidR="0075549E" w:rsidRPr="003F567F" w:rsidRDefault="0075549E" w:rsidP="00EF3140">
      <w:pPr>
        <w:pStyle w:val="DefaultText"/>
        <w:widowControl/>
        <w:tabs>
          <w:tab w:val="left" w:pos="720"/>
        </w:tabs>
        <w:ind w:left="720" w:hanging="720"/>
        <w:jc w:val="both"/>
        <w:rPr>
          <w:rFonts w:ascii="Arial" w:hAnsi="Arial" w:cs="Arial"/>
          <w:b/>
          <w:bCs/>
          <w:sz w:val="22"/>
          <w:szCs w:val="22"/>
        </w:rPr>
      </w:pPr>
    </w:p>
    <w:p w14:paraId="569CB79B" w14:textId="77777777" w:rsidR="0075549E" w:rsidRPr="003F567F" w:rsidRDefault="0075549E" w:rsidP="00EF3140">
      <w:pPr>
        <w:pStyle w:val="DefaultText"/>
        <w:widowControl/>
        <w:tabs>
          <w:tab w:val="left" w:pos="720"/>
        </w:tabs>
        <w:ind w:left="720" w:hanging="720"/>
        <w:jc w:val="both"/>
        <w:rPr>
          <w:rFonts w:ascii="Arial" w:hAnsi="Arial" w:cs="Arial"/>
          <w:sz w:val="22"/>
          <w:szCs w:val="22"/>
        </w:rPr>
      </w:pPr>
      <w:r w:rsidRPr="003F567F">
        <w:rPr>
          <w:rFonts w:ascii="Arial" w:hAnsi="Arial" w:cs="Arial"/>
          <w:b/>
          <w:bCs/>
          <w:sz w:val="22"/>
          <w:szCs w:val="22"/>
        </w:rPr>
        <w:t>MGA may not:</w:t>
      </w:r>
    </w:p>
    <w:p w14:paraId="553C9C09" w14:textId="77777777" w:rsidR="0075549E" w:rsidRPr="003F567F" w:rsidRDefault="00404AF8" w:rsidP="00EF3140">
      <w:pPr>
        <w:pStyle w:val="DefaultText"/>
        <w:widowControl/>
        <w:tabs>
          <w:tab w:val="left" w:pos="360"/>
        </w:tabs>
        <w:jc w:val="both"/>
        <w:rPr>
          <w:rFonts w:ascii="Arial" w:hAnsi="Arial" w:cs="Arial"/>
          <w:sz w:val="22"/>
          <w:szCs w:val="22"/>
        </w:rPr>
      </w:pPr>
      <w:r w:rsidRPr="003F567F">
        <w:rPr>
          <w:rFonts w:ascii="Arial" w:hAnsi="Arial" w:cs="Arial"/>
          <w:sz w:val="22"/>
          <w:szCs w:val="22"/>
        </w:rPr>
        <w:fldChar w:fldCharType="begin">
          <w:ffData>
            <w:name w:val="Check36"/>
            <w:enabled/>
            <w:calcOnExit w:val="0"/>
            <w:checkBox>
              <w:sizeAuto/>
              <w:default w:val="0"/>
              <w:checked w:val="0"/>
            </w:checkBox>
          </w:ffData>
        </w:fldChar>
      </w:r>
      <w:bookmarkStart w:id="40" w:name="Check36"/>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40"/>
      <w:r w:rsidRPr="003F567F">
        <w:rPr>
          <w:rFonts w:ascii="Arial" w:hAnsi="Arial" w:cs="Arial"/>
          <w:sz w:val="22"/>
          <w:szCs w:val="22"/>
        </w:rPr>
        <w:tab/>
      </w:r>
      <w:r w:rsidR="0075549E" w:rsidRPr="003F567F">
        <w:rPr>
          <w:rFonts w:ascii="Arial" w:hAnsi="Arial" w:cs="Arial"/>
          <w:sz w:val="22"/>
          <w:szCs w:val="22"/>
        </w:rPr>
        <w:t>Assign contract (in whole or part).</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113AE03C" w14:textId="77777777" w:rsidR="0075549E" w:rsidRPr="003F567F" w:rsidRDefault="00404AF8" w:rsidP="0006407F">
      <w:pPr>
        <w:pStyle w:val="DefaultText"/>
        <w:widowControl/>
        <w:tabs>
          <w:tab w:val="left" w:pos="360"/>
        </w:tabs>
        <w:spacing w:after="100" w:afterAutospacing="1"/>
        <w:ind w:left="360" w:hanging="360"/>
        <w:jc w:val="both"/>
        <w:rPr>
          <w:rFonts w:ascii="Arial" w:hAnsi="Arial" w:cs="Arial"/>
          <w:sz w:val="22"/>
          <w:szCs w:val="22"/>
        </w:rPr>
      </w:pPr>
      <w:r w:rsidRPr="003F567F">
        <w:rPr>
          <w:rFonts w:ascii="Arial" w:hAnsi="Arial" w:cs="Arial"/>
          <w:sz w:val="22"/>
          <w:szCs w:val="22"/>
        </w:rPr>
        <w:fldChar w:fldCharType="begin">
          <w:ffData>
            <w:name w:val="Check37"/>
            <w:enabled/>
            <w:calcOnExit w:val="0"/>
            <w:checkBox>
              <w:sizeAuto/>
              <w:default w:val="0"/>
              <w:checked w:val="0"/>
            </w:checkBox>
          </w:ffData>
        </w:fldChar>
      </w:r>
      <w:bookmarkStart w:id="41" w:name="Check37"/>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41"/>
      <w:r w:rsidRPr="003F567F">
        <w:rPr>
          <w:rFonts w:ascii="Arial" w:hAnsi="Arial" w:cs="Arial"/>
          <w:sz w:val="22"/>
          <w:szCs w:val="22"/>
        </w:rPr>
        <w:tab/>
      </w:r>
      <w:r w:rsidR="0075549E" w:rsidRPr="003F567F">
        <w:rPr>
          <w:rFonts w:ascii="Arial" w:hAnsi="Arial" w:cs="Arial"/>
          <w:sz w:val="22"/>
          <w:szCs w:val="22"/>
        </w:rPr>
        <w:t>Bind reinsurance or retrocessions (except facultative agreement contract containing:</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1AB924E8" w14:textId="77777777" w:rsidR="0075549E" w:rsidRPr="003F567F" w:rsidRDefault="003F567F" w:rsidP="00360F8E">
      <w:pPr>
        <w:pStyle w:val="DefaultText"/>
        <w:widowControl/>
        <w:tabs>
          <w:tab w:val="left" w:pos="1170"/>
          <w:tab w:val="left" w:pos="1620"/>
        </w:tabs>
        <w:ind w:left="1170" w:hanging="450"/>
        <w:jc w:val="both"/>
        <w:rPr>
          <w:rFonts w:ascii="Arial" w:hAnsi="Arial" w:cs="Arial"/>
          <w:sz w:val="22"/>
          <w:szCs w:val="22"/>
        </w:rPr>
      </w:pPr>
      <w:r w:rsidRPr="003F567F">
        <w:rPr>
          <w:rFonts w:ascii="Arial" w:hAnsi="Arial" w:cs="Arial"/>
          <w:sz w:val="22"/>
          <w:szCs w:val="22"/>
        </w:rPr>
        <w:fldChar w:fldCharType="begin">
          <w:ffData>
            <w:name w:val="Check45"/>
            <w:enabled/>
            <w:calcOnExit w:val="0"/>
            <w:checkBox>
              <w:sizeAuto/>
              <w:default w:val="0"/>
              <w:checked w:val="0"/>
            </w:checkBox>
          </w:ffData>
        </w:fldChar>
      </w:r>
      <w:bookmarkStart w:id="42" w:name="Check45"/>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42"/>
      <w:r w:rsidRPr="003F567F">
        <w:rPr>
          <w:rFonts w:ascii="Arial" w:hAnsi="Arial" w:cs="Arial"/>
          <w:sz w:val="22"/>
          <w:szCs w:val="22"/>
        </w:rPr>
        <w:tab/>
      </w:r>
      <w:r w:rsidR="0075549E" w:rsidRPr="003F567F">
        <w:rPr>
          <w:rFonts w:ascii="Arial" w:hAnsi="Arial" w:cs="Arial"/>
          <w:sz w:val="22"/>
          <w:szCs w:val="22"/>
        </w:rPr>
        <w:t>Reinsurance underwriting guidelines for reinsurance assumed and ceded.</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4BC99A38" w14:textId="77777777" w:rsidR="0075549E" w:rsidRPr="003F567F" w:rsidRDefault="003F567F" w:rsidP="003F567F">
      <w:pPr>
        <w:pStyle w:val="DefaultText"/>
        <w:widowControl/>
        <w:tabs>
          <w:tab w:val="left" w:pos="1170"/>
          <w:tab w:val="left" w:pos="1620"/>
        </w:tabs>
        <w:ind w:left="720"/>
        <w:jc w:val="both"/>
        <w:rPr>
          <w:rFonts w:ascii="Arial" w:hAnsi="Arial" w:cs="Arial"/>
          <w:sz w:val="22"/>
          <w:szCs w:val="22"/>
        </w:rPr>
      </w:pPr>
      <w:r w:rsidRPr="003F567F">
        <w:rPr>
          <w:rFonts w:ascii="Arial" w:hAnsi="Arial" w:cs="Arial"/>
          <w:sz w:val="22"/>
          <w:szCs w:val="22"/>
        </w:rPr>
        <w:fldChar w:fldCharType="begin">
          <w:ffData>
            <w:name w:val="Check46"/>
            <w:enabled/>
            <w:calcOnExit w:val="0"/>
            <w:checkBox>
              <w:sizeAuto/>
              <w:default w:val="0"/>
            </w:checkBox>
          </w:ffData>
        </w:fldChar>
      </w:r>
      <w:bookmarkStart w:id="43" w:name="Check46"/>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43"/>
      <w:r w:rsidRPr="003F567F">
        <w:rPr>
          <w:rFonts w:ascii="Arial" w:hAnsi="Arial" w:cs="Arial"/>
          <w:sz w:val="22"/>
          <w:szCs w:val="22"/>
        </w:rPr>
        <w:tab/>
      </w:r>
      <w:r w:rsidR="0075549E" w:rsidRPr="003F567F">
        <w:rPr>
          <w:rFonts w:ascii="Arial" w:hAnsi="Arial" w:cs="Arial"/>
          <w:sz w:val="22"/>
          <w:szCs w:val="22"/>
        </w:rPr>
        <w:t>List of reinsurers with which automatic agreements are in effect.</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102E2A31" w14:textId="77777777" w:rsidR="0075549E" w:rsidRPr="003F567F" w:rsidRDefault="003F567F" w:rsidP="003F567F">
      <w:pPr>
        <w:pStyle w:val="DefaultText"/>
        <w:widowControl/>
        <w:tabs>
          <w:tab w:val="left" w:pos="1170"/>
          <w:tab w:val="left" w:pos="1620"/>
        </w:tabs>
        <w:ind w:left="720"/>
        <w:jc w:val="both"/>
        <w:rPr>
          <w:rFonts w:ascii="Arial" w:hAnsi="Arial" w:cs="Arial"/>
          <w:sz w:val="22"/>
          <w:szCs w:val="22"/>
        </w:rPr>
      </w:pPr>
      <w:r w:rsidRPr="003F567F">
        <w:rPr>
          <w:rFonts w:ascii="Arial" w:hAnsi="Arial" w:cs="Arial"/>
          <w:sz w:val="22"/>
          <w:szCs w:val="22"/>
        </w:rPr>
        <w:fldChar w:fldCharType="begin">
          <w:ffData>
            <w:name w:val="Check47"/>
            <w:enabled/>
            <w:calcOnExit w:val="0"/>
            <w:checkBox>
              <w:sizeAuto/>
              <w:default w:val="0"/>
            </w:checkBox>
          </w:ffData>
        </w:fldChar>
      </w:r>
      <w:bookmarkStart w:id="44" w:name="Check47"/>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44"/>
      <w:r w:rsidRPr="003F567F">
        <w:rPr>
          <w:rFonts w:ascii="Arial" w:hAnsi="Arial" w:cs="Arial"/>
          <w:sz w:val="22"/>
          <w:szCs w:val="22"/>
        </w:rPr>
        <w:tab/>
      </w:r>
      <w:r w:rsidR="0075549E" w:rsidRPr="003F567F">
        <w:rPr>
          <w:rFonts w:ascii="Arial" w:hAnsi="Arial" w:cs="Arial"/>
          <w:sz w:val="22"/>
          <w:szCs w:val="22"/>
        </w:rPr>
        <w:t>Coverages and amounts or percentages that may be reinsured.</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56155717" w14:textId="77777777" w:rsidR="0075549E" w:rsidRPr="003F567F" w:rsidRDefault="003F567F" w:rsidP="003F567F">
      <w:pPr>
        <w:pStyle w:val="DefaultText"/>
        <w:widowControl/>
        <w:tabs>
          <w:tab w:val="left" w:pos="1170"/>
          <w:tab w:val="left" w:pos="1620"/>
        </w:tabs>
        <w:spacing w:after="100" w:afterAutospacing="1"/>
        <w:ind w:left="720"/>
        <w:jc w:val="both"/>
        <w:rPr>
          <w:rFonts w:ascii="Arial" w:hAnsi="Arial" w:cs="Arial"/>
          <w:sz w:val="22"/>
          <w:szCs w:val="22"/>
        </w:rPr>
      </w:pPr>
      <w:r w:rsidRPr="003F567F">
        <w:rPr>
          <w:rFonts w:ascii="Arial" w:hAnsi="Arial" w:cs="Arial"/>
          <w:sz w:val="22"/>
          <w:szCs w:val="22"/>
        </w:rPr>
        <w:fldChar w:fldCharType="begin">
          <w:ffData>
            <w:name w:val="Check48"/>
            <w:enabled/>
            <w:calcOnExit w:val="0"/>
            <w:checkBox>
              <w:sizeAuto/>
              <w:default w:val="0"/>
            </w:checkBox>
          </w:ffData>
        </w:fldChar>
      </w:r>
      <w:bookmarkStart w:id="45" w:name="Check48"/>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45"/>
      <w:r w:rsidRPr="003F567F">
        <w:rPr>
          <w:rFonts w:ascii="Arial" w:hAnsi="Arial" w:cs="Arial"/>
          <w:sz w:val="22"/>
          <w:szCs w:val="22"/>
        </w:rPr>
        <w:tab/>
      </w:r>
      <w:r w:rsidR="0075549E" w:rsidRPr="003F567F">
        <w:rPr>
          <w:rFonts w:ascii="Arial" w:hAnsi="Arial" w:cs="Arial"/>
          <w:sz w:val="22"/>
          <w:szCs w:val="22"/>
        </w:rPr>
        <w:t>Commission schedules.)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0BBAFD87" w14:textId="77777777" w:rsidR="0075549E" w:rsidRPr="003F567F" w:rsidRDefault="00404AF8" w:rsidP="00EF3140">
      <w:pPr>
        <w:pStyle w:val="DefaultText"/>
        <w:widowControl/>
        <w:tabs>
          <w:tab w:val="left" w:pos="360"/>
        </w:tabs>
        <w:jc w:val="both"/>
        <w:rPr>
          <w:rFonts w:ascii="Arial" w:hAnsi="Arial" w:cs="Arial"/>
          <w:sz w:val="22"/>
          <w:szCs w:val="22"/>
        </w:rPr>
      </w:pPr>
      <w:r w:rsidRPr="003F567F">
        <w:rPr>
          <w:rFonts w:ascii="Arial" w:hAnsi="Arial" w:cs="Arial"/>
          <w:sz w:val="22"/>
          <w:szCs w:val="22"/>
        </w:rPr>
        <w:fldChar w:fldCharType="begin">
          <w:ffData>
            <w:name w:val="Check38"/>
            <w:enabled/>
            <w:calcOnExit w:val="0"/>
            <w:checkBox>
              <w:sizeAuto/>
              <w:default w:val="0"/>
              <w:checked w:val="0"/>
            </w:checkBox>
          </w:ffData>
        </w:fldChar>
      </w:r>
      <w:bookmarkStart w:id="46" w:name="Check38"/>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46"/>
      <w:r w:rsidRPr="003F567F">
        <w:rPr>
          <w:rFonts w:ascii="Arial" w:hAnsi="Arial" w:cs="Arial"/>
          <w:sz w:val="22"/>
          <w:szCs w:val="22"/>
        </w:rPr>
        <w:tab/>
      </w:r>
      <w:r w:rsidR="0075549E" w:rsidRPr="003F567F">
        <w:rPr>
          <w:rFonts w:ascii="Arial" w:hAnsi="Arial" w:cs="Arial"/>
          <w:sz w:val="22"/>
          <w:szCs w:val="22"/>
        </w:rPr>
        <w:t>Commit insurer to participate in insurance or reinsurance syndicates.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1F9CD44D" w14:textId="77777777" w:rsidR="0075549E" w:rsidRPr="003F567F" w:rsidRDefault="00404AF8" w:rsidP="0006407F">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39"/>
            <w:enabled/>
            <w:calcOnExit w:val="0"/>
            <w:checkBox>
              <w:sizeAuto/>
              <w:default w:val="0"/>
              <w:checked w:val="0"/>
            </w:checkBox>
          </w:ffData>
        </w:fldChar>
      </w:r>
      <w:bookmarkStart w:id="47" w:name="Check39"/>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47"/>
      <w:r w:rsidRPr="003F567F">
        <w:rPr>
          <w:rFonts w:ascii="Arial" w:hAnsi="Arial" w:cs="Arial"/>
          <w:sz w:val="22"/>
          <w:szCs w:val="22"/>
        </w:rPr>
        <w:tab/>
      </w:r>
      <w:r w:rsidR="0075549E" w:rsidRPr="003F567F">
        <w:rPr>
          <w:rFonts w:ascii="Arial" w:hAnsi="Arial" w:cs="Arial"/>
          <w:sz w:val="22"/>
          <w:szCs w:val="22"/>
        </w:rPr>
        <w:t>Use any producer without verifying producer is licensed in Maine for kind of insurance transacted.</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5E89408C"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40"/>
            <w:enabled/>
            <w:calcOnExit w:val="0"/>
            <w:checkBox>
              <w:sizeAuto/>
              <w:default w:val="0"/>
              <w:checked w:val="0"/>
            </w:checkBox>
          </w:ffData>
        </w:fldChar>
      </w:r>
      <w:bookmarkStart w:id="48" w:name="Check40"/>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48"/>
      <w:r w:rsidRPr="003F567F">
        <w:rPr>
          <w:rFonts w:ascii="Arial" w:hAnsi="Arial" w:cs="Arial"/>
          <w:sz w:val="22"/>
          <w:szCs w:val="22"/>
        </w:rPr>
        <w:tab/>
      </w:r>
      <w:r w:rsidR="0075549E" w:rsidRPr="003F567F">
        <w:rPr>
          <w:rFonts w:ascii="Arial" w:hAnsi="Arial" w:cs="Arial"/>
          <w:sz w:val="22"/>
          <w:szCs w:val="22"/>
        </w:rPr>
        <w:t>Collect any payment from reinsurer or commit insurer to any claim settlement with a reinsurer without prior approval of insurer, and if prior approval is given, MGA will promptly forward report to insurer.</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527E2C00" w14:textId="77777777" w:rsidR="0075549E" w:rsidRPr="003F567F" w:rsidRDefault="00404AF8" w:rsidP="00EF3140">
      <w:pPr>
        <w:pStyle w:val="DefaultText"/>
        <w:widowControl/>
        <w:tabs>
          <w:tab w:val="left" w:pos="360"/>
        </w:tabs>
        <w:ind w:left="360" w:hanging="360"/>
        <w:jc w:val="both"/>
        <w:rPr>
          <w:rFonts w:ascii="Arial" w:hAnsi="Arial" w:cs="Arial"/>
          <w:sz w:val="22"/>
          <w:szCs w:val="22"/>
        </w:rPr>
      </w:pPr>
      <w:r w:rsidRPr="003F567F">
        <w:rPr>
          <w:rFonts w:ascii="Arial" w:hAnsi="Arial" w:cs="Arial"/>
          <w:sz w:val="22"/>
          <w:szCs w:val="22"/>
        </w:rPr>
        <w:fldChar w:fldCharType="begin">
          <w:ffData>
            <w:name w:val="Check41"/>
            <w:enabled/>
            <w:calcOnExit w:val="0"/>
            <w:checkBox>
              <w:sizeAuto/>
              <w:default w:val="0"/>
              <w:checked w:val="0"/>
            </w:checkBox>
          </w:ffData>
        </w:fldChar>
      </w:r>
      <w:bookmarkStart w:id="49" w:name="Check41"/>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49"/>
      <w:r w:rsidRPr="003F567F">
        <w:rPr>
          <w:rFonts w:ascii="Arial" w:hAnsi="Arial" w:cs="Arial"/>
          <w:sz w:val="22"/>
          <w:szCs w:val="22"/>
        </w:rPr>
        <w:tab/>
      </w:r>
      <w:r w:rsidR="0075549E" w:rsidRPr="003F567F">
        <w:rPr>
          <w:rFonts w:ascii="Arial" w:hAnsi="Arial" w:cs="Arial"/>
          <w:sz w:val="22"/>
          <w:szCs w:val="22"/>
        </w:rPr>
        <w:t>Pay or commit insurer to pay a claim over amount specified by insurer, net o</w:t>
      </w:r>
      <w:r w:rsidR="0044103F">
        <w:rPr>
          <w:rFonts w:ascii="Arial" w:hAnsi="Arial" w:cs="Arial"/>
          <w:sz w:val="22"/>
          <w:szCs w:val="22"/>
        </w:rPr>
        <w:t>f</w:t>
      </w:r>
      <w:r w:rsidR="0075549E" w:rsidRPr="003F567F">
        <w:rPr>
          <w:rFonts w:ascii="Arial" w:hAnsi="Arial" w:cs="Arial"/>
          <w:sz w:val="22"/>
          <w:szCs w:val="22"/>
        </w:rPr>
        <w:t xml:space="preserve"> reinsurance, which may not exceed 1% of insurer’s policyholder surplus as of December 31 of preceding year.</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4D6AE07A" w14:textId="77777777" w:rsidR="0075549E" w:rsidRPr="003F567F" w:rsidRDefault="00404AF8" w:rsidP="00EF3140">
      <w:pPr>
        <w:pStyle w:val="DefaultText"/>
        <w:widowControl/>
        <w:tabs>
          <w:tab w:val="left" w:pos="360"/>
        </w:tabs>
        <w:jc w:val="both"/>
        <w:rPr>
          <w:rFonts w:ascii="Arial" w:hAnsi="Arial" w:cs="Arial"/>
          <w:sz w:val="22"/>
          <w:szCs w:val="22"/>
        </w:rPr>
      </w:pPr>
      <w:r w:rsidRPr="003F567F">
        <w:rPr>
          <w:rFonts w:ascii="Arial" w:hAnsi="Arial" w:cs="Arial"/>
          <w:sz w:val="22"/>
          <w:szCs w:val="22"/>
        </w:rPr>
        <w:fldChar w:fldCharType="begin">
          <w:ffData>
            <w:name w:val="Check42"/>
            <w:enabled/>
            <w:calcOnExit w:val="0"/>
            <w:checkBox>
              <w:sizeAuto/>
              <w:default w:val="0"/>
              <w:checked w:val="0"/>
            </w:checkBox>
          </w:ffData>
        </w:fldChar>
      </w:r>
      <w:bookmarkStart w:id="50" w:name="Check42"/>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50"/>
      <w:r w:rsidRPr="003F567F">
        <w:rPr>
          <w:rFonts w:ascii="Arial" w:hAnsi="Arial" w:cs="Arial"/>
          <w:sz w:val="22"/>
          <w:szCs w:val="22"/>
        </w:rPr>
        <w:tab/>
      </w:r>
      <w:r w:rsidR="0075549E" w:rsidRPr="003F567F">
        <w:rPr>
          <w:rFonts w:ascii="Arial" w:hAnsi="Arial" w:cs="Arial"/>
          <w:sz w:val="22"/>
          <w:szCs w:val="22"/>
        </w:rPr>
        <w:t>Use any producer on insurer’s board.</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1832986A" w14:textId="77777777" w:rsidR="0075549E" w:rsidRPr="003F567F" w:rsidRDefault="00404AF8" w:rsidP="00EF3140">
      <w:pPr>
        <w:pStyle w:val="DefaultText"/>
        <w:widowControl/>
        <w:tabs>
          <w:tab w:val="left" w:pos="360"/>
        </w:tabs>
        <w:jc w:val="both"/>
        <w:rPr>
          <w:rFonts w:ascii="Arial" w:hAnsi="Arial" w:cs="Arial"/>
          <w:sz w:val="22"/>
          <w:szCs w:val="22"/>
        </w:rPr>
      </w:pPr>
      <w:r w:rsidRPr="003F567F">
        <w:rPr>
          <w:rFonts w:ascii="Arial" w:hAnsi="Arial" w:cs="Arial"/>
          <w:sz w:val="22"/>
          <w:szCs w:val="22"/>
        </w:rPr>
        <w:fldChar w:fldCharType="begin">
          <w:ffData>
            <w:name w:val="Check43"/>
            <w:enabled/>
            <w:calcOnExit w:val="0"/>
            <w:checkBox>
              <w:sizeAuto/>
              <w:default w:val="0"/>
              <w:checked w:val="0"/>
            </w:checkBox>
          </w:ffData>
        </w:fldChar>
      </w:r>
      <w:bookmarkStart w:id="51" w:name="Check43"/>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51"/>
      <w:r w:rsidRPr="003F567F">
        <w:rPr>
          <w:rFonts w:ascii="Arial" w:hAnsi="Arial" w:cs="Arial"/>
          <w:sz w:val="22"/>
          <w:szCs w:val="22"/>
        </w:rPr>
        <w:tab/>
      </w:r>
      <w:r w:rsidR="0075549E" w:rsidRPr="003F567F">
        <w:rPr>
          <w:rFonts w:ascii="Arial" w:hAnsi="Arial" w:cs="Arial"/>
          <w:sz w:val="22"/>
          <w:szCs w:val="22"/>
        </w:rPr>
        <w:t>Jointly employ any employee of insurer.</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p w14:paraId="680DEA28" w14:textId="77777777" w:rsidR="0075549E" w:rsidRPr="003F567F" w:rsidRDefault="00404AF8" w:rsidP="00EF3140">
      <w:pPr>
        <w:pStyle w:val="DefaultText"/>
        <w:widowControl/>
        <w:tabs>
          <w:tab w:val="left" w:pos="360"/>
        </w:tabs>
        <w:jc w:val="both"/>
        <w:rPr>
          <w:rFonts w:ascii="Arial" w:hAnsi="Arial" w:cs="Arial"/>
          <w:sz w:val="22"/>
          <w:szCs w:val="22"/>
        </w:rPr>
      </w:pPr>
      <w:r w:rsidRPr="003F567F">
        <w:rPr>
          <w:rFonts w:ascii="Arial" w:hAnsi="Arial" w:cs="Arial"/>
          <w:sz w:val="22"/>
          <w:szCs w:val="22"/>
        </w:rPr>
        <w:fldChar w:fldCharType="begin">
          <w:ffData>
            <w:name w:val="Check44"/>
            <w:enabled/>
            <w:calcOnExit w:val="0"/>
            <w:checkBox>
              <w:sizeAuto/>
              <w:default w:val="0"/>
              <w:checked w:val="0"/>
            </w:checkBox>
          </w:ffData>
        </w:fldChar>
      </w:r>
      <w:bookmarkStart w:id="52" w:name="Check44"/>
      <w:r w:rsidRPr="003F567F">
        <w:rPr>
          <w:rFonts w:ascii="Arial" w:hAnsi="Arial" w:cs="Arial"/>
          <w:sz w:val="22"/>
          <w:szCs w:val="22"/>
        </w:rPr>
        <w:instrText xml:space="preserve"> FORMCHECKBOX </w:instrText>
      </w:r>
      <w:r w:rsidR="001379DB">
        <w:rPr>
          <w:rFonts w:ascii="Arial" w:hAnsi="Arial" w:cs="Arial"/>
          <w:sz w:val="22"/>
          <w:szCs w:val="22"/>
        </w:rPr>
      </w:r>
      <w:r w:rsidR="001379DB">
        <w:rPr>
          <w:rFonts w:ascii="Arial" w:hAnsi="Arial" w:cs="Arial"/>
          <w:sz w:val="22"/>
          <w:szCs w:val="22"/>
        </w:rPr>
        <w:fldChar w:fldCharType="separate"/>
      </w:r>
      <w:r w:rsidRPr="003F567F">
        <w:rPr>
          <w:rFonts w:ascii="Arial" w:hAnsi="Arial" w:cs="Arial"/>
          <w:sz w:val="22"/>
          <w:szCs w:val="22"/>
        </w:rPr>
        <w:fldChar w:fldCharType="end"/>
      </w:r>
      <w:bookmarkEnd w:id="52"/>
      <w:r w:rsidRPr="003F567F">
        <w:rPr>
          <w:rFonts w:ascii="Arial" w:hAnsi="Arial" w:cs="Arial"/>
          <w:sz w:val="22"/>
          <w:szCs w:val="22"/>
        </w:rPr>
        <w:tab/>
      </w:r>
      <w:r w:rsidR="0075549E" w:rsidRPr="003F567F">
        <w:rPr>
          <w:rFonts w:ascii="Arial" w:hAnsi="Arial" w:cs="Arial"/>
          <w:sz w:val="22"/>
          <w:szCs w:val="22"/>
        </w:rPr>
        <w:t>Assign any of its specific contractual duties to others.</w:t>
      </w:r>
      <w:r w:rsidR="0006407F">
        <w:rPr>
          <w:rFonts w:ascii="Arial" w:hAnsi="Arial" w:cs="Arial"/>
          <w:sz w:val="22"/>
          <w:szCs w:val="22"/>
        </w:rPr>
        <w:t xml:space="preserve"> </w:t>
      </w:r>
      <w:r w:rsidR="0006407F" w:rsidRPr="0006407F">
        <w:rPr>
          <w:rFonts w:ascii="Arial" w:hAnsi="Arial" w:cs="Arial"/>
          <w:b/>
          <w:sz w:val="16"/>
          <w:szCs w:val="16"/>
        </w:rPr>
        <w:t>Contract cite:</w:t>
      </w:r>
      <w:r w:rsidR="0006407F">
        <w:rPr>
          <w:rFonts w:ascii="Arial" w:hAnsi="Arial" w:cs="Arial"/>
          <w:b/>
          <w:sz w:val="16"/>
          <w:szCs w:val="16"/>
        </w:rPr>
        <w:t xml:space="preserve"> </w:t>
      </w:r>
      <w:r w:rsidR="00360F8E">
        <w:rPr>
          <w:rFonts w:ascii="Arial" w:hAnsi="Arial" w:cs="Arial"/>
          <w:b/>
          <w:sz w:val="16"/>
          <w:szCs w:val="16"/>
          <w:u w:val="single"/>
        </w:rPr>
        <w:tab/>
      </w:r>
      <w:r w:rsidR="00360F8E">
        <w:rPr>
          <w:rFonts w:ascii="Arial" w:hAnsi="Arial" w:cs="Arial"/>
          <w:b/>
          <w:sz w:val="16"/>
          <w:szCs w:val="16"/>
          <w:u w:val="single"/>
        </w:rPr>
        <w:tab/>
      </w:r>
      <w:r w:rsidR="00360F8E">
        <w:rPr>
          <w:rFonts w:ascii="Arial" w:hAnsi="Arial" w:cs="Arial"/>
          <w:b/>
          <w:sz w:val="16"/>
          <w:szCs w:val="16"/>
          <w:u w:val="single"/>
        </w:rPr>
        <w:tab/>
      </w:r>
    </w:p>
    <w:sectPr w:rsidR="0075549E" w:rsidRPr="003F567F" w:rsidSect="00480BDA">
      <w:footerReference w:type="default" r:id="rId8"/>
      <w:headerReference w:type="first" r:id="rId9"/>
      <w:pgSz w:w="12240" w:h="15840" w:code="1"/>
      <w:pgMar w:top="288" w:right="1080" w:bottom="360" w:left="1080" w:header="288" w:footer="2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8D895" w14:textId="77777777" w:rsidR="001379DB" w:rsidRDefault="001379DB">
      <w:r>
        <w:separator/>
      </w:r>
    </w:p>
  </w:endnote>
  <w:endnote w:type="continuationSeparator" w:id="0">
    <w:p w14:paraId="1887FC4A" w14:textId="77777777" w:rsidR="001379DB" w:rsidRDefault="0013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D626D" w14:textId="77777777" w:rsidR="00620FAA" w:rsidRPr="00360F8E" w:rsidRDefault="00620FAA" w:rsidP="00360F8E">
    <w:pPr>
      <w:pStyle w:val="DefaultText"/>
      <w:widowControl/>
      <w:pBdr>
        <w:top w:val="single" w:sz="4" w:space="1" w:color="auto"/>
        <w:left w:val="single" w:sz="4" w:space="4" w:color="auto"/>
        <w:bottom w:val="single" w:sz="4" w:space="1" w:color="auto"/>
        <w:right w:val="single" w:sz="4" w:space="4" w:color="auto"/>
      </w:pBdr>
      <w:shd w:val="clear" w:color="auto" w:fill="E0E0E0"/>
      <w:jc w:val="both"/>
      <w:rPr>
        <w:rFonts w:ascii="Arial" w:hAnsi="Arial" w:cs="Arial"/>
        <w:b/>
        <w:sz w:val="20"/>
        <w:szCs w:val="20"/>
      </w:rPr>
    </w:pPr>
    <w:r w:rsidRPr="00360F8E">
      <w:rPr>
        <w:rFonts w:ascii="Arial" w:hAnsi="Arial" w:cs="Arial"/>
        <w:b/>
        <w:sz w:val="20"/>
        <w:szCs w:val="20"/>
      </w:rPr>
      <w:t>For Bureau Use only:</w:t>
    </w:r>
  </w:p>
  <w:p w14:paraId="51E5E1DD" w14:textId="77777777" w:rsidR="00620FAA" w:rsidRPr="00360F8E" w:rsidRDefault="00620FAA" w:rsidP="00360F8E">
    <w:pPr>
      <w:pStyle w:val="DefaultText"/>
      <w:widowControl/>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0"/>
        <w:szCs w:val="20"/>
        <w:u w:val="single"/>
      </w:rPr>
    </w:pPr>
    <w:r w:rsidRPr="00360F8E">
      <w:rPr>
        <w:rFonts w:ascii="Arial" w:hAnsi="Arial" w:cs="Arial"/>
        <w:sz w:val="20"/>
        <w:szCs w:val="20"/>
      </w:rPr>
      <w:t>Reviewer:</w:t>
    </w:r>
    <w:r w:rsidRPr="00360F8E">
      <w:rPr>
        <w:rFonts w:ascii="Arial" w:hAnsi="Arial" w:cs="Arial"/>
        <w:sz w:val="20"/>
        <w:szCs w:val="20"/>
        <w:u w:val="single"/>
      </w:rPr>
      <w:tab/>
    </w:r>
    <w:r w:rsidRPr="00360F8E">
      <w:rPr>
        <w:rFonts w:ascii="Arial" w:hAnsi="Arial" w:cs="Arial"/>
        <w:sz w:val="20"/>
        <w:szCs w:val="20"/>
        <w:u w:val="single"/>
      </w:rPr>
      <w:tab/>
    </w:r>
    <w:r w:rsidRPr="00360F8E">
      <w:rPr>
        <w:rFonts w:ascii="Arial" w:hAnsi="Arial" w:cs="Arial"/>
        <w:sz w:val="20"/>
        <w:szCs w:val="20"/>
        <w:u w:val="single"/>
      </w:rPr>
      <w:tab/>
    </w:r>
    <w:r w:rsidRPr="00360F8E">
      <w:rPr>
        <w:rFonts w:ascii="Arial" w:hAnsi="Arial" w:cs="Arial"/>
        <w:sz w:val="20"/>
        <w:szCs w:val="20"/>
        <w:u w:val="single"/>
      </w:rPr>
      <w:tab/>
    </w:r>
    <w:r w:rsidRPr="00360F8E">
      <w:rPr>
        <w:rFonts w:ascii="Arial" w:hAnsi="Arial" w:cs="Arial"/>
        <w:sz w:val="20"/>
        <w:szCs w:val="20"/>
        <w:u w:val="single"/>
      </w:rPr>
      <w:tab/>
    </w:r>
    <w:r w:rsidRPr="00360F8E">
      <w:rPr>
        <w:rFonts w:ascii="Arial" w:hAnsi="Arial" w:cs="Arial"/>
        <w:sz w:val="20"/>
        <w:szCs w:val="20"/>
        <w:u w:val="single"/>
      </w:rPr>
      <w:tab/>
    </w:r>
    <w:r w:rsidRPr="00360F8E">
      <w:rPr>
        <w:rFonts w:ascii="Arial" w:hAnsi="Arial" w:cs="Arial"/>
        <w:sz w:val="20"/>
        <w:szCs w:val="20"/>
        <w:u w:val="single"/>
      </w:rPr>
      <w:tab/>
    </w:r>
    <w:r w:rsidRPr="00360F8E">
      <w:rPr>
        <w:rFonts w:ascii="Arial" w:hAnsi="Arial" w:cs="Arial"/>
        <w:sz w:val="20"/>
        <w:szCs w:val="20"/>
        <w:u w:val="single"/>
      </w:rPr>
      <w:tab/>
    </w:r>
    <w:r w:rsidRPr="00360F8E">
      <w:rPr>
        <w:rFonts w:ascii="Arial" w:hAnsi="Arial" w:cs="Arial"/>
        <w:sz w:val="20"/>
        <w:szCs w:val="20"/>
      </w:rPr>
      <w:tab/>
      <w:t xml:space="preserve">Date  </w:t>
    </w:r>
    <w:r w:rsidRPr="00360F8E">
      <w:rPr>
        <w:rFonts w:ascii="Arial" w:hAnsi="Arial" w:cs="Arial"/>
        <w:sz w:val="20"/>
        <w:szCs w:val="20"/>
      </w:rPr>
      <w:tab/>
    </w:r>
    <w:r w:rsidRPr="00360F8E">
      <w:rPr>
        <w:rFonts w:ascii="Arial" w:hAnsi="Arial" w:cs="Arial"/>
        <w:sz w:val="20"/>
        <w:szCs w:val="20"/>
        <w:u w:val="single"/>
      </w:rPr>
      <w:tab/>
    </w:r>
    <w:r w:rsidRPr="00360F8E">
      <w:rPr>
        <w:rFonts w:ascii="Arial" w:hAnsi="Arial" w:cs="Arial"/>
        <w:sz w:val="20"/>
        <w:szCs w:val="20"/>
        <w:u w:val="single"/>
      </w:rPr>
      <w:tab/>
    </w:r>
  </w:p>
  <w:p w14:paraId="7B16B545" w14:textId="77777777" w:rsidR="00620FAA" w:rsidRPr="00360F8E" w:rsidRDefault="00620FAA" w:rsidP="00360F8E">
    <w:pPr>
      <w:pStyle w:val="DefaultText"/>
      <w:widowControl/>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0"/>
        <w:szCs w:val="20"/>
      </w:rPr>
    </w:pPr>
  </w:p>
  <w:p w14:paraId="31351E0A" w14:textId="77777777" w:rsidR="00620FAA" w:rsidRPr="00360F8E" w:rsidRDefault="00620FAA" w:rsidP="00360F8E">
    <w:pPr>
      <w:pStyle w:val="DefaultText"/>
      <w:widowControl/>
      <w:pBdr>
        <w:top w:val="single" w:sz="4" w:space="1" w:color="auto"/>
        <w:left w:val="single" w:sz="4" w:space="4" w:color="auto"/>
        <w:bottom w:val="single" w:sz="4" w:space="1" w:color="auto"/>
        <w:right w:val="single" w:sz="4" w:space="4" w:color="auto"/>
      </w:pBdr>
      <w:shd w:val="clear" w:color="auto" w:fill="E0E0E0"/>
      <w:jc w:val="both"/>
      <w:rPr>
        <w:rFonts w:ascii="Arial" w:hAnsi="Arial" w:cs="Arial"/>
        <w:sz w:val="20"/>
        <w:szCs w:val="20"/>
        <w:u w:val="single"/>
      </w:rPr>
    </w:pPr>
    <w:r w:rsidRPr="00360F8E">
      <w:rPr>
        <w:rFonts w:ascii="Arial" w:hAnsi="Arial" w:cs="Arial"/>
        <w:sz w:val="20"/>
        <w:szCs w:val="20"/>
      </w:rPr>
      <w:t xml:space="preserve">Contract in compliance as of </w:t>
    </w:r>
    <w:r w:rsidRPr="00360F8E">
      <w:rPr>
        <w:rFonts w:ascii="Arial" w:hAnsi="Arial" w:cs="Arial"/>
        <w:sz w:val="20"/>
        <w:szCs w:val="20"/>
        <w:u w:val="single"/>
      </w:rPr>
      <w:tab/>
    </w:r>
    <w:r w:rsidRPr="00360F8E">
      <w:rPr>
        <w:rFonts w:ascii="Arial" w:hAnsi="Arial" w:cs="Arial"/>
        <w:sz w:val="20"/>
        <w:szCs w:val="20"/>
        <w:u w:val="single"/>
      </w:rPr>
      <w:tab/>
    </w:r>
    <w:r w:rsidRPr="00360F8E">
      <w:rPr>
        <w:rFonts w:ascii="Arial" w:hAnsi="Arial" w:cs="Arial"/>
        <w:sz w:val="20"/>
        <w:szCs w:val="20"/>
        <w:u w:val="single"/>
      </w:rPr>
      <w:tab/>
    </w:r>
  </w:p>
  <w:p w14:paraId="5DCE36C7" w14:textId="77777777" w:rsidR="00620FAA" w:rsidRPr="00AB6223" w:rsidRDefault="00620FAA" w:rsidP="00360F8E">
    <w:pPr>
      <w:pStyle w:val="Footer"/>
      <w:rPr>
        <w:rFonts w:ascii="Arial" w:hAnsi="Arial" w:cs="Arial"/>
        <w:sz w:val="22"/>
        <w:szCs w:val="22"/>
        <w:vertAlign w:val="subscript"/>
      </w:rPr>
    </w:pPr>
    <w:r w:rsidRPr="00AB6223">
      <w:rPr>
        <w:rFonts w:ascii="Arial" w:hAnsi="Arial" w:cs="Arial"/>
        <w:snapToGrid w:val="0"/>
        <w:sz w:val="22"/>
        <w:szCs w:val="22"/>
        <w:vertAlign w:val="subscript"/>
      </w:rPr>
      <w:t xml:space="preserve">Revised </w:t>
    </w:r>
    <w:r w:rsidR="00480BDA">
      <w:rPr>
        <w:rFonts w:ascii="Arial" w:hAnsi="Arial" w:cs="Arial"/>
        <w:snapToGrid w:val="0"/>
        <w:sz w:val="22"/>
        <w:szCs w:val="22"/>
        <w:vertAlign w:val="subscript"/>
      </w:rPr>
      <w:t>11/</w:t>
    </w:r>
    <w:r w:rsidR="0044103F">
      <w:rPr>
        <w:rFonts w:ascii="Arial" w:hAnsi="Arial" w:cs="Arial"/>
        <w:snapToGrid w:val="0"/>
        <w:sz w:val="22"/>
        <w:szCs w:val="22"/>
        <w:vertAlign w:val="subscript"/>
      </w:rPr>
      <w:t>14</w:t>
    </w:r>
    <w:r w:rsidR="00BF3345">
      <w:rPr>
        <w:rFonts w:ascii="Arial" w:hAnsi="Arial" w:cs="Arial"/>
        <w:snapToGrid w:val="0"/>
        <w:sz w:val="22"/>
        <w:szCs w:val="22"/>
        <w:vertAlign w:val="subscript"/>
      </w:rPr>
      <w:t>/201</w:t>
    </w:r>
    <w:r w:rsidR="0044103F">
      <w:rPr>
        <w:rFonts w:ascii="Arial" w:hAnsi="Arial" w:cs="Arial"/>
        <w:snapToGrid w:val="0"/>
        <w:sz w:val="22"/>
        <w:szCs w:val="22"/>
        <w:vertAlign w:val="subscript"/>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5D211" w14:textId="77777777" w:rsidR="001379DB" w:rsidRDefault="001379DB">
      <w:r>
        <w:separator/>
      </w:r>
    </w:p>
  </w:footnote>
  <w:footnote w:type="continuationSeparator" w:id="0">
    <w:p w14:paraId="1C50FBB8" w14:textId="77777777" w:rsidR="001379DB" w:rsidRDefault="0013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2178"/>
      <w:gridCol w:w="5850"/>
      <w:gridCol w:w="2268"/>
    </w:tblGrid>
    <w:tr w:rsidR="00620FAA" w:rsidRPr="00EF3140" w14:paraId="56A70174" w14:textId="77777777">
      <w:tc>
        <w:tcPr>
          <w:tcW w:w="2178" w:type="dxa"/>
          <w:tcBorders>
            <w:top w:val="nil"/>
            <w:left w:val="nil"/>
            <w:bottom w:val="nil"/>
            <w:right w:val="nil"/>
          </w:tcBorders>
        </w:tcPr>
        <w:p w14:paraId="01FFBC91" w14:textId="77777777" w:rsidR="00620FAA" w:rsidRPr="00404AF8" w:rsidRDefault="00602F0C" w:rsidP="00364EA7">
          <w:pPr>
            <w:pStyle w:val="DefaultText"/>
            <w:widowControl/>
            <w:rPr>
              <w:rFonts w:ascii="Arial" w:hAnsi="Arial" w:cs="Arial"/>
            </w:rPr>
          </w:pPr>
          <w:r>
            <w:rPr>
              <w:rFonts w:cs="Arial"/>
              <w:noProof/>
            </w:rPr>
            <w:drawing>
              <wp:inline distT="0" distB="0" distL="0" distR="0" wp14:anchorId="7D7E9BDF" wp14:editId="7D2EC36D">
                <wp:extent cx="555625" cy="690245"/>
                <wp:effectExtent l="0" t="0" r="0" b="0"/>
                <wp:docPr id="1" name="Picture 1" descr="maine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_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690245"/>
                        </a:xfrm>
                        <a:prstGeom prst="rect">
                          <a:avLst/>
                        </a:prstGeom>
                        <a:noFill/>
                        <a:ln>
                          <a:noFill/>
                        </a:ln>
                      </pic:spPr>
                    </pic:pic>
                  </a:graphicData>
                </a:graphic>
              </wp:inline>
            </w:drawing>
          </w:r>
        </w:p>
      </w:tc>
      <w:tc>
        <w:tcPr>
          <w:tcW w:w="5850" w:type="dxa"/>
          <w:tcBorders>
            <w:top w:val="nil"/>
            <w:left w:val="nil"/>
            <w:bottom w:val="nil"/>
            <w:right w:val="nil"/>
          </w:tcBorders>
        </w:tcPr>
        <w:p w14:paraId="4AF1A971" w14:textId="77777777" w:rsidR="00620FAA" w:rsidRPr="00364EA7" w:rsidRDefault="00620FAA" w:rsidP="00364EA7">
          <w:pPr>
            <w:pStyle w:val="DefaultText"/>
            <w:widowControl/>
            <w:jc w:val="center"/>
            <w:rPr>
              <w:rFonts w:ascii="Arial" w:hAnsi="Arial" w:cs="Arial"/>
              <w:b/>
              <w:bCs/>
              <w:sz w:val="16"/>
              <w:szCs w:val="16"/>
            </w:rPr>
          </w:pPr>
        </w:p>
        <w:p w14:paraId="33FE38AF" w14:textId="77777777" w:rsidR="00620FAA" w:rsidRPr="00364EA7" w:rsidRDefault="00620FAA" w:rsidP="00364EA7">
          <w:pPr>
            <w:pStyle w:val="DefaultText"/>
            <w:widowControl/>
            <w:jc w:val="center"/>
            <w:rPr>
              <w:rFonts w:ascii="Arial" w:hAnsi="Arial" w:cs="Arial"/>
              <w:b/>
              <w:bCs/>
            </w:rPr>
          </w:pPr>
          <w:r w:rsidRPr="00364EA7">
            <w:rPr>
              <w:rFonts w:ascii="Arial" w:hAnsi="Arial" w:cs="Arial"/>
              <w:b/>
              <w:bCs/>
            </w:rPr>
            <w:t>MANAGING GENERAL AGENT (MGA)</w:t>
          </w:r>
        </w:p>
        <w:p w14:paraId="3AD159E1" w14:textId="77777777" w:rsidR="00620FAA" w:rsidRPr="00364EA7" w:rsidRDefault="00620FAA" w:rsidP="00364EA7">
          <w:pPr>
            <w:pStyle w:val="DefaultText"/>
            <w:widowControl/>
            <w:jc w:val="center"/>
            <w:rPr>
              <w:rFonts w:ascii="Arial" w:hAnsi="Arial" w:cs="Arial"/>
              <w:b/>
              <w:bCs/>
            </w:rPr>
          </w:pPr>
          <w:r w:rsidRPr="00364EA7">
            <w:rPr>
              <w:rFonts w:ascii="Arial" w:hAnsi="Arial" w:cs="Arial"/>
              <w:b/>
              <w:bCs/>
            </w:rPr>
            <w:t>CONTRACT</w:t>
          </w:r>
          <w:r>
            <w:rPr>
              <w:rFonts w:ascii="Arial" w:hAnsi="Arial" w:cs="Arial"/>
              <w:b/>
              <w:bCs/>
            </w:rPr>
            <w:t xml:space="preserve"> COMPLIANCE</w:t>
          </w:r>
          <w:r w:rsidRPr="00364EA7">
            <w:rPr>
              <w:rFonts w:ascii="Arial" w:hAnsi="Arial" w:cs="Arial"/>
              <w:b/>
              <w:bCs/>
            </w:rPr>
            <w:t xml:space="preserve"> </w:t>
          </w:r>
          <w:r>
            <w:rPr>
              <w:rFonts w:ascii="Arial" w:hAnsi="Arial" w:cs="Arial"/>
              <w:b/>
              <w:bCs/>
            </w:rPr>
            <w:t>VERIFICATION FORM</w:t>
          </w:r>
        </w:p>
        <w:p w14:paraId="0C71F172" w14:textId="77777777" w:rsidR="00620FAA" w:rsidRPr="00404AF8" w:rsidRDefault="00620FAA" w:rsidP="00364EA7">
          <w:pPr>
            <w:pStyle w:val="DefaultText"/>
            <w:widowControl/>
            <w:jc w:val="center"/>
            <w:rPr>
              <w:rFonts w:ascii="Arial" w:hAnsi="Arial" w:cs="Arial"/>
            </w:rPr>
          </w:pPr>
        </w:p>
      </w:tc>
      <w:tc>
        <w:tcPr>
          <w:tcW w:w="2268" w:type="dxa"/>
          <w:tcBorders>
            <w:top w:val="nil"/>
            <w:left w:val="nil"/>
            <w:bottom w:val="nil"/>
            <w:right w:val="nil"/>
          </w:tcBorders>
        </w:tcPr>
        <w:p w14:paraId="0A485AB0" w14:textId="77777777" w:rsidR="00620FAA" w:rsidRPr="00EF3140" w:rsidRDefault="00620FAA" w:rsidP="00364EA7">
          <w:pPr>
            <w:pStyle w:val="DefaultText"/>
            <w:widowControl/>
            <w:jc w:val="center"/>
            <w:rPr>
              <w:rFonts w:ascii="Arial" w:hAnsi="Arial" w:cs="Arial"/>
              <w:sz w:val="16"/>
              <w:szCs w:val="16"/>
            </w:rPr>
          </w:pPr>
        </w:p>
        <w:p w14:paraId="14CBD53A" w14:textId="77777777" w:rsidR="00620FAA" w:rsidRPr="00EF3140" w:rsidRDefault="00620FAA" w:rsidP="00364EA7">
          <w:pPr>
            <w:pStyle w:val="DefaultText"/>
            <w:widowControl/>
            <w:jc w:val="center"/>
            <w:rPr>
              <w:rFonts w:ascii="Arial" w:hAnsi="Arial" w:cs="Arial"/>
              <w:b/>
              <w:bCs/>
              <w:i/>
              <w:iCs/>
              <w:sz w:val="16"/>
              <w:szCs w:val="16"/>
            </w:rPr>
          </w:pPr>
          <w:r w:rsidRPr="00EF3140">
            <w:rPr>
              <w:rFonts w:ascii="Arial" w:hAnsi="Arial" w:cs="Arial"/>
              <w:b/>
              <w:bCs/>
              <w:i/>
              <w:iCs/>
              <w:sz w:val="16"/>
              <w:szCs w:val="16"/>
            </w:rPr>
            <w:t>34 State House Station</w:t>
          </w:r>
        </w:p>
        <w:p w14:paraId="6ABFC9E4" w14:textId="77777777" w:rsidR="00620FAA" w:rsidRPr="00EF3140" w:rsidRDefault="00620FAA" w:rsidP="00364EA7">
          <w:pPr>
            <w:pStyle w:val="DefaultText"/>
            <w:widowControl/>
            <w:jc w:val="center"/>
            <w:rPr>
              <w:rFonts w:ascii="Arial" w:hAnsi="Arial" w:cs="Arial"/>
              <w:b/>
              <w:bCs/>
              <w:i/>
              <w:iCs/>
              <w:sz w:val="16"/>
              <w:szCs w:val="16"/>
            </w:rPr>
          </w:pPr>
          <w:r w:rsidRPr="00EF3140">
            <w:rPr>
              <w:rFonts w:ascii="Arial" w:hAnsi="Arial" w:cs="Arial"/>
              <w:b/>
              <w:bCs/>
              <w:i/>
              <w:iCs/>
              <w:sz w:val="16"/>
              <w:szCs w:val="16"/>
            </w:rPr>
            <w:t>Augusta, ME 04333-0034</w:t>
          </w:r>
        </w:p>
        <w:p w14:paraId="5AB11607" w14:textId="77777777" w:rsidR="00620FAA" w:rsidRPr="00EF3140" w:rsidRDefault="00620FAA" w:rsidP="003C0B3A">
          <w:pPr>
            <w:pStyle w:val="DefaultText"/>
            <w:widowControl/>
            <w:jc w:val="center"/>
            <w:rPr>
              <w:rFonts w:ascii="Arial" w:hAnsi="Arial" w:cs="Arial"/>
              <w:sz w:val="16"/>
              <w:szCs w:val="16"/>
            </w:rPr>
          </w:pPr>
          <w:r w:rsidRPr="00EF3140">
            <w:rPr>
              <w:rFonts w:ascii="Arial" w:hAnsi="Arial" w:cs="Arial"/>
              <w:b/>
              <w:bCs/>
              <w:i/>
              <w:iCs/>
              <w:sz w:val="16"/>
              <w:szCs w:val="16"/>
            </w:rPr>
            <w:t>207-624-84</w:t>
          </w:r>
          <w:r w:rsidR="003C0B3A">
            <w:rPr>
              <w:rFonts w:ascii="Arial" w:hAnsi="Arial" w:cs="Arial"/>
              <w:b/>
              <w:bCs/>
              <w:i/>
              <w:iCs/>
              <w:sz w:val="16"/>
              <w:szCs w:val="16"/>
            </w:rPr>
            <w:t>43</w:t>
          </w:r>
        </w:p>
      </w:tc>
    </w:tr>
  </w:tbl>
  <w:p w14:paraId="5FEFA318" w14:textId="77777777" w:rsidR="00620FAA" w:rsidRDefault="00620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1136"/>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 w15:restartNumberingAfterBreak="0">
    <w:nsid w:val="023554F6"/>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 w15:restartNumberingAfterBreak="0">
    <w:nsid w:val="02C26B07"/>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 w15:restartNumberingAfterBreak="0">
    <w:nsid w:val="03557240"/>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4" w15:restartNumberingAfterBreak="0">
    <w:nsid w:val="0F73513C"/>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5" w15:restartNumberingAfterBreak="0">
    <w:nsid w:val="11465E08"/>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6" w15:restartNumberingAfterBreak="0">
    <w:nsid w:val="12B42882"/>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7" w15:restartNumberingAfterBreak="0">
    <w:nsid w:val="14A37761"/>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8" w15:restartNumberingAfterBreak="0">
    <w:nsid w:val="14EA1A4F"/>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9" w15:restartNumberingAfterBreak="0">
    <w:nsid w:val="15202159"/>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0" w15:restartNumberingAfterBreak="0">
    <w:nsid w:val="17D1697B"/>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1" w15:restartNumberingAfterBreak="0">
    <w:nsid w:val="1C6B7C5B"/>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2" w15:restartNumberingAfterBreak="0">
    <w:nsid w:val="22DD2B49"/>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3" w15:restartNumberingAfterBreak="0">
    <w:nsid w:val="22EF57E6"/>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4" w15:restartNumberingAfterBreak="0">
    <w:nsid w:val="27871C79"/>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5" w15:restartNumberingAfterBreak="0">
    <w:nsid w:val="2A553049"/>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6" w15:restartNumberingAfterBreak="0">
    <w:nsid w:val="2CFA1F45"/>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7" w15:restartNumberingAfterBreak="0">
    <w:nsid w:val="2D4859BA"/>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8" w15:restartNumberingAfterBreak="0">
    <w:nsid w:val="2D6000B6"/>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19" w15:restartNumberingAfterBreak="0">
    <w:nsid w:val="2DC17560"/>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0" w15:restartNumberingAfterBreak="0">
    <w:nsid w:val="30FF5AEE"/>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1" w15:restartNumberingAfterBreak="0">
    <w:nsid w:val="33255A52"/>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2" w15:restartNumberingAfterBreak="0">
    <w:nsid w:val="33CD039F"/>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3" w15:restartNumberingAfterBreak="0">
    <w:nsid w:val="3CCF097F"/>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4" w15:restartNumberingAfterBreak="0">
    <w:nsid w:val="3DF64BDE"/>
    <w:multiLevelType w:val="hybridMultilevel"/>
    <w:tmpl w:val="73CCDBC4"/>
    <w:lvl w:ilvl="0" w:tplc="1DFEF004">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45509"/>
    <w:multiLevelType w:val="singleLevel"/>
    <w:tmpl w:val="5F746C38"/>
    <w:lvl w:ilvl="0">
      <w:start w:val="1"/>
      <w:numFmt w:val="decimal"/>
      <w:lvlText w:val=" %1."/>
      <w:lvlJc w:val="left"/>
      <w:pPr>
        <w:tabs>
          <w:tab w:val="num" w:pos="0"/>
        </w:tabs>
        <w:ind w:left="1800" w:hanging="1080"/>
      </w:pPr>
      <w:rPr>
        <w:rFonts w:ascii="Times New Roman" w:hAnsi="Times New Roman" w:cs="Times New Roman" w:hint="default"/>
        <w:sz w:val="24"/>
        <w:szCs w:val="24"/>
      </w:rPr>
    </w:lvl>
  </w:abstractNum>
  <w:abstractNum w:abstractNumId="26" w15:restartNumberingAfterBreak="0">
    <w:nsid w:val="487F774F"/>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7" w15:restartNumberingAfterBreak="0">
    <w:nsid w:val="48B45603"/>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8" w15:restartNumberingAfterBreak="0">
    <w:nsid w:val="49D82E22"/>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29" w15:restartNumberingAfterBreak="0">
    <w:nsid w:val="4A945417"/>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0" w15:restartNumberingAfterBreak="0">
    <w:nsid w:val="4B1C2A61"/>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1" w15:restartNumberingAfterBreak="0">
    <w:nsid w:val="59AE3B64"/>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2" w15:restartNumberingAfterBreak="0">
    <w:nsid w:val="5A2C20C8"/>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3" w15:restartNumberingAfterBreak="0">
    <w:nsid w:val="5BE07265"/>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4" w15:restartNumberingAfterBreak="0">
    <w:nsid w:val="5CA906A4"/>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5" w15:restartNumberingAfterBreak="0">
    <w:nsid w:val="619440EB"/>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6" w15:restartNumberingAfterBreak="0">
    <w:nsid w:val="67DE794F"/>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7" w15:restartNumberingAfterBreak="0">
    <w:nsid w:val="6ACD08D3"/>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8" w15:restartNumberingAfterBreak="0">
    <w:nsid w:val="6C3A44CD"/>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39" w15:restartNumberingAfterBreak="0">
    <w:nsid w:val="6CD31982"/>
    <w:multiLevelType w:val="singleLevel"/>
    <w:tmpl w:val="0EA8C35E"/>
    <w:lvl w:ilvl="0">
      <w:start w:val="1"/>
      <w:numFmt w:val="decimal"/>
      <w:lvlText w:val="_____ %1."/>
      <w:legacy w:legacy="1" w:legacySpace="0" w:legacyIndent="1080"/>
      <w:lvlJc w:val="left"/>
      <w:pPr>
        <w:ind w:left="1800" w:hanging="1080"/>
      </w:pPr>
      <w:rPr>
        <w:rFonts w:ascii="Times New Roman" w:hAnsi="Times New Roman" w:cs="Times New Roman" w:hint="default"/>
        <w:sz w:val="24"/>
        <w:szCs w:val="24"/>
      </w:rPr>
    </w:lvl>
  </w:abstractNum>
  <w:abstractNum w:abstractNumId="40" w15:restartNumberingAfterBreak="0">
    <w:nsid w:val="6E0D27DF"/>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41" w15:restartNumberingAfterBreak="0">
    <w:nsid w:val="6EDE157F"/>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abstractNum w:abstractNumId="42" w15:restartNumberingAfterBreak="0">
    <w:nsid w:val="7C5651B0"/>
    <w:multiLevelType w:val="singleLevel"/>
    <w:tmpl w:val="4BE61B4E"/>
    <w:lvl w:ilvl="0">
      <w:numFmt w:val="none"/>
      <w:lvlText w:val=""/>
      <w:legacy w:legacy="1" w:legacySpace="0" w:legacyIndent="360"/>
      <w:lvlJc w:val="left"/>
      <w:pPr>
        <w:ind w:left="360" w:hanging="360"/>
      </w:pPr>
      <w:rPr>
        <w:rFonts w:ascii="Wingdings" w:hAnsi="Wingdings" w:cs="Wingdings" w:hint="default"/>
        <w:sz w:val="24"/>
        <w:szCs w:val="24"/>
      </w:rPr>
    </w:lvl>
  </w:abstractNum>
  <w:num w:numId="1">
    <w:abstractNumId w:val="5"/>
  </w:num>
  <w:num w:numId="2">
    <w:abstractNumId w:val="41"/>
  </w:num>
  <w:num w:numId="3">
    <w:abstractNumId w:val="27"/>
  </w:num>
  <w:num w:numId="4">
    <w:abstractNumId w:val="35"/>
  </w:num>
  <w:num w:numId="5">
    <w:abstractNumId w:val="21"/>
  </w:num>
  <w:num w:numId="6">
    <w:abstractNumId w:val="19"/>
  </w:num>
  <w:num w:numId="7">
    <w:abstractNumId w:val="0"/>
  </w:num>
  <w:num w:numId="8">
    <w:abstractNumId w:val="32"/>
  </w:num>
  <w:num w:numId="9">
    <w:abstractNumId w:val="31"/>
  </w:num>
  <w:num w:numId="10">
    <w:abstractNumId w:val="2"/>
  </w:num>
  <w:num w:numId="11">
    <w:abstractNumId w:val="12"/>
  </w:num>
  <w:num w:numId="12">
    <w:abstractNumId w:val="9"/>
  </w:num>
  <w:num w:numId="13">
    <w:abstractNumId w:val="34"/>
  </w:num>
  <w:num w:numId="14">
    <w:abstractNumId w:val="3"/>
  </w:num>
  <w:num w:numId="15">
    <w:abstractNumId w:val="16"/>
  </w:num>
  <w:num w:numId="16">
    <w:abstractNumId w:val="14"/>
  </w:num>
  <w:num w:numId="17">
    <w:abstractNumId w:val="33"/>
  </w:num>
  <w:num w:numId="18">
    <w:abstractNumId w:val="7"/>
  </w:num>
  <w:num w:numId="19">
    <w:abstractNumId w:val="18"/>
  </w:num>
  <w:num w:numId="20">
    <w:abstractNumId w:val="37"/>
  </w:num>
  <w:num w:numId="21">
    <w:abstractNumId w:val="6"/>
  </w:num>
  <w:num w:numId="22">
    <w:abstractNumId w:val="8"/>
  </w:num>
  <w:num w:numId="23">
    <w:abstractNumId w:val="40"/>
  </w:num>
  <w:num w:numId="24">
    <w:abstractNumId w:val="25"/>
  </w:num>
  <w:num w:numId="25">
    <w:abstractNumId w:val="23"/>
  </w:num>
  <w:num w:numId="26">
    <w:abstractNumId w:val="29"/>
  </w:num>
  <w:num w:numId="27">
    <w:abstractNumId w:val="38"/>
  </w:num>
  <w:num w:numId="28">
    <w:abstractNumId w:val="1"/>
  </w:num>
  <w:num w:numId="29">
    <w:abstractNumId w:val="20"/>
  </w:num>
  <w:num w:numId="30">
    <w:abstractNumId w:val="36"/>
  </w:num>
  <w:num w:numId="31">
    <w:abstractNumId w:val="13"/>
  </w:num>
  <w:num w:numId="32">
    <w:abstractNumId w:val="10"/>
  </w:num>
  <w:num w:numId="33">
    <w:abstractNumId w:val="30"/>
  </w:num>
  <w:num w:numId="34">
    <w:abstractNumId w:val="4"/>
  </w:num>
  <w:num w:numId="35">
    <w:abstractNumId w:val="39"/>
  </w:num>
  <w:num w:numId="36">
    <w:abstractNumId w:val="26"/>
  </w:num>
  <w:num w:numId="37">
    <w:abstractNumId w:val="28"/>
  </w:num>
  <w:num w:numId="38">
    <w:abstractNumId w:val="42"/>
  </w:num>
  <w:num w:numId="39">
    <w:abstractNumId w:val="22"/>
  </w:num>
  <w:num w:numId="40">
    <w:abstractNumId w:val="17"/>
  </w:num>
  <w:num w:numId="41">
    <w:abstractNumId w:val="11"/>
  </w:num>
  <w:num w:numId="42">
    <w:abstractNumId w:val="1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11"/>
    <w:rsid w:val="00016B77"/>
    <w:rsid w:val="00024CBF"/>
    <w:rsid w:val="00036FCB"/>
    <w:rsid w:val="0006407F"/>
    <w:rsid w:val="000A7A91"/>
    <w:rsid w:val="001379DB"/>
    <w:rsid w:val="00176DED"/>
    <w:rsid w:val="00270AB0"/>
    <w:rsid w:val="00287357"/>
    <w:rsid w:val="00360F8E"/>
    <w:rsid w:val="00364EA7"/>
    <w:rsid w:val="003909A7"/>
    <w:rsid w:val="003C0B3A"/>
    <w:rsid w:val="003F567F"/>
    <w:rsid w:val="00404AF8"/>
    <w:rsid w:val="0044103F"/>
    <w:rsid w:val="00441F00"/>
    <w:rsid w:val="0045416E"/>
    <w:rsid w:val="00480BDA"/>
    <w:rsid w:val="0048533A"/>
    <w:rsid w:val="00584FEB"/>
    <w:rsid w:val="005D4AE7"/>
    <w:rsid w:val="00602F0C"/>
    <w:rsid w:val="00606860"/>
    <w:rsid w:val="00620FAA"/>
    <w:rsid w:val="006650B8"/>
    <w:rsid w:val="00672ED4"/>
    <w:rsid w:val="00741B25"/>
    <w:rsid w:val="007426CA"/>
    <w:rsid w:val="0075549E"/>
    <w:rsid w:val="007F1111"/>
    <w:rsid w:val="00873CD5"/>
    <w:rsid w:val="008F6345"/>
    <w:rsid w:val="009A5A4B"/>
    <w:rsid w:val="00A906F1"/>
    <w:rsid w:val="00AA250E"/>
    <w:rsid w:val="00AB6223"/>
    <w:rsid w:val="00B652E8"/>
    <w:rsid w:val="00BF3345"/>
    <w:rsid w:val="00C02706"/>
    <w:rsid w:val="00D80832"/>
    <w:rsid w:val="00E66B1B"/>
    <w:rsid w:val="00EF3140"/>
    <w:rsid w:val="00F11646"/>
    <w:rsid w:val="00F533B2"/>
    <w:rsid w:val="00F6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CE2FD6D"/>
  <w15:docId w15:val="{0A19CDB2-B3AD-4CDF-90E7-D148C48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style>
  <w:style w:type="paragraph" w:styleId="Heading1">
    <w:name w:val="heading 1"/>
    <w:basedOn w:val="Normal"/>
    <w:qFormat/>
    <w:pPr>
      <w:spacing w:before="280" w:after="140"/>
      <w:outlineLvl w:val="0"/>
    </w:pPr>
    <w:rPr>
      <w:rFonts w:ascii="Arial Black" w:hAnsi="Arial Black" w:cs="Arial Black"/>
      <w:sz w:val="28"/>
      <w:szCs w:val="28"/>
    </w:rPr>
  </w:style>
  <w:style w:type="paragraph" w:styleId="Heading2">
    <w:name w:val="heading 2"/>
    <w:basedOn w:val="Normal"/>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cs="Arial Black"/>
      <w:sz w:val="48"/>
      <w:szCs w:val="48"/>
    </w:rPr>
  </w:style>
  <w:style w:type="paragraph" w:styleId="DocumentMap">
    <w:name w:val="Document Map"/>
    <w:basedOn w:val="Normal"/>
    <w:semiHidden/>
    <w:rPr>
      <w:rFonts w:ascii="Tahoma" w:hAnsi="Tahoma" w:cs="Tahoma"/>
    </w:rPr>
  </w:style>
  <w:style w:type="paragraph" w:customStyle="1" w:styleId="BodySingle">
    <w:name w:val="Body Single"/>
    <w:basedOn w:val="Normal"/>
    <w:rPr>
      <w:sz w:val="24"/>
      <w:szCs w:val="24"/>
    </w:rPr>
  </w:style>
  <w:style w:type="paragraph" w:customStyle="1" w:styleId="Bullet1">
    <w:name w:val="Bullet 1"/>
    <w:basedOn w:val="Normal"/>
    <w:rPr>
      <w:sz w:val="24"/>
      <w:szCs w:val="24"/>
    </w:rPr>
  </w:style>
  <w:style w:type="paragraph" w:customStyle="1" w:styleId="Bullet2">
    <w:name w:val="Bullet 2"/>
    <w:basedOn w:val="Normal"/>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rPr>
      <w:sz w:val="24"/>
      <w:szCs w:val="24"/>
    </w:rPr>
  </w:style>
  <w:style w:type="paragraph" w:customStyle="1" w:styleId="OutlineNumbering">
    <w:name w:val="Outline Numbering"/>
    <w:basedOn w:val="Normal"/>
    <w:rPr>
      <w:sz w:val="24"/>
      <w:szCs w:val="24"/>
    </w:rPr>
  </w:style>
  <w:style w:type="paragraph" w:customStyle="1" w:styleId="TableText">
    <w:name w:val="Table Text"/>
    <w:basedOn w:val="Normal"/>
    <w:pPr>
      <w:tabs>
        <w:tab w:val="decimal" w:pos="0"/>
      </w:tabs>
    </w:pPr>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sz w:val="24"/>
      <w:szCs w:val="24"/>
    </w:rPr>
  </w:style>
  <w:style w:type="character" w:styleId="PageNumber">
    <w:name w:val="page number"/>
    <w:basedOn w:val="DefaultParagraphFont"/>
  </w:style>
  <w:style w:type="paragraph" w:styleId="BalloonText">
    <w:name w:val="Balloon Text"/>
    <w:basedOn w:val="Normal"/>
    <w:link w:val="BalloonTextChar"/>
    <w:rsid w:val="00602F0C"/>
    <w:rPr>
      <w:rFonts w:ascii="Tahoma" w:hAnsi="Tahoma" w:cs="Tahoma"/>
      <w:sz w:val="16"/>
      <w:szCs w:val="16"/>
    </w:rPr>
  </w:style>
  <w:style w:type="character" w:customStyle="1" w:styleId="BalloonTextChar">
    <w:name w:val="Balloon Text Char"/>
    <w:basedOn w:val="DefaultParagraphFont"/>
    <w:link w:val="BalloonText"/>
    <w:rsid w:val="00602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ED1E5-3F81-4263-814B-4024934E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Garboski, Barbra L</cp:lastModifiedBy>
  <cp:revision>2</cp:revision>
  <cp:lastPrinted>2015-09-29T12:48:00Z</cp:lastPrinted>
  <dcterms:created xsi:type="dcterms:W3CDTF">2022-07-21T19:13:00Z</dcterms:created>
  <dcterms:modified xsi:type="dcterms:W3CDTF">2022-07-21T19:13:00Z</dcterms:modified>
</cp:coreProperties>
</file>