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1E56B0" w:rsidRPr="001E56B0" w14:paraId="40501BE7" w14:textId="77777777" w:rsidTr="001E56B0">
        <w:tblPrEx>
          <w:tblCellMar>
            <w:top w:w="0" w:type="dxa"/>
            <w:bottom w:w="0" w:type="dxa"/>
          </w:tblCellMar>
        </w:tblPrEx>
        <w:trPr>
          <w:cantSplit/>
        </w:trPr>
        <w:tc>
          <w:tcPr>
            <w:tcW w:w="13000" w:type="dxa"/>
            <w:tcBorders>
              <w:top w:val="single" w:sz="4" w:space="0" w:color="auto"/>
              <w:bottom w:val="nil"/>
            </w:tcBorders>
            <w:shd w:val="clear" w:color="auto" w:fill="D9D9D9"/>
          </w:tcPr>
          <w:p w14:paraId="630B3729" w14:textId="376283AD" w:rsidR="001E56B0" w:rsidRPr="001E56B0" w:rsidRDefault="001E56B0" w:rsidP="001E56B0">
            <w:pPr>
              <w:spacing w:after="0" w:line="240" w:lineRule="auto"/>
              <w:rPr>
                <w:b/>
                <w:sz w:val="28"/>
              </w:rPr>
            </w:pPr>
            <w:r w:rsidRPr="001E56B0">
              <w:rPr>
                <w:b/>
                <w:sz w:val="28"/>
              </w:rPr>
              <w:t>Maine Bureau of Insurance</w:t>
            </w:r>
          </w:p>
        </w:tc>
      </w:tr>
      <w:tr w:rsidR="001E56B0" w14:paraId="4CB00BA0" w14:textId="77777777" w:rsidTr="001E56B0">
        <w:tblPrEx>
          <w:tblCellMar>
            <w:top w:w="0" w:type="dxa"/>
            <w:bottom w:w="0" w:type="dxa"/>
          </w:tblCellMar>
        </w:tblPrEx>
        <w:trPr>
          <w:cantSplit/>
        </w:trPr>
        <w:tc>
          <w:tcPr>
            <w:tcW w:w="13000" w:type="dxa"/>
            <w:tcBorders>
              <w:top w:val="nil"/>
            </w:tcBorders>
            <w:shd w:val="clear" w:color="auto" w:fill="auto"/>
          </w:tcPr>
          <w:p w14:paraId="5C4B37FF" w14:textId="596255F8" w:rsidR="001E56B0" w:rsidRDefault="001E56B0" w:rsidP="001E56B0">
            <w:pPr>
              <w:spacing w:after="0" w:line="240" w:lineRule="auto"/>
            </w:pPr>
            <w:r>
              <w:t>Form Filing Review Requirements Checklist</w:t>
            </w:r>
          </w:p>
        </w:tc>
      </w:tr>
      <w:tr w:rsidR="001E56B0" w14:paraId="53197572" w14:textId="77777777" w:rsidTr="001E56B0">
        <w:tblPrEx>
          <w:tblCellMar>
            <w:top w:w="0" w:type="dxa"/>
            <w:bottom w:w="0" w:type="dxa"/>
          </w:tblCellMar>
        </w:tblPrEx>
        <w:trPr>
          <w:cantSplit/>
        </w:trPr>
        <w:tc>
          <w:tcPr>
            <w:tcW w:w="13000" w:type="dxa"/>
            <w:shd w:val="clear" w:color="auto" w:fill="auto"/>
          </w:tcPr>
          <w:p w14:paraId="18BAD8BC" w14:textId="2C88E7EE" w:rsidR="001E56B0" w:rsidRDefault="001E56B0" w:rsidP="001E56B0">
            <w:pPr>
              <w:spacing w:after="0" w:line="240" w:lineRule="auto"/>
            </w:pPr>
            <w:r>
              <w:t xml:space="preserve">TOI - </w:t>
            </w:r>
          </w:p>
        </w:tc>
      </w:tr>
      <w:tr w:rsidR="001E56B0" w14:paraId="3A2D720A" w14:textId="77777777" w:rsidTr="001E56B0">
        <w:tblPrEx>
          <w:tblCellMar>
            <w:top w:w="0" w:type="dxa"/>
            <w:bottom w:w="0" w:type="dxa"/>
          </w:tblCellMar>
        </w:tblPrEx>
        <w:trPr>
          <w:cantSplit/>
        </w:trPr>
        <w:tc>
          <w:tcPr>
            <w:tcW w:w="13000" w:type="dxa"/>
            <w:shd w:val="clear" w:color="auto" w:fill="auto"/>
          </w:tcPr>
          <w:p w14:paraId="12BB6564" w14:textId="1B367153" w:rsidR="001E56B0" w:rsidRDefault="001E56B0" w:rsidP="001E56B0">
            <w:pPr>
              <w:spacing w:after="0" w:line="240" w:lineRule="auto"/>
            </w:pPr>
            <w:r>
              <w:t>Health Application</w:t>
            </w:r>
          </w:p>
        </w:tc>
      </w:tr>
      <w:tr w:rsidR="001E56B0" w14:paraId="56E2C778" w14:textId="77777777" w:rsidTr="001E56B0">
        <w:tblPrEx>
          <w:tblCellMar>
            <w:top w:w="0" w:type="dxa"/>
            <w:bottom w:w="0" w:type="dxa"/>
          </w:tblCellMar>
        </w:tblPrEx>
        <w:trPr>
          <w:cantSplit/>
        </w:trPr>
        <w:tc>
          <w:tcPr>
            <w:tcW w:w="13000" w:type="dxa"/>
            <w:shd w:val="clear" w:color="auto" w:fill="auto"/>
          </w:tcPr>
          <w:p w14:paraId="7C7CB2C2" w14:textId="12A64B28" w:rsidR="001E56B0" w:rsidRDefault="001E56B0" w:rsidP="001E56B0">
            <w:pPr>
              <w:spacing w:after="0" w:line="240" w:lineRule="auto"/>
            </w:pPr>
            <w:r>
              <w:t>Revised – 11/2/2020</w:t>
            </w:r>
          </w:p>
        </w:tc>
      </w:tr>
      <w:tr w:rsidR="001E56B0" w14:paraId="2697979E" w14:textId="77777777" w:rsidTr="001E56B0">
        <w:tblPrEx>
          <w:tblCellMar>
            <w:top w:w="0" w:type="dxa"/>
            <w:bottom w:w="0" w:type="dxa"/>
          </w:tblCellMar>
        </w:tblPrEx>
        <w:trPr>
          <w:cantSplit/>
        </w:trPr>
        <w:tc>
          <w:tcPr>
            <w:tcW w:w="13000" w:type="dxa"/>
            <w:shd w:val="clear" w:color="auto" w:fill="auto"/>
          </w:tcPr>
          <w:p w14:paraId="550B1E55" w14:textId="109DF462" w:rsidR="001E56B0" w:rsidRDefault="001E56B0" w:rsidP="001E56B0">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1E56B0" w14:paraId="43DFD017" w14:textId="77777777" w:rsidTr="001E56B0">
        <w:tblPrEx>
          <w:tblCellMar>
            <w:top w:w="0" w:type="dxa"/>
            <w:bottom w:w="0" w:type="dxa"/>
          </w:tblCellMar>
        </w:tblPrEx>
        <w:trPr>
          <w:cantSplit/>
        </w:trPr>
        <w:tc>
          <w:tcPr>
            <w:tcW w:w="13000" w:type="dxa"/>
            <w:shd w:val="clear" w:color="auto" w:fill="auto"/>
          </w:tcPr>
          <w:p w14:paraId="20A06217" w14:textId="16B50595" w:rsidR="001E56B0" w:rsidRDefault="001E56B0" w:rsidP="001E56B0">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17C4AE0"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1E56B0" w:rsidRPr="001E56B0" w14:paraId="172D98E0" w14:textId="77777777" w:rsidTr="001E56B0">
        <w:tblPrEx>
          <w:tblCellMar>
            <w:top w:w="0" w:type="dxa"/>
            <w:bottom w:w="0" w:type="dxa"/>
          </w:tblCellMar>
        </w:tblPrEx>
        <w:trPr>
          <w:cantSplit/>
        </w:trPr>
        <w:tc>
          <w:tcPr>
            <w:tcW w:w="2000" w:type="dxa"/>
            <w:tcBorders>
              <w:bottom w:val="single" w:sz="4" w:space="0" w:color="auto"/>
            </w:tcBorders>
            <w:shd w:val="clear" w:color="auto" w:fill="D9D9D9"/>
          </w:tcPr>
          <w:p w14:paraId="64CAF87C" w14:textId="35692CC2" w:rsidR="001E56B0" w:rsidRPr="001E56B0" w:rsidRDefault="001E56B0" w:rsidP="001E56B0">
            <w:pPr>
              <w:spacing w:after="0" w:line="240" w:lineRule="auto"/>
              <w:jc w:val="center"/>
              <w:rPr>
                <w:b/>
                <w:sz w:val="24"/>
              </w:rPr>
            </w:pPr>
            <w:r w:rsidRPr="001E56B0">
              <w:rPr>
                <w:b/>
                <w:sz w:val="24"/>
              </w:rPr>
              <w:t>REVIEW REQUIREMENTS</w:t>
            </w:r>
          </w:p>
        </w:tc>
        <w:tc>
          <w:tcPr>
            <w:tcW w:w="2000" w:type="dxa"/>
            <w:tcBorders>
              <w:bottom w:val="single" w:sz="4" w:space="0" w:color="auto"/>
            </w:tcBorders>
            <w:shd w:val="clear" w:color="auto" w:fill="D9D9D9"/>
          </w:tcPr>
          <w:p w14:paraId="59AB87EF" w14:textId="1EE6EE9D" w:rsidR="001E56B0" w:rsidRPr="001E56B0" w:rsidRDefault="001E56B0" w:rsidP="001E56B0">
            <w:pPr>
              <w:spacing w:after="0" w:line="240" w:lineRule="auto"/>
              <w:jc w:val="center"/>
              <w:rPr>
                <w:b/>
                <w:sz w:val="24"/>
              </w:rPr>
            </w:pPr>
            <w:r w:rsidRPr="001E56B0">
              <w:rPr>
                <w:b/>
                <w:sz w:val="24"/>
              </w:rPr>
              <w:t>REFERENCES</w:t>
            </w:r>
          </w:p>
        </w:tc>
        <w:tc>
          <w:tcPr>
            <w:tcW w:w="9000" w:type="dxa"/>
            <w:tcBorders>
              <w:bottom w:val="single" w:sz="4" w:space="0" w:color="auto"/>
            </w:tcBorders>
            <w:shd w:val="clear" w:color="auto" w:fill="D9D9D9"/>
          </w:tcPr>
          <w:p w14:paraId="248AC254" w14:textId="77777777" w:rsidR="001E56B0" w:rsidRPr="001E56B0" w:rsidRDefault="001E56B0" w:rsidP="001E56B0">
            <w:pPr>
              <w:spacing w:after="0" w:line="240" w:lineRule="auto"/>
              <w:jc w:val="center"/>
              <w:rPr>
                <w:b/>
                <w:sz w:val="24"/>
              </w:rPr>
            </w:pPr>
          </w:p>
        </w:tc>
        <w:tc>
          <w:tcPr>
            <w:tcW w:w="2000" w:type="dxa"/>
            <w:tcBorders>
              <w:bottom w:val="single" w:sz="4" w:space="0" w:color="auto"/>
            </w:tcBorders>
            <w:shd w:val="clear" w:color="auto" w:fill="D9D9D9"/>
          </w:tcPr>
          <w:p w14:paraId="7A4DD692" w14:textId="1C5CC93D" w:rsidR="001E56B0" w:rsidRPr="001E56B0" w:rsidRDefault="001E56B0" w:rsidP="001E56B0">
            <w:pPr>
              <w:spacing w:after="0" w:line="240" w:lineRule="auto"/>
              <w:jc w:val="center"/>
              <w:rPr>
                <w:b/>
                <w:sz w:val="24"/>
              </w:rPr>
            </w:pPr>
            <w:r w:rsidRPr="001E56B0">
              <w:rPr>
                <w:b/>
                <w:sz w:val="24"/>
              </w:rPr>
              <w:t>COMPLIANCE</w:t>
            </w:r>
          </w:p>
        </w:tc>
      </w:tr>
      <w:tr w:rsidR="001E56B0" w:rsidRPr="001E56B0" w14:paraId="50FB6118" w14:textId="77777777" w:rsidTr="001E56B0">
        <w:tblPrEx>
          <w:tblCellMar>
            <w:top w:w="0" w:type="dxa"/>
            <w:bottom w:w="0" w:type="dxa"/>
          </w:tblCellMar>
        </w:tblPrEx>
        <w:trPr>
          <w:cantSplit/>
        </w:trPr>
        <w:tc>
          <w:tcPr>
            <w:tcW w:w="2000" w:type="dxa"/>
            <w:shd w:val="clear" w:color="auto" w:fill="D9D9D9"/>
          </w:tcPr>
          <w:p w14:paraId="4B4E8A56" w14:textId="2E3B6913" w:rsidR="001E56B0" w:rsidRPr="001E56B0" w:rsidRDefault="001E56B0" w:rsidP="001E56B0">
            <w:pPr>
              <w:spacing w:after="0" w:line="240" w:lineRule="auto"/>
              <w:jc w:val="center"/>
              <w:rPr>
                <w:b/>
                <w:sz w:val="24"/>
              </w:rPr>
            </w:pPr>
            <w:r w:rsidRPr="001E56B0">
              <w:rPr>
                <w:b/>
                <w:sz w:val="24"/>
              </w:rPr>
              <w:t>GENERAL SUBMISSION REQUIREMENTS</w:t>
            </w:r>
          </w:p>
        </w:tc>
        <w:tc>
          <w:tcPr>
            <w:tcW w:w="2000" w:type="dxa"/>
            <w:shd w:val="clear" w:color="auto" w:fill="D9D9D9"/>
          </w:tcPr>
          <w:p w14:paraId="1F1DF197" w14:textId="77777777" w:rsidR="001E56B0" w:rsidRPr="001E56B0" w:rsidRDefault="001E56B0" w:rsidP="001E56B0">
            <w:pPr>
              <w:spacing w:after="0" w:line="240" w:lineRule="auto"/>
              <w:jc w:val="center"/>
              <w:rPr>
                <w:b/>
                <w:sz w:val="24"/>
              </w:rPr>
            </w:pPr>
          </w:p>
        </w:tc>
        <w:tc>
          <w:tcPr>
            <w:tcW w:w="9000" w:type="dxa"/>
            <w:shd w:val="clear" w:color="auto" w:fill="D9D9D9"/>
          </w:tcPr>
          <w:p w14:paraId="5AC9FA5B" w14:textId="77777777" w:rsidR="001E56B0" w:rsidRPr="001E56B0" w:rsidRDefault="001E56B0" w:rsidP="001E56B0">
            <w:pPr>
              <w:spacing w:after="0" w:line="240" w:lineRule="auto"/>
              <w:jc w:val="center"/>
              <w:rPr>
                <w:b/>
                <w:sz w:val="24"/>
              </w:rPr>
            </w:pPr>
          </w:p>
        </w:tc>
        <w:tc>
          <w:tcPr>
            <w:tcW w:w="2000" w:type="dxa"/>
            <w:shd w:val="clear" w:color="auto" w:fill="D9D9D9"/>
          </w:tcPr>
          <w:p w14:paraId="1196605C" w14:textId="77777777" w:rsidR="001E56B0" w:rsidRPr="001E56B0" w:rsidRDefault="001E56B0" w:rsidP="001E56B0">
            <w:pPr>
              <w:spacing w:after="0" w:line="240" w:lineRule="auto"/>
              <w:jc w:val="center"/>
              <w:rPr>
                <w:b/>
                <w:sz w:val="24"/>
              </w:rPr>
            </w:pPr>
          </w:p>
        </w:tc>
      </w:tr>
      <w:tr w:rsidR="001E56B0" w:rsidRPr="001E56B0" w14:paraId="4EFC80B2" w14:textId="77777777" w:rsidTr="001E56B0">
        <w:tblPrEx>
          <w:tblCellMar>
            <w:top w:w="0" w:type="dxa"/>
            <w:bottom w:w="0" w:type="dxa"/>
          </w:tblCellMar>
        </w:tblPrEx>
        <w:trPr>
          <w:cantSplit/>
        </w:trPr>
        <w:tc>
          <w:tcPr>
            <w:tcW w:w="2000" w:type="dxa"/>
            <w:shd w:val="clear" w:color="auto" w:fill="auto"/>
          </w:tcPr>
          <w:p w14:paraId="56C8ADFC" w14:textId="5DA63BCA" w:rsidR="001E56B0" w:rsidRPr="001E56B0" w:rsidRDefault="001E56B0" w:rsidP="001E56B0">
            <w:pPr>
              <w:spacing w:after="0" w:line="240" w:lineRule="auto"/>
              <w:rPr>
                <w:sz w:val="20"/>
              </w:rPr>
            </w:pPr>
            <w:r>
              <w:rPr>
                <w:sz w:val="20"/>
              </w:rPr>
              <w:t>Electronic (SERFF) Filing Requirements:</w:t>
            </w:r>
          </w:p>
        </w:tc>
        <w:tc>
          <w:tcPr>
            <w:tcW w:w="2000" w:type="dxa"/>
            <w:shd w:val="clear" w:color="auto" w:fill="auto"/>
          </w:tcPr>
          <w:p w14:paraId="6BC77556" w14:textId="5DB15058" w:rsidR="001E56B0" w:rsidRPr="001E56B0" w:rsidRDefault="001E56B0" w:rsidP="001E56B0">
            <w:pPr>
              <w:spacing w:after="0" w:line="240" w:lineRule="auto"/>
              <w:rPr>
                <w:sz w:val="20"/>
              </w:rPr>
            </w:pPr>
            <w:hyperlink r:id="rId6" w:history="1">
              <w:r w:rsidRPr="001E56B0">
                <w:rPr>
                  <w:rStyle w:val="Hyperlink"/>
                  <w:sz w:val="20"/>
                </w:rPr>
                <w:t>Title 24-A § 2412</w:t>
              </w:r>
            </w:hyperlink>
            <w:r>
              <w:rPr>
                <w:sz w:val="20"/>
              </w:rPr>
              <w:t xml:space="preserve">(2) </w:t>
            </w:r>
            <w:hyperlink r:id="rId7" w:history="1">
              <w:r w:rsidRPr="001E56B0">
                <w:rPr>
                  <w:rStyle w:val="Hyperlink"/>
                  <w:sz w:val="20"/>
                </w:rPr>
                <w:t>Bulletin 360</w:t>
              </w:r>
            </w:hyperlink>
          </w:p>
        </w:tc>
        <w:tc>
          <w:tcPr>
            <w:tcW w:w="9000" w:type="dxa"/>
            <w:shd w:val="clear" w:color="auto" w:fill="auto"/>
          </w:tcPr>
          <w:p w14:paraId="5DED4772" w14:textId="28D136D6" w:rsidR="001E56B0" w:rsidRPr="001E56B0" w:rsidRDefault="001E56B0" w:rsidP="001E56B0">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72DACD22" w14:textId="77777777" w:rsidR="001E56B0" w:rsidRPr="001E56B0" w:rsidRDefault="001E56B0" w:rsidP="001E56B0">
            <w:pPr>
              <w:spacing w:after="0" w:line="240" w:lineRule="auto"/>
              <w:rPr>
                <w:sz w:val="20"/>
              </w:rPr>
            </w:pPr>
          </w:p>
        </w:tc>
      </w:tr>
      <w:tr w:rsidR="001E56B0" w:rsidRPr="001E56B0" w14:paraId="5FF7DE41" w14:textId="77777777" w:rsidTr="001E56B0">
        <w:tblPrEx>
          <w:tblCellMar>
            <w:top w:w="0" w:type="dxa"/>
            <w:bottom w:w="0" w:type="dxa"/>
          </w:tblCellMar>
        </w:tblPrEx>
        <w:trPr>
          <w:cantSplit/>
        </w:trPr>
        <w:tc>
          <w:tcPr>
            <w:tcW w:w="2000" w:type="dxa"/>
            <w:shd w:val="clear" w:color="auto" w:fill="auto"/>
          </w:tcPr>
          <w:p w14:paraId="47E20381" w14:textId="7D316756" w:rsidR="001E56B0" w:rsidRPr="001E56B0" w:rsidRDefault="001E56B0" w:rsidP="001E56B0">
            <w:pPr>
              <w:spacing w:after="0" w:line="240" w:lineRule="auto"/>
              <w:rPr>
                <w:sz w:val="20"/>
              </w:rPr>
            </w:pPr>
            <w:r>
              <w:rPr>
                <w:sz w:val="20"/>
              </w:rPr>
              <w:t>FILING FEES</w:t>
            </w:r>
          </w:p>
        </w:tc>
        <w:tc>
          <w:tcPr>
            <w:tcW w:w="2000" w:type="dxa"/>
            <w:shd w:val="clear" w:color="auto" w:fill="auto"/>
          </w:tcPr>
          <w:p w14:paraId="44AD59B5" w14:textId="2750FAB8" w:rsidR="001E56B0" w:rsidRPr="001E56B0" w:rsidRDefault="001E56B0" w:rsidP="001E56B0">
            <w:pPr>
              <w:spacing w:after="0" w:line="240" w:lineRule="auto"/>
              <w:rPr>
                <w:sz w:val="20"/>
              </w:rPr>
            </w:pPr>
            <w:hyperlink r:id="rId8" w:history="1">
              <w:r w:rsidRPr="001E56B0">
                <w:rPr>
                  <w:rStyle w:val="Hyperlink"/>
                  <w:sz w:val="20"/>
                </w:rPr>
                <w:t>Title 24-A § 601</w:t>
              </w:r>
            </w:hyperlink>
            <w:r>
              <w:rPr>
                <w:sz w:val="20"/>
              </w:rPr>
              <w:t xml:space="preserve"> (17)</w:t>
            </w:r>
          </w:p>
        </w:tc>
        <w:tc>
          <w:tcPr>
            <w:tcW w:w="9000" w:type="dxa"/>
            <w:shd w:val="clear" w:color="auto" w:fill="auto"/>
          </w:tcPr>
          <w:p w14:paraId="49575988" w14:textId="7A3806CA" w:rsidR="001E56B0" w:rsidRPr="001E56B0" w:rsidRDefault="001E56B0" w:rsidP="001E56B0">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7129C03" w14:textId="77777777" w:rsidR="001E56B0" w:rsidRPr="001E56B0" w:rsidRDefault="001E56B0" w:rsidP="001E56B0">
            <w:pPr>
              <w:spacing w:after="0" w:line="240" w:lineRule="auto"/>
              <w:rPr>
                <w:sz w:val="20"/>
              </w:rPr>
            </w:pPr>
          </w:p>
        </w:tc>
      </w:tr>
      <w:tr w:rsidR="001E56B0" w:rsidRPr="001E56B0" w14:paraId="424B26A6" w14:textId="77777777" w:rsidTr="001E56B0">
        <w:tblPrEx>
          <w:tblCellMar>
            <w:top w:w="0" w:type="dxa"/>
            <w:bottom w:w="0" w:type="dxa"/>
          </w:tblCellMar>
        </w:tblPrEx>
        <w:trPr>
          <w:cantSplit/>
        </w:trPr>
        <w:tc>
          <w:tcPr>
            <w:tcW w:w="2000" w:type="dxa"/>
            <w:shd w:val="clear" w:color="auto" w:fill="auto"/>
          </w:tcPr>
          <w:p w14:paraId="4316422C" w14:textId="52696679" w:rsidR="001E56B0" w:rsidRPr="001E56B0" w:rsidRDefault="001E56B0" w:rsidP="001E56B0">
            <w:pPr>
              <w:spacing w:after="0" w:line="240" w:lineRule="auto"/>
              <w:rPr>
                <w:sz w:val="20"/>
              </w:rPr>
            </w:pPr>
            <w:r>
              <w:rPr>
                <w:sz w:val="20"/>
              </w:rPr>
              <w:t>Grounds for disapproval</w:t>
            </w:r>
          </w:p>
        </w:tc>
        <w:tc>
          <w:tcPr>
            <w:tcW w:w="2000" w:type="dxa"/>
            <w:shd w:val="clear" w:color="auto" w:fill="auto"/>
          </w:tcPr>
          <w:p w14:paraId="47F574AA" w14:textId="2B0F439C" w:rsidR="001E56B0" w:rsidRPr="001E56B0" w:rsidRDefault="001E56B0" w:rsidP="001E56B0">
            <w:pPr>
              <w:spacing w:after="0" w:line="240" w:lineRule="auto"/>
              <w:rPr>
                <w:sz w:val="20"/>
              </w:rPr>
            </w:pPr>
            <w:hyperlink r:id="rId9" w:history="1">
              <w:r w:rsidRPr="001E56B0">
                <w:rPr>
                  <w:rStyle w:val="Hyperlink"/>
                  <w:sz w:val="20"/>
                </w:rPr>
                <w:t>Title 24-A § 2413</w:t>
              </w:r>
            </w:hyperlink>
          </w:p>
        </w:tc>
        <w:tc>
          <w:tcPr>
            <w:tcW w:w="9000" w:type="dxa"/>
            <w:shd w:val="clear" w:color="auto" w:fill="auto"/>
          </w:tcPr>
          <w:p w14:paraId="2E898011" w14:textId="2DBDA8C8" w:rsidR="001E56B0" w:rsidRPr="001E56B0" w:rsidRDefault="001E56B0" w:rsidP="001E56B0">
            <w:pPr>
              <w:spacing w:after="0" w:line="240" w:lineRule="auto"/>
              <w:rPr>
                <w:sz w:val="20"/>
              </w:rPr>
            </w:pPr>
            <w:r>
              <w:rPr>
                <w:sz w:val="20"/>
              </w:rPr>
              <w:t>Seven categories of the grounds for disapproving a filing.</w:t>
            </w:r>
          </w:p>
        </w:tc>
        <w:tc>
          <w:tcPr>
            <w:tcW w:w="2000" w:type="dxa"/>
            <w:shd w:val="clear" w:color="auto" w:fill="auto"/>
          </w:tcPr>
          <w:p w14:paraId="6C02CBA3" w14:textId="77777777" w:rsidR="001E56B0" w:rsidRPr="001E56B0" w:rsidRDefault="001E56B0" w:rsidP="001E56B0">
            <w:pPr>
              <w:spacing w:after="0" w:line="240" w:lineRule="auto"/>
              <w:rPr>
                <w:sz w:val="20"/>
              </w:rPr>
            </w:pPr>
          </w:p>
        </w:tc>
      </w:tr>
      <w:tr w:rsidR="001E56B0" w:rsidRPr="001E56B0" w14:paraId="13CF16E1" w14:textId="77777777" w:rsidTr="001E56B0">
        <w:tblPrEx>
          <w:tblCellMar>
            <w:top w:w="0" w:type="dxa"/>
            <w:bottom w:w="0" w:type="dxa"/>
          </w:tblCellMar>
        </w:tblPrEx>
        <w:trPr>
          <w:cantSplit/>
        </w:trPr>
        <w:tc>
          <w:tcPr>
            <w:tcW w:w="2000" w:type="dxa"/>
            <w:shd w:val="clear" w:color="auto" w:fill="auto"/>
          </w:tcPr>
          <w:p w14:paraId="581680A6" w14:textId="6000DA0B" w:rsidR="001E56B0" w:rsidRPr="001E56B0" w:rsidRDefault="001E56B0" w:rsidP="001E56B0">
            <w:pPr>
              <w:spacing w:after="0" w:line="240" w:lineRule="auto"/>
              <w:rPr>
                <w:sz w:val="20"/>
              </w:rPr>
            </w:pPr>
            <w:r>
              <w:rPr>
                <w:sz w:val="20"/>
              </w:rPr>
              <w:t>Readability</w:t>
            </w:r>
          </w:p>
        </w:tc>
        <w:tc>
          <w:tcPr>
            <w:tcW w:w="2000" w:type="dxa"/>
            <w:shd w:val="clear" w:color="auto" w:fill="auto"/>
          </w:tcPr>
          <w:p w14:paraId="7252520B" w14:textId="1C441007" w:rsidR="001E56B0" w:rsidRPr="001E56B0" w:rsidRDefault="001E56B0" w:rsidP="001E56B0">
            <w:pPr>
              <w:spacing w:after="0" w:line="240" w:lineRule="auto"/>
              <w:rPr>
                <w:sz w:val="20"/>
              </w:rPr>
            </w:pPr>
            <w:hyperlink r:id="rId10" w:history="1">
              <w:r w:rsidRPr="001E56B0">
                <w:rPr>
                  <w:rStyle w:val="Hyperlink"/>
                  <w:sz w:val="20"/>
                </w:rPr>
                <w:t>Title 24-A § 2441</w:t>
              </w:r>
            </w:hyperlink>
          </w:p>
        </w:tc>
        <w:tc>
          <w:tcPr>
            <w:tcW w:w="9000" w:type="dxa"/>
            <w:shd w:val="clear" w:color="auto" w:fill="auto"/>
          </w:tcPr>
          <w:p w14:paraId="5B2265DB" w14:textId="57C7D6DD" w:rsidR="001E56B0" w:rsidRPr="001E56B0" w:rsidRDefault="001E56B0" w:rsidP="001E56B0">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51AA781F" w14:textId="77777777" w:rsidR="001E56B0" w:rsidRPr="001E56B0" w:rsidRDefault="001E56B0" w:rsidP="001E56B0">
            <w:pPr>
              <w:spacing w:after="0" w:line="240" w:lineRule="auto"/>
              <w:rPr>
                <w:sz w:val="20"/>
              </w:rPr>
            </w:pPr>
          </w:p>
        </w:tc>
      </w:tr>
      <w:tr w:rsidR="001E56B0" w:rsidRPr="001E56B0" w14:paraId="3D84A75B" w14:textId="77777777" w:rsidTr="001E56B0">
        <w:tblPrEx>
          <w:tblCellMar>
            <w:top w:w="0" w:type="dxa"/>
            <w:bottom w:w="0" w:type="dxa"/>
          </w:tblCellMar>
        </w:tblPrEx>
        <w:trPr>
          <w:cantSplit/>
        </w:trPr>
        <w:tc>
          <w:tcPr>
            <w:tcW w:w="2000" w:type="dxa"/>
            <w:tcBorders>
              <w:bottom w:val="single" w:sz="4" w:space="0" w:color="auto"/>
            </w:tcBorders>
            <w:shd w:val="clear" w:color="auto" w:fill="auto"/>
          </w:tcPr>
          <w:p w14:paraId="0AAD7282" w14:textId="288ABD2B" w:rsidR="001E56B0" w:rsidRPr="001E56B0" w:rsidRDefault="001E56B0" w:rsidP="001E56B0">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12EE0DB9" w14:textId="23328271" w:rsidR="001E56B0" w:rsidRDefault="001E56B0" w:rsidP="001E56B0">
            <w:pPr>
              <w:spacing w:after="0" w:line="240" w:lineRule="auto"/>
              <w:rPr>
                <w:sz w:val="20"/>
              </w:rPr>
            </w:pPr>
            <w:hyperlink r:id="rId11" w:history="1">
              <w:r w:rsidRPr="001E56B0">
                <w:rPr>
                  <w:rStyle w:val="Hyperlink"/>
                  <w:sz w:val="20"/>
                </w:rPr>
                <w:t>Title 24-A § 2412</w:t>
              </w:r>
            </w:hyperlink>
            <w:r>
              <w:rPr>
                <w:sz w:val="20"/>
              </w:rPr>
              <w:t xml:space="preserve">  </w:t>
            </w:r>
          </w:p>
          <w:p w14:paraId="3B0EA49E" w14:textId="3A76F4DD" w:rsidR="001E56B0" w:rsidRPr="001E56B0" w:rsidRDefault="001E56B0" w:rsidP="001E56B0">
            <w:pPr>
              <w:spacing w:after="0" w:line="240" w:lineRule="auto"/>
              <w:rPr>
                <w:sz w:val="20"/>
              </w:rPr>
            </w:pPr>
            <w:hyperlink r:id="rId12" w:history="1">
              <w:r w:rsidRPr="001E56B0">
                <w:rPr>
                  <w:rStyle w:val="Hyperlink"/>
                  <w:sz w:val="20"/>
                </w:rPr>
                <w:t>Title 24-A § 2413</w:t>
              </w:r>
            </w:hyperlink>
          </w:p>
        </w:tc>
        <w:tc>
          <w:tcPr>
            <w:tcW w:w="9000" w:type="dxa"/>
            <w:tcBorders>
              <w:bottom w:val="single" w:sz="4" w:space="0" w:color="auto"/>
            </w:tcBorders>
            <w:shd w:val="clear" w:color="auto" w:fill="auto"/>
          </w:tcPr>
          <w:p w14:paraId="3BCE0E80" w14:textId="31190BBA" w:rsidR="001E56B0" w:rsidRPr="001E56B0" w:rsidRDefault="001E56B0" w:rsidP="001E56B0">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B0F1AD1" w14:textId="77777777" w:rsidR="001E56B0" w:rsidRPr="001E56B0" w:rsidRDefault="001E56B0" w:rsidP="001E56B0">
            <w:pPr>
              <w:spacing w:after="0" w:line="240" w:lineRule="auto"/>
              <w:rPr>
                <w:sz w:val="20"/>
              </w:rPr>
            </w:pPr>
          </w:p>
        </w:tc>
      </w:tr>
      <w:tr w:rsidR="001E56B0" w:rsidRPr="001E56B0" w14:paraId="6DF83ED9" w14:textId="77777777" w:rsidTr="001E56B0">
        <w:tblPrEx>
          <w:tblCellMar>
            <w:top w:w="0" w:type="dxa"/>
            <w:bottom w:w="0" w:type="dxa"/>
          </w:tblCellMar>
        </w:tblPrEx>
        <w:trPr>
          <w:cantSplit/>
        </w:trPr>
        <w:tc>
          <w:tcPr>
            <w:tcW w:w="2000" w:type="dxa"/>
            <w:shd w:val="clear" w:color="auto" w:fill="D9D9D9"/>
          </w:tcPr>
          <w:p w14:paraId="25152966" w14:textId="28E3B018" w:rsidR="001E56B0" w:rsidRPr="001E56B0" w:rsidRDefault="001E56B0" w:rsidP="001E56B0">
            <w:pPr>
              <w:spacing w:after="0" w:line="240" w:lineRule="auto"/>
              <w:jc w:val="center"/>
              <w:rPr>
                <w:b/>
                <w:sz w:val="24"/>
              </w:rPr>
            </w:pPr>
            <w:r w:rsidRPr="001E56B0">
              <w:rPr>
                <w:b/>
                <w:sz w:val="24"/>
              </w:rPr>
              <w:t>GENERAL APPLICATION PROVISIONS / REQUIREMENTS</w:t>
            </w:r>
          </w:p>
        </w:tc>
        <w:tc>
          <w:tcPr>
            <w:tcW w:w="2000" w:type="dxa"/>
            <w:shd w:val="clear" w:color="auto" w:fill="D9D9D9"/>
          </w:tcPr>
          <w:p w14:paraId="37E1F1A4" w14:textId="77777777" w:rsidR="001E56B0" w:rsidRPr="001E56B0" w:rsidRDefault="001E56B0" w:rsidP="001E56B0">
            <w:pPr>
              <w:spacing w:after="0" w:line="240" w:lineRule="auto"/>
              <w:jc w:val="center"/>
              <w:rPr>
                <w:b/>
                <w:sz w:val="24"/>
              </w:rPr>
            </w:pPr>
          </w:p>
        </w:tc>
        <w:tc>
          <w:tcPr>
            <w:tcW w:w="9000" w:type="dxa"/>
            <w:shd w:val="clear" w:color="auto" w:fill="D9D9D9"/>
          </w:tcPr>
          <w:p w14:paraId="71FFF445" w14:textId="77777777" w:rsidR="001E56B0" w:rsidRPr="001E56B0" w:rsidRDefault="001E56B0" w:rsidP="001E56B0">
            <w:pPr>
              <w:spacing w:after="0" w:line="240" w:lineRule="auto"/>
              <w:jc w:val="center"/>
              <w:rPr>
                <w:b/>
                <w:sz w:val="24"/>
              </w:rPr>
            </w:pPr>
          </w:p>
        </w:tc>
        <w:tc>
          <w:tcPr>
            <w:tcW w:w="2000" w:type="dxa"/>
            <w:shd w:val="clear" w:color="auto" w:fill="D9D9D9"/>
          </w:tcPr>
          <w:p w14:paraId="034AF727" w14:textId="77777777" w:rsidR="001E56B0" w:rsidRPr="001E56B0" w:rsidRDefault="001E56B0" w:rsidP="001E56B0">
            <w:pPr>
              <w:spacing w:after="0" w:line="240" w:lineRule="auto"/>
              <w:jc w:val="center"/>
              <w:rPr>
                <w:b/>
                <w:sz w:val="24"/>
              </w:rPr>
            </w:pPr>
          </w:p>
        </w:tc>
      </w:tr>
      <w:tr w:rsidR="001E56B0" w:rsidRPr="001E56B0" w14:paraId="7781D7F0" w14:textId="77777777" w:rsidTr="001E56B0">
        <w:tblPrEx>
          <w:tblCellMar>
            <w:top w:w="0" w:type="dxa"/>
            <w:bottom w:w="0" w:type="dxa"/>
          </w:tblCellMar>
        </w:tblPrEx>
        <w:trPr>
          <w:cantSplit/>
        </w:trPr>
        <w:tc>
          <w:tcPr>
            <w:tcW w:w="2000" w:type="dxa"/>
            <w:shd w:val="clear" w:color="auto" w:fill="auto"/>
          </w:tcPr>
          <w:p w14:paraId="67900710" w14:textId="07261726" w:rsidR="001E56B0" w:rsidRPr="001E56B0" w:rsidRDefault="001E56B0" w:rsidP="001E56B0">
            <w:pPr>
              <w:spacing w:after="0" w:line="240" w:lineRule="auto"/>
              <w:rPr>
                <w:sz w:val="20"/>
              </w:rPr>
            </w:pPr>
            <w:r>
              <w:rPr>
                <w:sz w:val="20"/>
              </w:rPr>
              <w:lastRenderedPageBreak/>
              <w:t>Content of Disclosure Authorization Form</w:t>
            </w:r>
          </w:p>
        </w:tc>
        <w:tc>
          <w:tcPr>
            <w:tcW w:w="2000" w:type="dxa"/>
            <w:shd w:val="clear" w:color="auto" w:fill="auto"/>
          </w:tcPr>
          <w:p w14:paraId="1B6BE7E0" w14:textId="064A89EA" w:rsidR="001E56B0" w:rsidRPr="001E56B0" w:rsidRDefault="001E56B0" w:rsidP="001E56B0">
            <w:pPr>
              <w:spacing w:after="0" w:line="240" w:lineRule="auto"/>
              <w:rPr>
                <w:sz w:val="20"/>
              </w:rPr>
            </w:pPr>
            <w:hyperlink r:id="rId13" w:history="1">
              <w:r w:rsidRPr="001E56B0">
                <w:rPr>
                  <w:rStyle w:val="Hyperlink"/>
                  <w:sz w:val="20"/>
                </w:rPr>
                <w:t>Title 24-A § 2208</w:t>
              </w:r>
            </w:hyperlink>
          </w:p>
        </w:tc>
        <w:tc>
          <w:tcPr>
            <w:tcW w:w="9000" w:type="dxa"/>
            <w:shd w:val="clear" w:color="auto" w:fill="auto"/>
          </w:tcPr>
          <w:p w14:paraId="15AB47E8" w14:textId="582A0138" w:rsidR="001E56B0" w:rsidRPr="001E56B0" w:rsidRDefault="001E56B0" w:rsidP="001E56B0">
            <w:pPr>
              <w:spacing w:after="0" w:line="240" w:lineRule="auto"/>
              <w:rPr>
                <w:sz w:val="20"/>
              </w:rPr>
            </w:pPr>
            <w:r>
              <w:rPr>
                <w:sz w:val="20"/>
              </w:rPr>
              <w:t>If the application contains a disclosure authorization it must contain the following: 1. Be signed by a consumer or authorized representative.  2.  Be written in plain language.  3.  Be dated.  4.  Specify the types of persons authorized to disclose information about the consumer.  5.  State the nature of the information to be disclosed (must exclude HIV).  6.  Names the regulated entities to which the consumer is authorizing the information to be disclosed.  Watch for applications which allow release of information to nonregulated entities, such as employers.  This would not be allowed.  7.  Specify the period of time the authorization is valid.  In the case of LTC the maximum time period is 30 months from the date the authorization is signed. In the case of health or medical insurance, the term of coverage of the policy and any renewals of that policy.  8.  Specify the purpose for which the information is collected.  9.  State that the consumer or authorized representative has a right to a copy of the authorization.  10.  Advise the consumer how to revoke the authorization and that revocation may be a basis for denying an application or a claim for benefits.  11.  Advise that failure to sign the authorization may impair the ability of a regulated insurance agency to evaluate claims or process applications and may be a basis for denying an application or claim for benefits.</w:t>
            </w:r>
          </w:p>
        </w:tc>
        <w:tc>
          <w:tcPr>
            <w:tcW w:w="2000" w:type="dxa"/>
            <w:shd w:val="clear" w:color="auto" w:fill="auto"/>
          </w:tcPr>
          <w:p w14:paraId="66F2465A" w14:textId="77777777" w:rsidR="001E56B0" w:rsidRPr="001E56B0" w:rsidRDefault="001E56B0" w:rsidP="001E56B0">
            <w:pPr>
              <w:spacing w:after="0" w:line="240" w:lineRule="auto"/>
              <w:rPr>
                <w:sz w:val="20"/>
              </w:rPr>
            </w:pPr>
          </w:p>
        </w:tc>
      </w:tr>
      <w:tr w:rsidR="001E56B0" w:rsidRPr="001E56B0" w14:paraId="6DB384CE" w14:textId="77777777" w:rsidTr="001E56B0">
        <w:tblPrEx>
          <w:tblCellMar>
            <w:top w:w="0" w:type="dxa"/>
            <w:bottom w:w="0" w:type="dxa"/>
          </w:tblCellMar>
        </w:tblPrEx>
        <w:trPr>
          <w:cantSplit/>
        </w:trPr>
        <w:tc>
          <w:tcPr>
            <w:tcW w:w="2000" w:type="dxa"/>
            <w:shd w:val="clear" w:color="auto" w:fill="auto"/>
          </w:tcPr>
          <w:p w14:paraId="4B460BF2" w14:textId="5E7DB34F" w:rsidR="001E56B0" w:rsidRPr="001E56B0" w:rsidRDefault="001E56B0" w:rsidP="001E56B0">
            <w:pPr>
              <w:spacing w:after="0" w:line="240" w:lineRule="auto"/>
              <w:rPr>
                <w:sz w:val="20"/>
              </w:rPr>
            </w:pPr>
            <w:r>
              <w:rPr>
                <w:sz w:val="20"/>
              </w:rPr>
              <w:t>Fraud warning</w:t>
            </w:r>
          </w:p>
        </w:tc>
        <w:tc>
          <w:tcPr>
            <w:tcW w:w="2000" w:type="dxa"/>
            <w:shd w:val="clear" w:color="auto" w:fill="auto"/>
          </w:tcPr>
          <w:p w14:paraId="59452332" w14:textId="40F75D4E" w:rsidR="001E56B0" w:rsidRPr="001E56B0" w:rsidRDefault="001E56B0" w:rsidP="001E56B0">
            <w:pPr>
              <w:spacing w:after="0" w:line="240" w:lineRule="auto"/>
              <w:rPr>
                <w:sz w:val="20"/>
              </w:rPr>
            </w:pPr>
            <w:hyperlink r:id="rId14" w:history="1">
              <w:r w:rsidRPr="001E56B0">
                <w:rPr>
                  <w:rStyle w:val="Hyperlink"/>
                  <w:sz w:val="20"/>
                </w:rPr>
                <w:t>Title 24-A § 2186</w:t>
              </w:r>
            </w:hyperlink>
          </w:p>
        </w:tc>
        <w:tc>
          <w:tcPr>
            <w:tcW w:w="9000" w:type="dxa"/>
            <w:shd w:val="clear" w:color="auto" w:fill="auto"/>
          </w:tcPr>
          <w:p w14:paraId="4C641EAA" w14:textId="1197DCD0" w:rsidR="001E56B0" w:rsidRPr="001E56B0" w:rsidRDefault="001E56B0" w:rsidP="001E56B0">
            <w:pPr>
              <w:spacing w:after="0" w:line="240" w:lineRule="auto"/>
              <w:rPr>
                <w:sz w:val="20"/>
              </w:rPr>
            </w:pPr>
            <w:r>
              <w:rPr>
                <w:sz w:val="20"/>
              </w:rPr>
              <w:t>All applications must contain the following statement, or similar statement: "It is a crime to knowingly provide false, incomplete or misleading information to an insurance company for the purpose of defrauding the company. Penalties may include imprisonment, fines or a denial of insurance benefits."  Except for Reinsurers,</w:t>
            </w:r>
          </w:p>
        </w:tc>
        <w:tc>
          <w:tcPr>
            <w:tcW w:w="2000" w:type="dxa"/>
            <w:shd w:val="clear" w:color="auto" w:fill="auto"/>
          </w:tcPr>
          <w:p w14:paraId="37F93002" w14:textId="77777777" w:rsidR="001E56B0" w:rsidRPr="001E56B0" w:rsidRDefault="001E56B0" w:rsidP="001E56B0">
            <w:pPr>
              <w:spacing w:after="0" w:line="240" w:lineRule="auto"/>
              <w:rPr>
                <w:sz w:val="20"/>
              </w:rPr>
            </w:pPr>
          </w:p>
        </w:tc>
      </w:tr>
      <w:tr w:rsidR="001E56B0" w:rsidRPr="001E56B0" w14:paraId="735F349E" w14:textId="77777777" w:rsidTr="001E56B0">
        <w:tblPrEx>
          <w:tblCellMar>
            <w:top w:w="0" w:type="dxa"/>
            <w:bottom w:w="0" w:type="dxa"/>
          </w:tblCellMar>
        </w:tblPrEx>
        <w:trPr>
          <w:cantSplit/>
        </w:trPr>
        <w:tc>
          <w:tcPr>
            <w:tcW w:w="2000" w:type="dxa"/>
            <w:shd w:val="clear" w:color="auto" w:fill="auto"/>
          </w:tcPr>
          <w:p w14:paraId="1AFAC900" w14:textId="09FECDE4" w:rsidR="001E56B0" w:rsidRPr="001E56B0" w:rsidRDefault="001E56B0" w:rsidP="001E56B0">
            <w:pPr>
              <w:spacing w:after="0" w:line="240" w:lineRule="auto"/>
              <w:rPr>
                <w:sz w:val="20"/>
              </w:rPr>
            </w:pPr>
            <w:r>
              <w:rPr>
                <w:sz w:val="20"/>
              </w:rPr>
              <w:t>HIV/AIDS/ARC</w:t>
            </w:r>
          </w:p>
        </w:tc>
        <w:tc>
          <w:tcPr>
            <w:tcW w:w="2000" w:type="dxa"/>
            <w:shd w:val="clear" w:color="auto" w:fill="auto"/>
          </w:tcPr>
          <w:p w14:paraId="57B21192" w14:textId="13EF64D7" w:rsidR="001E56B0" w:rsidRDefault="001E56B0" w:rsidP="001E56B0">
            <w:pPr>
              <w:spacing w:after="0" w:line="240" w:lineRule="auto"/>
              <w:rPr>
                <w:sz w:val="20"/>
              </w:rPr>
            </w:pPr>
            <w:hyperlink r:id="rId15" w:history="1">
              <w:r w:rsidRPr="001E56B0">
                <w:rPr>
                  <w:rStyle w:val="Hyperlink"/>
                  <w:sz w:val="20"/>
                </w:rPr>
                <w:t>Title 24-A § 2159</w:t>
              </w:r>
            </w:hyperlink>
          </w:p>
          <w:p w14:paraId="21FDC9B6" w14:textId="3C294F50" w:rsidR="001E56B0" w:rsidRPr="001E56B0" w:rsidRDefault="001E56B0" w:rsidP="001E56B0">
            <w:pPr>
              <w:spacing w:after="0" w:line="240" w:lineRule="auto"/>
              <w:rPr>
                <w:sz w:val="20"/>
              </w:rPr>
            </w:pPr>
            <w:hyperlink r:id="rId16" w:history="1">
              <w:r w:rsidRPr="001E56B0">
                <w:rPr>
                  <w:rStyle w:val="Hyperlink"/>
                  <w:sz w:val="20"/>
                </w:rPr>
                <w:t>Rule 490</w:t>
              </w:r>
            </w:hyperlink>
            <w:r>
              <w:rPr>
                <w:sz w:val="20"/>
              </w:rPr>
              <w:t xml:space="preserve"> § 4</w:t>
            </w:r>
          </w:p>
        </w:tc>
        <w:tc>
          <w:tcPr>
            <w:tcW w:w="9000" w:type="dxa"/>
            <w:shd w:val="clear" w:color="auto" w:fill="auto"/>
          </w:tcPr>
          <w:p w14:paraId="20301440" w14:textId="566E462C" w:rsidR="001E56B0" w:rsidRPr="001E56B0" w:rsidRDefault="001E56B0" w:rsidP="001E56B0">
            <w:pPr>
              <w:spacing w:after="0" w:line="240" w:lineRule="auto"/>
              <w:rPr>
                <w:sz w:val="20"/>
              </w:rPr>
            </w:pPr>
            <w:r>
              <w:rPr>
                <w:sz w:val="20"/>
              </w:rPr>
              <w:t>Disclosure authorizations should instruct providers not to disclose whether any test for HIV has been taken or the results of those tests using the following suggested caveat or a caveat of similar effect : "This authorization excludes divulging whether tests for the presence of the HIV antibody have been performed and excludes divulging the results of such tests.  Such test results shall not be disclosed or published.  Nothing in this caveat will prohibit this authorization from divulging the fact that the applicant has AIDS/ARC. "No application may ask health questions which require the applicant to reveal if any test for HIV has been taken or which require the applicant to reveal the results of such tests.  Questions or statements concerning any of the following must have a disclaimer: "any disorder," "blood disorder," "diagnosis or treatment," "immune system disorders," "sexually transmitted disease," "tests performed," "visits to a doctor/clinic/hospital," or any questions asking directly about AIDS or ARC.  A recommended disclaimer is: "Answer this (these) questions 'NO' if you have tested positive for HIV but have not developed either symptoms or the disease AIDS."  If there is more than one question to which this disclaimer applies, simply identify each such question with an asterisk.  An alternative acceptable disclaimer is "(EXCEPT FOR HIV)" inserted in the question. Medical questions requiring the disclosure of AIDS/ARC may not have an historical period of time that is longer than other reportable conditions.</w:t>
            </w:r>
          </w:p>
        </w:tc>
        <w:tc>
          <w:tcPr>
            <w:tcW w:w="2000" w:type="dxa"/>
            <w:shd w:val="clear" w:color="auto" w:fill="auto"/>
          </w:tcPr>
          <w:p w14:paraId="6F859983" w14:textId="77777777" w:rsidR="001E56B0" w:rsidRPr="001E56B0" w:rsidRDefault="001E56B0" w:rsidP="001E56B0">
            <w:pPr>
              <w:spacing w:after="0" w:line="240" w:lineRule="auto"/>
              <w:rPr>
                <w:sz w:val="20"/>
              </w:rPr>
            </w:pPr>
          </w:p>
        </w:tc>
      </w:tr>
      <w:tr w:rsidR="001E56B0" w:rsidRPr="001E56B0" w14:paraId="3EB12D98" w14:textId="77777777" w:rsidTr="001E56B0">
        <w:tblPrEx>
          <w:tblCellMar>
            <w:top w:w="0" w:type="dxa"/>
            <w:bottom w:w="0" w:type="dxa"/>
          </w:tblCellMar>
        </w:tblPrEx>
        <w:trPr>
          <w:cantSplit/>
        </w:trPr>
        <w:tc>
          <w:tcPr>
            <w:tcW w:w="2000" w:type="dxa"/>
            <w:shd w:val="clear" w:color="auto" w:fill="auto"/>
          </w:tcPr>
          <w:p w14:paraId="26727F52" w14:textId="5F86DBDA" w:rsidR="001E56B0" w:rsidRPr="001E56B0" w:rsidRDefault="001E56B0" w:rsidP="001E56B0">
            <w:pPr>
              <w:spacing w:after="0" w:line="240" w:lineRule="auto"/>
              <w:rPr>
                <w:sz w:val="20"/>
              </w:rPr>
            </w:pPr>
            <w:r>
              <w:rPr>
                <w:sz w:val="20"/>
              </w:rPr>
              <w:t>Non-renewable clause</w:t>
            </w:r>
          </w:p>
        </w:tc>
        <w:tc>
          <w:tcPr>
            <w:tcW w:w="2000" w:type="dxa"/>
            <w:shd w:val="clear" w:color="auto" w:fill="auto"/>
          </w:tcPr>
          <w:p w14:paraId="118B3240" w14:textId="56D85992" w:rsidR="001E56B0" w:rsidRPr="001E56B0" w:rsidRDefault="001E56B0" w:rsidP="001E56B0">
            <w:pPr>
              <w:spacing w:after="0" w:line="240" w:lineRule="auto"/>
              <w:rPr>
                <w:sz w:val="20"/>
              </w:rPr>
            </w:pPr>
            <w:hyperlink r:id="rId17" w:history="1">
              <w:r w:rsidRPr="001E56B0">
                <w:rPr>
                  <w:rStyle w:val="Hyperlink"/>
                  <w:sz w:val="20"/>
                </w:rPr>
                <w:t>Title 24-A § 2849</w:t>
              </w:r>
            </w:hyperlink>
            <w:r>
              <w:rPr>
                <w:sz w:val="20"/>
              </w:rPr>
              <w:t>-B(8)(A)</w:t>
            </w:r>
          </w:p>
        </w:tc>
        <w:tc>
          <w:tcPr>
            <w:tcW w:w="9000" w:type="dxa"/>
            <w:shd w:val="clear" w:color="auto" w:fill="auto"/>
          </w:tcPr>
          <w:p w14:paraId="24138357" w14:textId="32D22456" w:rsidR="001E56B0" w:rsidRPr="001E56B0" w:rsidRDefault="001E56B0" w:rsidP="001E56B0">
            <w:pPr>
              <w:spacing w:after="0" w:line="240" w:lineRule="auto"/>
              <w:rPr>
                <w:sz w:val="20"/>
              </w:rPr>
            </w:pPr>
            <w:r>
              <w:rPr>
                <w:sz w:val="20"/>
              </w:rPr>
              <w:t>In addition to application provisions for all health policies, warning that policy is not renewable and not subject to any limitation on preexisting conditions exclusions</w:t>
            </w:r>
          </w:p>
        </w:tc>
        <w:tc>
          <w:tcPr>
            <w:tcW w:w="2000" w:type="dxa"/>
            <w:shd w:val="clear" w:color="auto" w:fill="auto"/>
          </w:tcPr>
          <w:p w14:paraId="1BA25C07" w14:textId="77777777" w:rsidR="001E56B0" w:rsidRPr="001E56B0" w:rsidRDefault="001E56B0" w:rsidP="001E56B0">
            <w:pPr>
              <w:spacing w:after="0" w:line="240" w:lineRule="auto"/>
              <w:rPr>
                <w:sz w:val="20"/>
              </w:rPr>
            </w:pPr>
          </w:p>
        </w:tc>
      </w:tr>
      <w:tr w:rsidR="001E56B0" w:rsidRPr="001E56B0" w14:paraId="247EDEAC" w14:textId="77777777" w:rsidTr="001E56B0">
        <w:tblPrEx>
          <w:tblCellMar>
            <w:top w:w="0" w:type="dxa"/>
            <w:bottom w:w="0" w:type="dxa"/>
          </w:tblCellMar>
        </w:tblPrEx>
        <w:trPr>
          <w:cantSplit/>
        </w:trPr>
        <w:tc>
          <w:tcPr>
            <w:tcW w:w="2000" w:type="dxa"/>
            <w:shd w:val="clear" w:color="auto" w:fill="auto"/>
          </w:tcPr>
          <w:p w14:paraId="2E2EEAC6" w14:textId="42C8D7FA" w:rsidR="001E56B0" w:rsidRPr="001E56B0" w:rsidRDefault="001E56B0" w:rsidP="001E56B0">
            <w:pPr>
              <w:spacing w:after="0" w:line="240" w:lineRule="auto"/>
              <w:rPr>
                <w:sz w:val="20"/>
              </w:rPr>
            </w:pPr>
            <w:r>
              <w:rPr>
                <w:sz w:val="20"/>
              </w:rPr>
              <w:t>On-line Application/Enrollment form</w:t>
            </w:r>
          </w:p>
        </w:tc>
        <w:tc>
          <w:tcPr>
            <w:tcW w:w="2000" w:type="dxa"/>
            <w:shd w:val="clear" w:color="auto" w:fill="auto"/>
          </w:tcPr>
          <w:p w14:paraId="58F17D81" w14:textId="784AB4DD" w:rsidR="001E56B0" w:rsidRPr="001E56B0" w:rsidRDefault="001E56B0" w:rsidP="001E56B0">
            <w:pPr>
              <w:spacing w:after="0" w:line="240" w:lineRule="auto"/>
              <w:rPr>
                <w:sz w:val="20"/>
              </w:rPr>
            </w:pPr>
            <w:hyperlink r:id="rId18" w:history="1">
              <w:r w:rsidRPr="001E56B0">
                <w:rPr>
                  <w:rStyle w:val="Hyperlink"/>
                  <w:sz w:val="20"/>
                </w:rPr>
                <w:t>Title 24-A § 2412</w:t>
              </w:r>
            </w:hyperlink>
            <w:r>
              <w:rPr>
                <w:sz w:val="20"/>
              </w:rPr>
              <w:t>(1)(A)(2)</w:t>
            </w:r>
          </w:p>
        </w:tc>
        <w:tc>
          <w:tcPr>
            <w:tcW w:w="9000" w:type="dxa"/>
            <w:shd w:val="clear" w:color="auto" w:fill="auto"/>
          </w:tcPr>
          <w:p w14:paraId="436893F5" w14:textId="10D6454E" w:rsidR="001E56B0" w:rsidRPr="001E56B0" w:rsidRDefault="001E56B0" w:rsidP="001E56B0">
            <w:pPr>
              <w:spacing w:after="0" w:line="240" w:lineRule="auto"/>
              <w:rPr>
                <w:sz w:val="20"/>
              </w:rPr>
            </w:pPr>
            <w:r>
              <w:rPr>
                <w:sz w:val="20"/>
              </w:rPr>
              <w:t>Is there an on-line enrollment application for this product?If so, carriers must include screenshots of the process for Maine specific plans in the Supporting Documentation Tab in SERFF.</w:t>
            </w:r>
          </w:p>
        </w:tc>
        <w:tc>
          <w:tcPr>
            <w:tcW w:w="2000" w:type="dxa"/>
            <w:shd w:val="clear" w:color="auto" w:fill="auto"/>
          </w:tcPr>
          <w:p w14:paraId="1E00EC88" w14:textId="77777777" w:rsidR="001E56B0" w:rsidRPr="001E56B0" w:rsidRDefault="001E56B0" w:rsidP="001E56B0">
            <w:pPr>
              <w:spacing w:after="0" w:line="240" w:lineRule="auto"/>
              <w:rPr>
                <w:sz w:val="20"/>
              </w:rPr>
            </w:pPr>
          </w:p>
        </w:tc>
      </w:tr>
      <w:tr w:rsidR="001E56B0" w:rsidRPr="001E56B0" w14:paraId="2D456505" w14:textId="77777777" w:rsidTr="001E56B0">
        <w:tblPrEx>
          <w:tblCellMar>
            <w:top w:w="0" w:type="dxa"/>
            <w:bottom w:w="0" w:type="dxa"/>
          </w:tblCellMar>
        </w:tblPrEx>
        <w:trPr>
          <w:cantSplit/>
        </w:trPr>
        <w:tc>
          <w:tcPr>
            <w:tcW w:w="2000" w:type="dxa"/>
            <w:shd w:val="clear" w:color="auto" w:fill="auto"/>
          </w:tcPr>
          <w:p w14:paraId="323127FB" w14:textId="072D8BAB" w:rsidR="001E56B0" w:rsidRPr="001E56B0" w:rsidRDefault="001E56B0" w:rsidP="001E56B0">
            <w:pPr>
              <w:spacing w:after="0" w:line="240" w:lineRule="auto"/>
              <w:rPr>
                <w:sz w:val="20"/>
              </w:rPr>
            </w:pPr>
            <w:r>
              <w:rPr>
                <w:sz w:val="20"/>
              </w:rPr>
              <w:lastRenderedPageBreak/>
              <w:t>Third Party 10 Day Notice of Cancellation Due to Cognitive Impairment or Functional Incapacity</w:t>
            </w:r>
          </w:p>
        </w:tc>
        <w:tc>
          <w:tcPr>
            <w:tcW w:w="2000" w:type="dxa"/>
            <w:shd w:val="clear" w:color="auto" w:fill="auto"/>
          </w:tcPr>
          <w:p w14:paraId="20D6FCD7" w14:textId="2328CE47" w:rsidR="001E56B0" w:rsidRDefault="001E56B0" w:rsidP="001E56B0">
            <w:pPr>
              <w:spacing w:after="0" w:line="240" w:lineRule="auto"/>
              <w:rPr>
                <w:sz w:val="20"/>
              </w:rPr>
            </w:pPr>
            <w:hyperlink r:id="rId19" w:history="1">
              <w:r w:rsidRPr="001E56B0">
                <w:rPr>
                  <w:rStyle w:val="Hyperlink"/>
                  <w:sz w:val="20"/>
                </w:rPr>
                <w:t>Title 24-A § 2707</w:t>
              </w:r>
            </w:hyperlink>
            <w:r>
              <w:rPr>
                <w:sz w:val="20"/>
              </w:rPr>
              <w:t>-A</w:t>
            </w:r>
          </w:p>
          <w:p w14:paraId="2E16B3CC" w14:textId="07AC4511" w:rsidR="001E56B0" w:rsidRDefault="001E56B0" w:rsidP="001E56B0">
            <w:pPr>
              <w:spacing w:after="0" w:line="240" w:lineRule="auto"/>
              <w:rPr>
                <w:sz w:val="20"/>
              </w:rPr>
            </w:pPr>
            <w:hyperlink r:id="rId20" w:history="1">
              <w:r w:rsidRPr="001E56B0">
                <w:rPr>
                  <w:rStyle w:val="Hyperlink"/>
                  <w:sz w:val="20"/>
                </w:rPr>
                <w:t>Title 24-A § 2847</w:t>
              </w:r>
            </w:hyperlink>
            <w:r>
              <w:rPr>
                <w:sz w:val="20"/>
              </w:rPr>
              <w:t>-C</w:t>
            </w:r>
          </w:p>
          <w:p w14:paraId="6893BFD0" w14:textId="3C95BE31" w:rsidR="001E56B0" w:rsidRDefault="001E56B0" w:rsidP="001E56B0">
            <w:pPr>
              <w:spacing w:after="0" w:line="240" w:lineRule="auto"/>
              <w:rPr>
                <w:sz w:val="20"/>
              </w:rPr>
            </w:pPr>
            <w:hyperlink r:id="rId21" w:history="1">
              <w:r w:rsidRPr="001E56B0">
                <w:rPr>
                  <w:rStyle w:val="Hyperlink"/>
                  <w:sz w:val="20"/>
                </w:rPr>
                <w:t>Title 24-A § 5016</w:t>
              </w:r>
            </w:hyperlink>
            <w:r>
              <w:rPr>
                <w:sz w:val="20"/>
              </w:rPr>
              <w:t xml:space="preserve"> </w:t>
            </w:r>
          </w:p>
          <w:p w14:paraId="22D78434" w14:textId="0B6D4050" w:rsidR="001E56B0" w:rsidRPr="001E56B0" w:rsidRDefault="001E56B0" w:rsidP="001E56B0">
            <w:pPr>
              <w:spacing w:after="0" w:line="240" w:lineRule="auto"/>
              <w:rPr>
                <w:sz w:val="20"/>
              </w:rPr>
            </w:pPr>
            <w:hyperlink r:id="rId22" w:history="1">
              <w:r w:rsidRPr="001E56B0">
                <w:rPr>
                  <w:rStyle w:val="Hyperlink"/>
                  <w:sz w:val="20"/>
                </w:rPr>
                <w:t>Rule 580</w:t>
              </w:r>
            </w:hyperlink>
          </w:p>
        </w:tc>
        <w:tc>
          <w:tcPr>
            <w:tcW w:w="9000" w:type="dxa"/>
            <w:shd w:val="clear" w:color="auto" w:fill="auto"/>
          </w:tcPr>
          <w:p w14:paraId="40F78553" w14:textId="59E5AA49" w:rsidR="001E56B0" w:rsidRPr="001E56B0" w:rsidRDefault="001E56B0" w:rsidP="001E56B0">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premium.Insurers must provide disclosure, notice and reinstatement rights.</w:t>
            </w:r>
          </w:p>
        </w:tc>
        <w:tc>
          <w:tcPr>
            <w:tcW w:w="2000" w:type="dxa"/>
            <w:shd w:val="clear" w:color="auto" w:fill="auto"/>
          </w:tcPr>
          <w:p w14:paraId="72C29119" w14:textId="77777777" w:rsidR="001E56B0" w:rsidRPr="001E56B0" w:rsidRDefault="001E56B0" w:rsidP="001E56B0">
            <w:pPr>
              <w:spacing w:after="0" w:line="240" w:lineRule="auto"/>
              <w:rPr>
                <w:sz w:val="20"/>
              </w:rPr>
            </w:pPr>
          </w:p>
        </w:tc>
      </w:tr>
      <w:tr w:rsidR="001E56B0" w:rsidRPr="001E56B0" w14:paraId="03472567" w14:textId="77777777" w:rsidTr="001E56B0">
        <w:tblPrEx>
          <w:tblCellMar>
            <w:top w:w="0" w:type="dxa"/>
            <w:bottom w:w="0" w:type="dxa"/>
          </w:tblCellMar>
        </w:tblPrEx>
        <w:trPr>
          <w:cantSplit/>
        </w:trPr>
        <w:tc>
          <w:tcPr>
            <w:tcW w:w="2000" w:type="dxa"/>
            <w:tcBorders>
              <w:bottom w:val="single" w:sz="4" w:space="0" w:color="auto"/>
            </w:tcBorders>
            <w:shd w:val="clear" w:color="auto" w:fill="auto"/>
          </w:tcPr>
          <w:p w14:paraId="5A412AE2" w14:textId="5AC28EAE" w:rsidR="001E56B0" w:rsidRPr="001E56B0" w:rsidRDefault="001E56B0" w:rsidP="001E56B0">
            <w:pPr>
              <w:spacing w:after="0" w:line="240" w:lineRule="auto"/>
              <w:rPr>
                <w:sz w:val="20"/>
              </w:rPr>
            </w:pPr>
            <w:r>
              <w:rPr>
                <w:sz w:val="20"/>
              </w:rPr>
              <w:t>Short Term Policy Limitations</w:t>
            </w:r>
          </w:p>
        </w:tc>
        <w:tc>
          <w:tcPr>
            <w:tcW w:w="2000" w:type="dxa"/>
            <w:tcBorders>
              <w:bottom w:val="single" w:sz="4" w:space="0" w:color="auto"/>
            </w:tcBorders>
            <w:shd w:val="clear" w:color="auto" w:fill="auto"/>
          </w:tcPr>
          <w:p w14:paraId="1117178A" w14:textId="7EA7BD3B" w:rsidR="001E56B0" w:rsidRPr="001E56B0" w:rsidRDefault="001E56B0" w:rsidP="001E56B0">
            <w:pPr>
              <w:spacing w:after="0" w:line="240" w:lineRule="auto"/>
              <w:rPr>
                <w:sz w:val="20"/>
              </w:rPr>
            </w:pPr>
            <w:hyperlink r:id="rId23" w:history="1">
              <w:r w:rsidRPr="001E56B0">
                <w:rPr>
                  <w:rStyle w:val="Hyperlink"/>
                  <w:sz w:val="20"/>
                </w:rPr>
                <w:t>Title 24-A § 2849</w:t>
              </w:r>
            </w:hyperlink>
            <w:r>
              <w:rPr>
                <w:sz w:val="20"/>
              </w:rPr>
              <w:t>-B(1) and (8)(B)</w:t>
            </w:r>
          </w:p>
        </w:tc>
        <w:tc>
          <w:tcPr>
            <w:tcW w:w="9000" w:type="dxa"/>
            <w:tcBorders>
              <w:bottom w:val="single" w:sz="4" w:space="0" w:color="auto"/>
            </w:tcBorders>
            <w:shd w:val="clear" w:color="auto" w:fill="auto"/>
          </w:tcPr>
          <w:p w14:paraId="3DEED124" w14:textId="269BFE3F" w:rsidR="001E56B0" w:rsidRPr="001E56B0" w:rsidRDefault="001E56B0" w:rsidP="001E56B0">
            <w:pPr>
              <w:spacing w:after="0" w:line="240" w:lineRule="auto"/>
              <w:rPr>
                <w:sz w:val="20"/>
              </w:rPr>
            </w:pPr>
            <w:r>
              <w:rPr>
                <w:sz w:val="20"/>
              </w:rPr>
              <w:t>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p>
        </w:tc>
        <w:tc>
          <w:tcPr>
            <w:tcW w:w="2000" w:type="dxa"/>
            <w:tcBorders>
              <w:bottom w:val="single" w:sz="4" w:space="0" w:color="auto"/>
            </w:tcBorders>
            <w:shd w:val="clear" w:color="auto" w:fill="auto"/>
          </w:tcPr>
          <w:p w14:paraId="0DDA1AE9" w14:textId="77777777" w:rsidR="001E56B0" w:rsidRPr="001E56B0" w:rsidRDefault="001E56B0" w:rsidP="001E56B0">
            <w:pPr>
              <w:spacing w:after="0" w:line="240" w:lineRule="auto"/>
              <w:rPr>
                <w:sz w:val="20"/>
              </w:rPr>
            </w:pPr>
          </w:p>
        </w:tc>
      </w:tr>
      <w:tr w:rsidR="001E56B0" w:rsidRPr="001E56B0" w14:paraId="79F1DB90" w14:textId="77777777" w:rsidTr="001E56B0">
        <w:tblPrEx>
          <w:tblCellMar>
            <w:top w:w="0" w:type="dxa"/>
            <w:bottom w:w="0" w:type="dxa"/>
          </w:tblCellMar>
        </w:tblPrEx>
        <w:trPr>
          <w:cantSplit/>
        </w:trPr>
        <w:tc>
          <w:tcPr>
            <w:tcW w:w="2000" w:type="dxa"/>
            <w:shd w:val="clear" w:color="auto" w:fill="D9D9D9"/>
          </w:tcPr>
          <w:p w14:paraId="5B72A234" w14:textId="4975906D" w:rsidR="001E56B0" w:rsidRPr="001E56B0" w:rsidRDefault="001E56B0" w:rsidP="001E56B0">
            <w:pPr>
              <w:spacing w:after="0" w:line="240" w:lineRule="auto"/>
              <w:jc w:val="center"/>
              <w:rPr>
                <w:b/>
                <w:sz w:val="24"/>
              </w:rPr>
            </w:pPr>
            <w:r w:rsidRPr="001E56B0">
              <w:rPr>
                <w:b/>
                <w:sz w:val="24"/>
              </w:rPr>
              <w:t>GENERAL POLICY PROVISIONS</w:t>
            </w:r>
          </w:p>
        </w:tc>
        <w:tc>
          <w:tcPr>
            <w:tcW w:w="2000" w:type="dxa"/>
            <w:shd w:val="clear" w:color="auto" w:fill="D9D9D9"/>
          </w:tcPr>
          <w:p w14:paraId="57C5912A" w14:textId="77777777" w:rsidR="001E56B0" w:rsidRPr="001E56B0" w:rsidRDefault="001E56B0" w:rsidP="001E56B0">
            <w:pPr>
              <w:spacing w:after="0" w:line="240" w:lineRule="auto"/>
              <w:jc w:val="center"/>
              <w:rPr>
                <w:b/>
                <w:sz w:val="24"/>
              </w:rPr>
            </w:pPr>
          </w:p>
        </w:tc>
        <w:tc>
          <w:tcPr>
            <w:tcW w:w="9000" w:type="dxa"/>
            <w:shd w:val="clear" w:color="auto" w:fill="D9D9D9"/>
          </w:tcPr>
          <w:p w14:paraId="515ED4CB" w14:textId="77777777" w:rsidR="001E56B0" w:rsidRPr="001E56B0" w:rsidRDefault="001E56B0" w:rsidP="001E56B0">
            <w:pPr>
              <w:spacing w:after="0" w:line="240" w:lineRule="auto"/>
              <w:jc w:val="center"/>
              <w:rPr>
                <w:b/>
                <w:sz w:val="24"/>
              </w:rPr>
            </w:pPr>
          </w:p>
        </w:tc>
        <w:tc>
          <w:tcPr>
            <w:tcW w:w="2000" w:type="dxa"/>
            <w:shd w:val="clear" w:color="auto" w:fill="D9D9D9"/>
          </w:tcPr>
          <w:p w14:paraId="3E165619" w14:textId="77777777" w:rsidR="001E56B0" w:rsidRPr="001E56B0" w:rsidRDefault="001E56B0" w:rsidP="001E56B0">
            <w:pPr>
              <w:spacing w:after="0" w:line="240" w:lineRule="auto"/>
              <w:jc w:val="center"/>
              <w:rPr>
                <w:b/>
                <w:sz w:val="24"/>
              </w:rPr>
            </w:pPr>
          </w:p>
        </w:tc>
      </w:tr>
      <w:tr w:rsidR="001E56B0" w:rsidRPr="001E56B0" w14:paraId="654171B0" w14:textId="77777777" w:rsidTr="001E56B0">
        <w:tblPrEx>
          <w:tblCellMar>
            <w:top w:w="0" w:type="dxa"/>
            <w:bottom w:w="0" w:type="dxa"/>
          </w:tblCellMar>
        </w:tblPrEx>
        <w:trPr>
          <w:cantSplit/>
        </w:trPr>
        <w:tc>
          <w:tcPr>
            <w:tcW w:w="2000" w:type="dxa"/>
            <w:shd w:val="clear" w:color="auto" w:fill="auto"/>
          </w:tcPr>
          <w:p w14:paraId="4E812563" w14:textId="12A71E6D" w:rsidR="001E56B0" w:rsidRPr="001E56B0" w:rsidRDefault="001E56B0" w:rsidP="001E56B0">
            <w:pPr>
              <w:spacing w:after="0" w:line="240" w:lineRule="auto"/>
              <w:rPr>
                <w:sz w:val="20"/>
              </w:rPr>
            </w:pPr>
            <w:r>
              <w:rPr>
                <w:sz w:val="20"/>
              </w:rPr>
              <w:t>Classifications, Disclosure and Minimum Standards</w:t>
            </w:r>
          </w:p>
        </w:tc>
        <w:tc>
          <w:tcPr>
            <w:tcW w:w="2000" w:type="dxa"/>
            <w:shd w:val="clear" w:color="auto" w:fill="auto"/>
          </w:tcPr>
          <w:p w14:paraId="4B842D64" w14:textId="12ED34F3" w:rsidR="001E56B0" w:rsidRPr="001E56B0" w:rsidRDefault="001E56B0" w:rsidP="001E56B0">
            <w:pPr>
              <w:spacing w:after="0" w:line="240" w:lineRule="auto"/>
              <w:rPr>
                <w:sz w:val="20"/>
              </w:rPr>
            </w:pPr>
            <w:hyperlink r:id="rId24" w:history="1">
              <w:r w:rsidRPr="001E56B0">
                <w:rPr>
                  <w:rStyle w:val="Hyperlink"/>
                  <w:sz w:val="20"/>
                </w:rPr>
                <w:t>Rule 755</w:t>
              </w:r>
            </w:hyperlink>
          </w:p>
        </w:tc>
        <w:tc>
          <w:tcPr>
            <w:tcW w:w="9000" w:type="dxa"/>
            <w:shd w:val="clear" w:color="auto" w:fill="auto"/>
          </w:tcPr>
          <w:p w14:paraId="28CE3AC8" w14:textId="6DFED29E" w:rsidR="001E56B0" w:rsidRPr="001E56B0" w:rsidRDefault="001E56B0" w:rsidP="001E56B0">
            <w:pPr>
              <w:spacing w:after="0" w:line="240" w:lineRule="auto"/>
              <w:rPr>
                <w:sz w:val="20"/>
              </w:rPr>
            </w:pPr>
            <w:r>
              <w:rPr>
                <w:sz w:val="20"/>
              </w:rPr>
              <w:t xml:space="preserve">Must comply with all applicable provisions of </w:t>
            </w:r>
            <w:hyperlink r:id="rId25" w:history="1">
              <w:r w:rsidRPr="001E56B0">
                <w:rPr>
                  <w:rStyle w:val="Hyperlink"/>
                  <w:sz w:val="20"/>
                </w:rPr>
                <w:t>Rule 755</w:t>
              </w:r>
            </w:hyperlink>
            <w:r>
              <w:rPr>
                <w:sz w:val="20"/>
              </w:rPr>
              <w:t xml:space="preserve"> including, but not limited to, application requirements located in Sections 6, 7, and 8.</w:t>
            </w:r>
          </w:p>
        </w:tc>
        <w:tc>
          <w:tcPr>
            <w:tcW w:w="2000" w:type="dxa"/>
            <w:shd w:val="clear" w:color="auto" w:fill="auto"/>
          </w:tcPr>
          <w:p w14:paraId="0AB1E240" w14:textId="77777777" w:rsidR="001E56B0" w:rsidRPr="001E56B0" w:rsidRDefault="001E56B0" w:rsidP="001E56B0">
            <w:pPr>
              <w:spacing w:after="0" w:line="240" w:lineRule="auto"/>
              <w:rPr>
                <w:sz w:val="20"/>
              </w:rPr>
            </w:pPr>
          </w:p>
        </w:tc>
      </w:tr>
      <w:tr w:rsidR="001E56B0" w:rsidRPr="001E56B0" w14:paraId="3E68E3E3" w14:textId="77777777" w:rsidTr="001E56B0">
        <w:tblPrEx>
          <w:tblCellMar>
            <w:top w:w="0" w:type="dxa"/>
            <w:bottom w:w="0" w:type="dxa"/>
          </w:tblCellMar>
        </w:tblPrEx>
        <w:trPr>
          <w:cantSplit/>
        </w:trPr>
        <w:tc>
          <w:tcPr>
            <w:tcW w:w="2000" w:type="dxa"/>
            <w:tcBorders>
              <w:bottom w:val="single" w:sz="4" w:space="0" w:color="auto"/>
            </w:tcBorders>
            <w:shd w:val="clear" w:color="auto" w:fill="auto"/>
          </w:tcPr>
          <w:p w14:paraId="1AB34EDF" w14:textId="5A3449CA" w:rsidR="001E56B0" w:rsidRPr="001E56B0" w:rsidRDefault="001E56B0" w:rsidP="001E56B0">
            <w:pPr>
              <w:spacing w:after="0" w:line="240" w:lineRule="auto"/>
              <w:rPr>
                <w:sz w:val="20"/>
              </w:rPr>
            </w:pPr>
            <w:r>
              <w:rPr>
                <w:sz w:val="20"/>
              </w:rPr>
              <w:t>Live Organ Donation Prohibition</w:t>
            </w:r>
          </w:p>
        </w:tc>
        <w:tc>
          <w:tcPr>
            <w:tcW w:w="2000" w:type="dxa"/>
            <w:tcBorders>
              <w:bottom w:val="single" w:sz="4" w:space="0" w:color="auto"/>
            </w:tcBorders>
            <w:shd w:val="clear" w:color="auto" w:fill="auto"/>
          </w:tcPr>
          <w:p w14:paraId="6BE583FF" w14:textId="26696105" w:rsidR="001E56B0" w:rsidRPr="001E56B0" w:rsidRDefault="001E56B0" w:rsidP="001E56B0">
            <w:pPr>
              <w:spacing w:after="0" w:line="240" w:lineRule="auto"/>
              <w:rPr>
                <w:sz w:val="20"/>
              </w:rPr>
            </w:pPr>
            <w:hyperlink r:id="rId26" w:history="1">
              <w:r w:rsidRPr="001E56B0">
                <w:rPr>
                  <w:rStyle w:val="Hyperlink"/>
                  <w:sz w:val="20"/>
                </w:rPr>
                <w:t>Title 24-A § 2159</w:t>
              </w:r>
            </w:hyperlink>
            <w:r>
              <w:rPr>
                <w:sz w:val="20"/>
              </w:rPr>
              <w:t>-D</w:t>
            </w:r>
          </w:p>
        </w:tc>
        <w:tc>
          <w:tcPr>
            <w:tcW w:w="9000" w:type="dxa"/>
            <w:tcBorders>
              <w:bottom w:val="single" w:sz="4" w:space="0" w:color="auto"/>
            </w:tcBorders>
            <w:shd w:val="clear" w:color="auto" w:fill="auto"/>
          </w:tcPr>
          <w:p w14:paraId="5F05B64F" w14:textId="0EFD073F" w:rsidR="001E56B0" w:rsidRPr="001E56B0" w:rsidRDefault="001E56B0" w:rsidP="001E56B0">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tcBorders>
              <w:bottom w:val="single" w:sz="4" w:space="0" w:color="auto"/>
            </w:tcBorders>
            <w:shd w:val="clear" w:color="auto" w:fill="auto"/>
          </w:tcPr>
          <w:p w14:paraId="792FEB75" w14:textId="77777777" w:rsidR="001E56B0" w:rsidRPr="001E56B0" w:rsidRDefault="001E56B0" w:rsidP="001E56B0">
            <w:pPr>
              <w:spacing w:after="0" w:line="240" w:lineRule="auto"/>
              <w:rPr>
                <w:sz w:val="20"/>
              </w:rPr>
            </w:pPr>
          </w:p>
        </w:tc>
      </w:tr>
      <w:tr w:rsidR="001E56B0" w:rsidRPr="001E56B0" w14:paraId="344A0F58" w14:textId="77777777" w:rsidTr="001E56B0">
        <w:tblPrEx>
          <w:tblCellMar>
            <w:top w:w="0" w:type="dxa"/>
            <w:bottom w:w="0" w:type="dxa"/>
          </w:tblCellMar>
        </w:tblPrEx>
        <w:trPr>
          <w:cantSplit/>
        </w:trPr>
        <w:tc>
          <w:tcPr>
            <w:tcW w:w="2000" w:type="dxa"/>
            <w:shd w:val="clear" w:color="auto" w:fill="D9D9D9"/>
          </w:tcPr>
          <w:p w14:paraId="58FB4305" w14:textId="1C0BC2D9" w:rsidR="001E56B0" w:rsidRPr="001E56B0" w:rsidRDefault="001E56B0" w:rsidP="001E56B0">
            <w:pPr>
              <w:spacing w:after="0" w:line="240" w:lineRule="auto"/>
              <w:jc w:val="center"/>
              <w:rPr>
                <w:b/>
                <w:sz w:val="24"/>
              </w:rPr>
            </w:pPr>
            <w:r w:rsidRPr="001E56B0">
              <w:rPr>
                <w:b/>
                <w:sz w:val="24"/>
              </w:rPr>
              <w:t>APPLIES TO ONLY LONG-TERM CARE INSURANCE</w:t>
            </w:r>
          </w:p>
        </w:tc>
        <w:tc>
          <w:tcPr>
            <w:tcW w:w="2000" w:type="dxa"/>
            <w:shd w:val="clear" w:color="auto" w:fill="D9D9D9"/>
          </w:tcPr>
          <w:p w14:paraId="3A470290" w14:textId="77777777" w:rsidR="001E56B0" w:rsidRPr="001E56B0" w:rsidRDefault="001E56B0" w:rsidP="001E56B0">
            <w:pPr>
              <w:spacing w:after="0" w:line="240" w:lineRule="auto"/>
              <w:jc w:val="center"/>
              <w:rPr>
                <w:b/>
                <w:sz w:val="24"/>
              </w:rPr>
            </w:pPr>
          </w:p>
        </w:tc>
        <w:tc>
          <w:tcPr>
            <w:tcW w:w="9000" w:type="dxa"/>
            <w:shd w:val="clear" w:color="auto" w:fill="D9D9D9"/>
          </w:tcPr>
          <w:p w14:paraId="513A2FCB" w14:textId="77777777" w:rsidR="001E56B0" w:rsidRPr="001E56B0" w:rsidRDefault="001E56B0" w:rsidP="001E56B0">
            <w:pPr>
              <w:spacing w:after="0" w:line="240" w:lineRule="auto"/>
              <w:jc w:val="center"/>
              <w:rPr>
                <w:b/>
                <w:sz w:val="24"/>
              </w:rPr>
            </w:pPr>
          </w:p>
        </w:tc>
        <w:tc>
          <w:tcPr>
            <w:tcW w:w="2000" w:type="dxa"/>
            <w:shd w:val="clear" w:color="auto" w:fill="D9D9D9"/>
          </w:tcPr>
          <w:p w14:paraId="404864A6" w14:textId="77777777" w:rsidR="001E56B0" w:rsidRPr="001E56B0" w:rsidRDefault="001E56B0" w:rsidP="001E56B0">
            <w:pPr>
              <w:spacing w:after="0" w:line="240" w:lineRule="auto"/>
              <w:jc w:val="center"/>
              <w:rPr>
                <w:b/>
                <w:sz w:val="24"/>
              </w:rPr>
            </w:pPr>
          </w:p>
        </w:tc>
      </w:tr>
      <w:tr w:rsidR="001E56B0" w:rsidRPr="001E56B0" w14:paraId="30D867C3" w14:textId="77777777" w:rsidTr="001E56B0">
        <w:tblPrEx>
          <w:tblCellMar>
            <w:top w:w="0" w:type="dxa"/>
            <w:bottom w:w="0" w:type="dxa"/>
          </w:tblCellMar>
        </w:tblPrEx>
        <w:trPr>
          <w:cantSplit/>
        </w:trPr>
        <w:tc>
          <w:tcPr>
            <w:tcW w:w="2000" w:type="dxa"/>
            <w:shd w:val="clear" w:color="auto" w:fill="auto"/>
          </w:tcPr>
          <w:p w14:paraId="183B710C" w14:textId="4290C523" w:rsidR="001E56B0" w:rsidRPr="001E56B0" w:rsidRDefault="001E56B0" w:rsidP="001E56B0">
            <w:pPr>
              <w:spacing w:after="0" w:line="240" w:lineRule="auto"/>
              <w:rPr>
                <w:sz w:val="20"/>
              </w:rPr>
            </w:pPr>
            <w:r>
              <w:rPr>
                <w:sz w:val="20"/>
              </w:rPr>
              <w:t>Notice to Applicant – Replacing Existing Insurance</w:t>
            </w:r>
          </w:p>
        </w:tc>
        <w:tc>
          <w:tcPr>
            <w:tcW w:w="2000" w:type="dxa"/>
            <w:shd w:val="clear" w:color="auto" w:fill="auto"/>
          </w:tcPr>
          <w:p w14:paraId="3B6C972D" w14:textId="11FC636B" w:rsidR="001E56B0" w:rsidRPr="001E56B0" w:rsidRDefault="001E56B0" w:rsidP="001E56B0">
            <w:pPr>
              <w:spacing w:after="0" w:line="240" w:lineRule="auto"/>
              <w:rPr>
                <w:sz w:val="20"/>
              </w:rPr>
            </w:pPr>
            <w:hyperlink r:id="rId27" w:history="1">
              <w:r w:rsidRPr="001E56B0">
                <w:rPr>
                  <w:rStyle w:val="Hyperlink"/>
                  <w:sz w:val="20"/>
                </w:rPr>
                <w:t>Rule 425</w:t>
              </w:r>
            </w:hyperlink>
            <w:r>
              <w:rPr>
                <w:sz w:val="20"/>
              </w:rPr>
              <w:t xml:space="preserve"> § 14</w:t>
            </w:r>
          </w:p>
        </w:tc>
        <w:tc>
          <w:tcPr>
            <w:tcW w:w="9000" w:type="dxa"/>
            <w:shd w:val="clear" w:color="auto" w:fill="auto"/>
          </w:tcPr>
          <w:p w14:paraId="4FF06D91" w14:textId="1FD6E07D" w:rsidR="001E56B0" w:rsidRPr="001E56B0" w:rsidRDefault="001E56B0" w:rsidP="001E56B0">
            <w:pPr>
              <w:spacing w:after="0" w:line="240" w:lineRule="auto"/>
              <w:rPr>
                <w:sz w:val="20"/>
              </w:rPr>
            </w:pPr>
            <w:r>
              <w:rPr>
                <w:sz w:val="20"/>
              </w:rPr>
              <w:t>Application must include specific questions to determine whether the insured has another long-term care policy/certificate in force or whether a long-term care policy or certificate is intended to replace any other accident and sickness or long-term care policy or certificate presently in force.  If the sale involves replacement of a current policy, Appendix A notice is required.</w:t>
            </w:r>
          </w:p>
        </w:tc>
        <w:tc>
          <w:tcPr>
            <w:tcW w:w="2000" w:type="dxa"/>
            <w:shd w:val="clear" w:color="auto" w:fill="auto"/>
          </w:tcPr>
          <w:p w14:paraId="55A833CF" w14:textId="77777777" w:rsidR="001E56B0" w:rsidRPr="001E56B0" w:rsidRDefault="001E56B0" w:rsidP="001E56B0">
            <w:pPr>
              <w:spacing w:after="0" w:line="240" w:lineRule="auto"/>
              <w:rPr>
                <w:sz w:val="20"/>
              </w:rPr>
            </w:pPr>
          </w:p>
        </w:tc>
      </w:tr>
    </w:tbl>
    <w:p w14:paraId="6ACF1C64" w14:textId="77777777" w:rsidR="001E56B0" w:rsidRDefault="001E56B0"/>
    <w:sectPr w:rsidR="001E56B0" w:rsidSect="001E56B0">
      <w:footerReference w:type="default" r:id="rId28"/>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7D2C" w14:textId="77777777" w:rsidR="001E56B0" w:rsidRDefault="001E56B0" w:rsidP="001E56B0">
      <w:pPr>
        <w:spacing w:after="0" w:line="240" w:lineRule="auto"/>
      </w:pPr>
      <w:r>
        <w:separator/>
      </w:r>
    </w:p>
  </w:endnote>
  <w:endnote w:type="continuationSeparator" w:id="0">
    <w:p w14:paraId="399EDC19" w14:textId="77777777" w:rsidR="001E56B0" w:rsidRDefault="001E56B0" w:rsidP="001E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4468" w14:textId="755EC78B" w:rsidR="001E56B0" w:rsidRDefault="001E56B0">
    <w:pPr>
      <w:pStyle w:val="Footer"/>
    </w:pPr>
    <w:r>
      <w:t>health-applications.docx   2</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0F865" w14:textId="77777777" w:rsidR="001E56B0" w:rsidRDefault="001E56B0" w:rsidP="001E56B0">
      <w:pPr>
        <w:spacing w:after="0" w:line="240" w:lineRule="auto"/>
      </w:pPr>
      <w:r>
        <w:separator/>
      </w:r>
    </w:p>
  </w:footnote>
  <w:footnote w:type="continuationSeparator" w:id="0">
    <w:p w14:paraId="0466B003" w14:textId="77777777" w:rsidR="001E56B0" w:rsidRDefault="001E56B0" w:rsidP="001E5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B0"/>
    <w:rsid w:val="001E56B0"/>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3ED3"/>
  <w15:chartTrackingRefBased/>
  <w15:docId w15:val="{9E74477F-BFBC-466E-A566-E71B2A8C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6B0"/>
    <w:rPr>
      <w:rFonts w:eastAsiaTheme="majorEastAsia" w:cstheme="majorBidi"/>
      <w:color w:val="272727" w:themeColor="text1" w:themeTint="D8"/>
    </w:rPr>
  </w:style>
  <w:style w:type="paragraph" w:styleId="Title">
    <w:name w:val="Title"/>
    <w:basedOn w:val="Normal"/>
    <w:next w:val="Normal"/>
    <w:link w:val="TitleChar"/>
    <w:uiPriority w:val="10"/>
    <w:qFormat/>
    <w:rsid w:val="001E5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6B0"/>
    <w:pPr>
      <w:spacing w:before="160"/>
      <w:jc w:val="center"/>
    </w:pPr>
    <w:rPr>
      <w:i/>
      <w:iCs/>
      <w:color w:val="404040" w:themeColor="text1" w:themeTint="BF"/>
    </w:rPr>
  </w:style>
  <w:style w:type="character" w:customStyle="1" w:styleId="QuoteChar">
    <w:name w:val="Quote Char"/>
    <w:basedOn w:val="DefaultParagraphFont"/>
    <w:link w:val="Quote"/>
    <w:uiPriority w:val="29"/>
    <w:rsid w:val="001E56B0"/>
    <w:rPr>
      <w:i/>
      <w:iCs/>
      <w:color w:val="404040" w:themeColor="text1" w:themeTint="BF"/>
    </w:rPr>
  </w:style>
  <w:style w:type="paragraph" w:styleId="ListParagraph">
    <w:name w:val="List Paragraph"/>
    <w:basedOn w:val="Normal"/>
    <w:uiPriority w:val="34"/>
    <w:qFormat/>
    <w:rsid w:val="001E56B0"/>
    <w:pPr>
      <w:ind w:left="720"/>
      <w:contextualSpacing/>
    </w:pPr>
  </w:style>
  <w:style w:type="character" w:styleId="IntenseEmphasis">
    <w:name w:val="Intense Emphasis"/>
    <w:basedOn w:val="DefaultParagraphFont"/>
    <w:uiPriority w:val="21"/>
    <w:qFormat/>
    <w:rsid w:val="001E56B0"/>
    <w:rPr>
      <w:i/>
      <w:iCs/>
      <w:color w:val="0F4761" w:themeColor="accent1" w:themeShade="BF"/>
    </w:rPr>
  </w:style>
  <w:style w:type="paragraph" w:styleId="IntenseQuote">
    <w:name w:val="Intense Quote"/>
    <w:basedOn w:val="Normal"/>
    <w:next w:val="Normal"/>
    <w:link w:val="IntenseQuoteChar"/>
    <w:uiPriority w:val="30"/>
    <w:qFormat/>
    <w:rsid w:val="001E5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6B0"/>
    <w:rPr>
      <w:i/>
      <w:iCs/>
      <w:color w:val="0F4761" w:themeColor="accent1" w:themeShade="BF"/>
    </w:rPr>
  </w:style>
  <w:style w:type="character" w:styleId="IntenseReference">
    <w:name w:val="Intense Reference"/>
    <w:basedOn w:val="DefaultParagraphFont"/>
    <w:uiPriority w:val="32"/>
    <w:qFormat/>
    <w:rsid w:val="001E56B0"/>
    <w:rPr>
      <w:b/>
      <w:bCs/>
      <w:smallCaps/>
      <w:color w:val="0F4761" w:themeColor="accent1" w:themeShade="BF"/>
      <w:spacing w:val="5"/>
    </w:rPr>
  </w:style>
  <w:style w:type="paragraph" w:styleId="Header">
    <w:name w:val="header"/>
    <w:basedOn w:val="Normal"/>
    <w:link w:val="HeaderChar"/>
    <w:uiPriority w:val="99"/>
    <w:unhideWhenUsed/>
    <w:rsid w:val="001E5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B0"/>
  </w:style>
  <w:style w:type="paragraph" w:styleId="Footer">
    <w:name w:val="footer"/>
    <w:basedOn w:val="Normal"/>
    <w:link w:val="FooterChar"/>
    <w:uiPriority w:val="99"/>
    <w:unhideWhenUsed/>
    <w:rsid w:val="001E5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B0"/>
  </w:style>
  <w:style w:type="character" w:styleId="Hyperlink">
    <w:name w:val="Hyperlink"/>
    <w:basedOn w:val="DefaultParagraphFont"/>
    <w:uiPriority w:val="99"/>
    <w:unhideWhenUsed/>
    <w:rsid w:val="001E56B0"/>
    <w:rPr>
      <w:color w:val="467886" w:themeColor="hyperlink"/>
      <w:u w:val="single"/>
    </w:rPr>
  </w:style>
  <w:style w:type="character" w:styleId="UnresolvedMention">
    <w:name w:val="Unresolved Mention"/>
    <w:basedOn w:val="DefaultParagraphFont"/>
    <w:uiPriority w:val="99"/>
    <w:semiHidden/>
    <w:unhideWhenUsed/>
    <w:rsid w:val="001E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legislature.maine.gov/statutes/24-A/title24-Asec2208.html" TargetMode="External"/><Relationship Id="rId18" Type="http://schemas.openxmlformats.org/officeDocument/2006/relationships/hyperlink" Target="https://legislature.maine.gov/statutes/24-A/title24-Asec2412.html" TargetMode="External"/><Relationship Id="rId26" Type="http://schemas.openxmlformats.org/officeDocument/2006/relationships/hyperlink" Target="https://legislature.maine.gov/statutes/24-A/title24-Asec2159-D.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5016.html"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49-B.html" TargetMode="External"/><Relationship Id="rId25" Type="http://schemas.openxmlformats.org/officeDocument/2006/relationships/hyperlink" Target="https://www.maine.gov/sos/cec/rules/02/031/031c755.doc" TargetMode="External"/><Relationship Id="rId2" Type="http://schemas.openxmlformats.org/officeDocument/2006/relationships/settings" Target="settings.xml"/><Relationship Id="rId16" Type="http://schemas.openxmlformats.org/officeDocument/2006/relationships/hyperlink" Target="https://www.maine.gov/sos/cec/rules/02/031/031c490.doc" TargetMode="External"/><Relationship Id="rId20" Type="http://schemas.openxmlformats.org/officeDocument/2006/relationships/hyperlink" Target="https://legislature.maine.gov/statutes/24-A/title24-Asec2847-C.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755.doc" TargetMode="External"/><Relationship Id="rId5" Type="http://schemas.openxmlformats.org/officeDocument/2006/relationships/endnotes" Target="endnotes.xml"/><Relationship Id="rId15" Type="http://schemas.openxmlformats.org/officeDocument/2006/relationships/hyperlink" Target="https://legislature.maine.gov/statutes/24-A/title24-Asec2159.html" TargetMode="External"/><Relationship Id="rId23" Type="http://schemas.openxmlformats.org/officeDocument/2006/relationships/hyperlink" Target="https://legislature.maine.gov/statutes/24-A/title24-Asec2849.html" TargetMode="External"/><Relationship Id="rId28" Type="http://schemas.openxmlformats.org/officeDocument/2006/relationships/footer" Target="footer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07-A.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186.html" TargetMode="External"/><Relationship Id="rId22" Type="http://schemas.openxmlformats.org/officeDocument/2006/relationships/hyperlink" Target="https://www.maine.gov/sos/cec/rules/02/031/031c580.doc" TargetMode="External"/><Relationship Id="rId27" Type="http://schemas.openxmlformats.org/officeDocument/2006/relationships/hyperlink" Target="https://www.maine.gov/sos/cec/rules/02/031/031c425.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1598</Words>
  <Characters>9115</Characters>
  <Application>Microsoft Office Word</Application>
  <DocSecurity>0</DocSecurity>
  <Lines>75</Lines>
  <Paragraphs>21</Paragraphs>
  <ScaleCrop>false</ScaleCrop>
  <Company>State of Maine</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health-applications.docx</dc:title>
  <dc:subject/>
  <dc:creator>Maine Bureau of Insurance</dc:creator>
  <cp:keywords/>
  <dc:description/>
  <cp:lastModifiedBy>Jalbert, Kimberly</cp:lastModifiedBy>
  <cp:revision>2</cp:revision>
  <dcterms:created xsi:type="dcterms:W3CDTF">2024-04-02T18:50:00Z</dcterms:created>
  <dcterms:modified xsi:type="dcterms:W3CDTF">2024-04-02T18:50:00Z</dcterms:modified>
</cp:coreProperties>
</file>