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7DD2" w14:textId="77777777" w:rsidR="003B0A9D" w:rsidRPr="00824DE3" w:rsidRDefault="003B0A9D" w:rsidP="003B0A9D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</w:rPr>
      </w:pPr>
      <w:r w:rsidRPr="00824DE3">
        <w:rPr>
          <w:rFonts w:ascii="Cambria" w:eastAsia="Times New Roman" w:hAnsi="Cambria" w:cs="Arial"/>
          <w:b/>
          <w:sz w:val="28"/>
          <w:szCs w:val="24"/>
        </w:rPr>
        <w:t>Business Entity (Agency)</w:t>
      </w:r>
    </w:p>
    <w:p w14:paraId="64F27780" w14:textId="152EC928" w:rsidR="00824DE3" w:rsidRDefault="00824DE3" w:rsidP="00824DE3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</w:rPr>
      </w:pPr>
      <w:r w:rsidRPr="00A82360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B8391" wp14:editId="3EE7C060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915150" cy="4191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0343" w14:textId="379FD68B" w:rsidR="00824DE3" w:rsidRPr="008929DD" w:rsidRDefault="00824DE3" w:rsidP="00824DE3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 accordance with 24-A M.R.S. § 141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3(4)</w:t>
                            </w: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24DE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Whenever a business entity changes the individuals designated to act in the name of the entity, the entity shall notify the superintendent within 30 days of those changes</w:t>
                            </w:r>
                            <w:r w:rsidR="00002B0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update affiliations.</w:t>
                            </w:r>
                          </w:p>
                          <w:p w14:paraId="4030FE67" w14:textId="77777777" w:rsidR="00824DE3" w:rsidRPr="008929DD" w:rsidRDefault="00824DE3" w:rsidP="00824DE3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</w:p>
                          <w:p w14:paraId="329C7FD3" w14:textId="77777777" w:rsidR="00824DE3" w:rsidRPr="008929DD" w:rsidRDefault="00824DE3" w:rsidP="00824DE3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8929D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The business entity shall notify the superintendent within 14 days of every change of the designated licensed person responsible or the business entity’s license shall terminate.</w:t>
                            </w:r>
                          </w:p>
                          <w:p w14:paraId="38E0834A" w14:textId="77777777" w:rsidR="00824DE3" w:rsidRPr="008374C0" w:rsidRDefault="00824DE3" w:rsidP="00824DE3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D11D3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change an address.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B8391" id="Rectangle 2" o:spid="_x0000_s1026" style="position:absolute;left:0;text-align:left;margin-left:0;margin-top:16.65pt;width:544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">
                <v:textbox>
                  <w:txbxContent>
                    <w:p w14:paraId="3ED30343" w14:textId="379FD68B" w:rsidR="00824DE3" w:rsidRPr="008929DD" w:rsidRDefault="00824DE3" w:rsidP="00824DE3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>In accordance with 24-A M.R.S. § 141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3(4)</w:t>
                      </w: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, </w:t>
                      </w:r>
                      <w:r w:rsidRPr="00824DE3">
                        <w:rPr>
                          <w:rFonts w:ascii="Cambria" w:hAnsi="Cambria" w:cs="Arial"/>
                          <w:sz w:val="18"/>
                          <w:szCs w:val="18"/>
                        </w:rPr>
                        <w:t>Whenever a business entity changes the individuals designated to act in the name of the entity, the entity shall notify the superintendent within 30 days of those changes</w:t>
                      </w:r>
                      <w:r w:rsidR="00002B0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update affiliations.</w:t>
                      </w:r>
                    </w:p>
                    <w:p w14:paraId="4030FE67" w14:textId="77777777" w:rsidR="00824DE3" w:rsidRPr="008929DD" w:rsidRDefault="00824DE3" w:rsidP="00824DE3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</w:p>
                    <w:p w14:paraId="329C7FD3" w14:textId="77777777" w:rsidR="00824DE3" w:rsidRPr="008929DD" w:rsidRDefault="00824DE3" w:rsidP="00824DE3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8929DD">
                        <w:rPr>
                          <w:rFonts w:ascii="Cambria" w:hAnsi="Cambria" w:cs="Arial"/>
                          <w:sz w:val="18"/>
                          <w:szCs w:val="18"/>
                        </w:rPr>
                        <w:t>The business entity shall notify the superintendent within 14 days of every change of the designated licensed person responsible or the business entity’s license shall terminate.</w:t>
                      </w:r>
                    </w:p>
                    <w:p w14:paraId="38E0834A" w14:textId="77777777" w:rsidR="00824DE3" w:rsidRPr="008374C0" w:rsidRDefault="00824DE3" w:rsidP="00824DE3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D11D3E"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change an address.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A9D" w:rsidRPr="00824DE3">
        <w:rPr>
          <w:rFonts w:ascii="Cambria" w:eastAsia="Times New Roman" w:hAnsi="Cambria" w:cs="Arial"/>
          <w:b/>
          <w:sz w:val="28"/>
          <w:szCs w:val="24"/>
        </w:rPr>
        <w:t>Add or Terminate Affiliation Form</w:t>
      </w:r>
    </w:p>
    <w:p w14:paraId="3647EC0B" w14:textId="17B85202" w:rsidR="00824DE3" w:rsidRPr="00824DE3" w:rsidRDefault="00824DE3" w:rsidP="00824DE3">
      <w:pPr>
        <w:spacing w:after="0" w:line="240" w:lineRule="auto"/>
        <w:rPr>
          <w:rFonts w:ascii="Cambria" w:eastAsia="Times New Roman" w:hAnsi="Cambria" w:cs="Arial"/>
          <w:b/>
          <w:sz w:val="28"/>
          <w:szCs w:val="24"/>
        </w:rPr>
      </w:pPr>
    </w:p>
    <w:p w14:paraId="47F2763A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7E133DF4" w14:textId="77777777" w:rsidR="00824DE3" w:rsidRDefault="00824DE3" w:rsidP="003B0A9D">
      <w:pPr>
        <w:spacing w:after="0" w:line="240" w:lineRule="auto"/>
        <w:rPr>
          <w:rFonts w:ascii="Arial" w:eastAsia="Times New Roman" w:hAnsi="Arial" w:cs="Arial"/>
          <w:sz w:val="22"/>
        </w:rPr>
      </w:pPr>
    </w:p>
    <w:p w14:paraId="38BF6BC7" w14:textId="77777777" w:rsidR="00824DE3" w:rsidRPr="003B0A9D" w:rsidRDefault="00824DE3" w:rsidP="003B0A9D">
      <w:pPr>
        <w:spacing w:after="0" w:line="240" w:lineRule="auto"/>
        <w:rPr>
          <w:rFonts w:eastAsia="Times New Roman" w:cs="Times New Roman"/>
          <w:szCs w:val="20"/>
        </w:rPr>
      </w:pPr>
    </w:p>
    <w:p w14:paraId="7E6255CE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1D82CC1B" w14:textId="0ECE40B5" w:rsidR="003B0A9D" w:rsidRPr="00B117A0" w:rsidRDefault="003B0A9D" w:rsidP="00B117A0">
      <w:pPr>
        <w:spacing w:after="0" w:line="240" w:lineRule="auto"/>
        <w:jc w:val="center"/>
        <w:rPr>
          <w:rFonts w:ascii="Cambria" w:eastAsia="Times New Roman" w:hAnsi="Cambria" w:cs="Arial"/>
          <w:b/>
          <w:szCs w:val="24"/>
        </w:rPr>
      </w:pPr>
      <w:r w:rsidRPr="00B117A0">
        <w:rPr>
          <w:rFonts w:ascii="Cambria" w:eastAsia="Times New Roman" w:hAnsi="Cambria" w:cs="Arial"/>
          <w:b/>
          <w:szCs w:val="24"/>
        </w:rPr>
        <w:t xml:space="preserve">Please check one per form:      </w:t>
      </w:r>
      <w:r w:rsidR="00824DE3" w:rsidRPr="00B117A0">
        <w:rPr>
          <w:rFonts w:ascii="Cambria" w:eastAsia="Times New Roman" w:hAnsi="Cambria" w:cs="Arial"/>
          <w:b/>
          <w:szCs w:val="24"/>
        </w:rPr>
        <w:tab/>
      </w:r>
      <w:proofErr w:type="gramStart"/>
      <w:r w:rsidRPr="00B117A0">
        <w:rPr>
          <w:rFonts w:ascii="Cambria" w:eastAsia="Times New Roman" w:hAnsi="Cambria" w:cs="Arial"/>
          <w:b/>
          <w:szCs w:val="24"/>
        </w:rPr>
        <w:t>[  ]</w:t>
      </w:r>
      <w:proofErr w:type="gramEnd"/>
      <w:r w:rsidRPr="00B117A0">
        <w:rPr>
          <w:rFonts w:ascii="Cambria" w:eastAsia="Times New Roman" w:hAnsi="Cambria" w:cs="Arial"/>
          <w:b/>
          <w:szCs w:val="24"/>
        </w:rPr>
        <w:t xml:space="preserve">Add </w:t>
      </w:r>
      <w:r w:rsidRPr="00B117A0">
        <w:rPr>
          <w:rFonts w:ascii="Cambria" w:eastAsia="Times New Roman" w:hAnsi="Cambria" w:cs="Arial"/>
          <w:bCs/>
          <w:szCs w:val="24"/>
        </w:rPr>
        <w:t>Affiliations</w:t>
      </w:r>
      <w:r w:rsidRPr="00B117A0">
        <w:rPr>
          <w:rFonts w:ascii="Cambria" w:eastAsia="Times New Roman" w:hAnsi="Cambria" w:cs="Arial"/>
          <w:b/>
          <w:szCs w:val="24"/>
        </w:rPr>
        <w:t xml:space="preserve">                [  ]Terminate </w:t>
      </w:r>
      <w:r w:rsidRPr="00B117A0">
        <w:rPr>
          <w:rFonts w:ascii="Cambria" w:eastAsia="Times New Roman" w:hAnsi="Cambria" w:cs="Arial"/>
          <w:bCs/>
          <w:szCs w:val="24"/>
        </w:rPr>
        <w:t>Affiliations</w:t>
      </w:r>
    </w:p>
    <w:p w14:paraId="3DDCDC7C" w14:textId="1752910D" w:rsidR="003B0A9D" w:rsidRDefault="003B0A9D" w:rsidP="003B0A9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5935957" w14:textId="10D75299" w:rsidR="00BB3B68" w:rsidRDefault="00BB3B68" w:rsidP="003B0A9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1988CDD" w14:textId="77777777" w:rsidR="00BB3B68" w:rsidRPr="00A82360" w:rsidRDefault="00BB3B68" w:rsidP="00BB3B68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A82360">
        <w:rPr>
          <w:rFonts w:ascii="Cambria" w:eastAsia="Times New Roman" w:hAnsi="Cambria" w:cs="Arial"/>
          <w:b/>
          <w:sz w:val="22"/>
        </w:rPr>
        <w:t>Business Name:</w:t>
      </w:r>
      <w:r w:rsidRPr="00A82360">
        <w:rPr>
          <w:rFonts w:ascii="Cambria" w:eastAsia="Times New Roman" w:hAnsi="Cambria" w:cs="Arial"/>
          <w:sz w:val="22"/>
        </w:rPr>
        <w:t xml:space="preserve">   _______________________________________________</w:t>
      </w:r>
      <w:r>
        <w:rPr>
          <w:rFonts w:ascii="Cambria" w:eastAsia="Times New Roman" w:hAnsi="Cambria" w:cs="Arial"/>
          <w:sz w:val="22"/>
        </w:rPr>
        <w:t>_____________________________</w:t>
      </w:r>
    </w:p>
    <w:p w14:paraId="6460EB5A" w14:textId="77777777" w:rsidR="00BB3B68" w:rsidRPr="00A82360" w:rsidRDefault="00BB3B68" w:rsidP="00BB3B68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394"/>
      </w:tblGrid>
      <w:tr w:rsidR="00BB3B68" w:rsidRPr="00A82360" w14:paraId="4EA34584" w14:textId="77777777" w:rsidTr="00524853">
        <w:trPr>
          <w:trHeight w:val="448"/>
        </w:trPr>
        <w:tc>
          <w:tcPr>
            <w:tcW w:w="5400" w:type="dxa"/>
          </w:tcPr>
          <w:p w14:paraId="7531B934" w14:textId="77777777" w:rsidR="00BB3B68" w:rsidRPr="00A82360" w:rsidRDefault="00BB3B68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FEIN or NPN</w:t>
            </w:r>
          </w:p>
          <w:p w14:paraId="0F9AF41C" w14:textId="77777777" w:rsidR="00BB3B68" w:rsidRPr="00A82360" w:rsidRDefault="00BB3B68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46937F28" w14:textId="77777777" w:rsidR="00BB3B68" w:rsidRPr="00A82360" w:rsidRDefault="00BB3B68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A82360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23820916" w14:textId="77777777" w:rsidR="00BB3B68" w:rsidRPr="00A82360" w:rsidRDefault="00BB3B68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B117A0" w:rsidRPr="00A82360" w14:paraId="11D3F2E8" w14:textId="77777777" w:rsidTr="00524853">
        <w:trPr>
          <w:trHeight w:val="448"/>
        </w:trPr>
        <w:tc>
          <w:tcPr>
            <w:tcW w:w="5400" w:type="dxa"/>
          </w:tcPr>
          <w:p w14:paraId="2488CA95" w14:textId="114D27F9" w:rsidR="00B117A0" w:rsidRPr="00A82360" w:rsidRDefault="00B117A0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Contact Person</w:t>
            </w:r>
          </w:p>
        </w:tc>
        <w:tc>
          <w:tcPr>
            <w:tcW w:w="5508" w:type="dxa"/>
          </w:tcPr>
          <w:p w14:paraId="2ED08D92" w14:textId="786044DA" w:rsidR="00B117A0" w:rsidRPr="00A82360" w:rsidRDefault="00B117A0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Contact Phone</w:t>
            </w:r>
          </w:p>
        </w:tc>
      </w:tr>
    </w:tbl>
    <w:p w14:paraId="532A86AE" w14:textId="0447CB72" w:rsidR="00824DE3" w:rsidRPr="003B0A9D" w:rsidRDefault="00824DE3" w:rsidP="003B0A9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B39F076" w14:textId="1ED34E13" w:rsidR="00824DE3" w:rsidRPr="00824DE3" w:rsidRDefault="00824DE3" w:rsidP="00B117A0">
      <w:pPr>
        <w:spacing w:after="0" w:line="240" w:lineRule="auto"/>
        <w:jc w:val="center"/>
        <w:rPr>
          <w:rFonts w:ascii="Cambria" w:eastAsia="Times New Roman" w:hAnsi="Cambria" w:cs="Arial"/>
          <w:b/>
          <w:sz w:val="22"/>
        </w:rPr>
      </w:pPr>
      <w:r w:rsidRPr="00824DE3">
        <w:rPr>
          <w:rFonts w:ascii="Cambria" w:eastAsia="Times New Roman" w:hAnsi="Cambria" w:cs="Arial"/>
          <w:b/>
          <w:sz w:val="22"/>
        </w:rPr>
        <w:t>Note:  The Bureau of Insurance does not affiliate to branch locations, only to the primary office.</w:t>
      </w:r>
    </w:p>
    <w:p w14:paraId="72CBA4B7" w14:textId="68CAA24D" w:rsidR="003B0A9D" w:rsidRPr="003B0A9D" w:rsidRDefault="003B0A9D" w:rsidP="003B0A9D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3B0A9D">
        <w:rPr>
          <w:rFonts w:ascii="Arial" w:eastAsia="Times New Roman" w:hAnsi="Arial" w:cs="Times New Roman"/>
          <w:szCs w:val="20"/>
        </w:rPr>
        <w:t xml:space="preserve">     </w:t>
      </w:r>
      <w:r w:rsidRPr="003B0A9D">
        <w:rPr>
          <w:rFonts w:ascii="Arial" w:eastAsia="Times New Roman" w:hAnsi="Arial" w:cs="Times New Roman"/>
          <w:b/>
          <w:szCs w:val="20"/>
        </w:rPr>
        <w:tab/>
      </w:r>
      <w:r w:rsidRPr="003B0A9D">
        <w:rPr>
          <w:rFonts w:ascii="Arial" w:eastAsia="Times New Roman" w:hAnsi="Arial" w:cs="Times New Roman"/>
          <w:b/>
          <w:szCs w:val="20"/>
        </w:rPr>
        <w:tab/>
        <w:t xml:space="preserve">                                    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700"/>
        <w:gridCol w:w="2790"/>
      </w:tblGrid>
      <w:tr w:rsidR="003B0A9D" w:rsidRPr="003B0A9D" w14:paraId="73326413" w14:textId="77777777" w:rsidTr="006E0628">
        <w:trPr>
          <w:trHeight w:val="278"/>
        </w:trPr>
        <w:tc>
          <w:tcPr>
            <w:tcW w:w="5220" w:type="dxa"/>
            <w:shd w:val="clear" w:color="auto" w:fill="auto"/>
          </w:tcPr>
          <w:p w14:paraId="097AEA35" w14:textId="77777777" w:rsidR="003B0A9D" w:rsidRPr="00B117A0" w:rsidRDefault="003B0A9D" w:rsidP="003B0A9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</w:rPr>
            </w:pPr>
            <w:r w:rsidRPr="00B117A0">
              <w:rPr>
                <w:rFonts w:ascii="Cambria" w:eastAsia="Times New Roman" w:hAnsi="Cambria" w:cs="Arial"/>
                <w:b/>
                <w:szCs w:val="24"/>
              </w:rPr>
              <w:t>Name of Licensee</w:t>
            </w:r>
          </w:p>
        </w:tc>
        <w:tc>
          <w:tcPr>
            <w:tcW w:w="2700" w:type="dxa"/>
            <w:shd w:val="clear" w:color="auto" w:fill="auto"/>
          </w:tcPr>
          <w:p w14:paraId="4B77B21E" w14:textId="77777777" w:rsidR="003B0A9D" w:rsidRPr="00B117A0" w:rsidRDefault="003B0A9D" w:rsidP="003B0A9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B117A0">
                  <w:rPr>
                    <w:rFonts w:ascii="Cambria" w:eastAsia="Times New Roman" w:hAnsi="Cambria" w:cs="Arial"/>
                    <w:b/>
                    <w:szCs w:val="24"/>
                  </w:rPr>
                  <w:t>Maine</w:t>
                </w:r>
              </w:smartTag>
            </w:smartTag>
            <w:r w:rsidRPr="00B117A0">
              <w:rPr>
                <w:rFonts w:ascii="Cambria" w:eastAsia="Times New Roman" w:hAnsi="Cambria" w:cs="Arial"/>
                <w:b/>
                <w:szCs w:val="24"/>
              </w:rPr>
              <w:t xml:space="preserve"> License #</w:t>
            </w:r>
          </w:p>
        </w:tc>
        <w:tc>
          <w:tcPr>
            <w:tcW w:w="2790" w:type="dxa"/>
            <w:shd w:val="clear" w:color="auto" w:fill="auto"/>
          </w:tcPr>
          <w:p w14:paraId="49F911F3" w14:textId="77777777" w:rsidR="003B0A9D" w:rsidRPr="00B117A0" w:rsidRDefault="003B0A9D" w:rsidP="003B0A9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</w:rPr>
            </w:pPr>
            <w:r w:rsidRPr="00B117A0">
              <w:rPr>
                <w:rFonts w:ascii="Cambria" w:eastAsia="Times New Roman" w:hAnsi="Cambria" w:cs="Arial"/>
                <w:b/>
                <w:szCs w:val="24"/>
              </w:rPr>
              <w:t>NPN #</w:t>
            </w:r>
          </w:p>
        </w:tc>
      </w:tr>
      <w:tr w:rsidR="003B0A9D" w:rsidRPr="003B0A9D" w14:paraId="797637DA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6F363412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D788A75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4645DFA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0D2BB445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4749A5F3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702993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CF7E57D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2F0B0064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60AF75F5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64D2F5D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A1EEA30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7B010331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541AC4B5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1F93F6E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203131C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210C3AD1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70E46FE6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6A5C990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132484B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0CA5B5A1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6D392808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C1BF61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7D7CB79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37EFD6C9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4C359EB4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0164897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1EBA398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4BC36EBF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070FAB53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F2C3B82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EF3D872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3B0A9D" w:rsidRPr="003B0A9D" w14:paraId="50DAE2AA" w14:textId="77777777" w:rsidTr="006E0628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237C6D5B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7BF8F9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A0B5C25" w14:textId="77777777" w:rsidR="003B0A9D" w:rsidRPr="003B0A9D" w:rsidRDefault="003B0A9D" w:rsidP="003B0A9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78366AD2" w14:textId="67D98514" w:rsidR="003B0A9D" w:rsidRPr="00B117A0" w:rsidRDefault="003B0A9D" w:rsidP="00B117A0">
      <w:pPr>
        <w:spacing w:after="0" w:line="240" w:lineRule="auto"/>
        <w:jc w:val="center"/>
        <w:rPr>
          <w:rFonts w:ascii="Cambria" w:eastAsia="Times New Roman" w:hAnsi="Cambria" w:cs="Arial"/>
          <w:bCs/>
          <w:szCs w:val="24"/>
        </w:rPr>
      </w:pPr>
      <w:r w:rsidRPr="00B117A0">
        <w:rPr>
          <w:rFonts w:ascii="Cambria" w:eastAsia="Times New Roman" w:hAnsi="Cambria" w:cs="Arial"/>
          <w:bCs/>
          <w:szCs w:val="24"/>
        </w:rPr>
        <w:t>There is no fee to add or terminate affiliations to a business entity.</w:t>
      </w:r>
    </w:p>
    <w:p w14:paraId="5AACFD0A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39744120" w14:textId="77777777" w:rsidR="003B0A9D" w:rsidRPr="00B117A0" w:rsidRDefault="003B0A9D" w:rsidP="003B0A9D">
      <w:pPr>
        <w:spacing w:after="0" w:line="240" w:lineRule="auto"/>
        <w:rPr>
          <w:rFonts w:ascii="Cambria" w:eastAsia="Times New Roman" w:hAnsi="Cambria" w:cs="Arial"/>
          <w:bCs/>
          <w:szCs w:val="24"/>
        </w:rPr>
      </w:pPr>
      <w:r w:rsidRPr="00B117A0">
        <w:rPr>
          <w:rFonts w:ascii="Cambria" w:eastAsia="Times New Roman" w:hAnsi="Cambria" w:cs="Arial"/>
          <w:bCs/>
          <w:szCs w:val="24"/>
        </w:rPr>
        <w:t>Forms can be emailed to</w:t>
      </w:r>
      <w:r w:rsidRPr="003B0A9D">
        <w:rPr>
          <w:rFonts w:ascii="Arial" w:eastAsia="Times New Roman" w:hAnsi="Arial" w:cs="Arial"/>
          <w:sz w:val="22"/>
        </w:rPr>
        <w:t xml:space="preserve"> </w:t>
      </w:r>
      <w:hyperlink r:id="rId6" w:history="1">
        <w:r w:rsidRPr="00B117A0">
          <w:rPr>
            <w:rFonts w:ascii="Cambria" w:eastAsia="Times New Roman" w:hAnsi="Cambria" w:cs="Arial"/>
            <w:color w:val="0563C1"/>
            <w:sz w:val="22"/>
            <w:u w:val="single"/>
          </w:rPr>
          <w:t>insurance.pfr@maine.gov</w:t>
        </w:r>
      </w:hyperlink>
      <w:r w:rsidRPr="003B0A9D">
        <w:rPr>
          <w:rFonts w:ascii="Arial" w:eastAsia="Times New Roman" w:hAnsi="Arial" w:cs="Arial"/>
          <w:sz w:val="22"/>
        </w:rPr>
        <w:t xml:space="preserve">, </w:t>
      </w:r>
      <w:r w:rsidRPr="00B117A0">
        <w:rPr>
          <w:rFonts w:ascii="Cambria" w:eastAsia="Times New Roman" w:hAnsi="Cambria" w:cs="Arial"/>
          <w:bCs/>
          <w:szCs w:val="24"/>
        </w:rPr>
        <w:t xml:space="preserve">faxed to 207-624-8599 or mailed to the address below.  </w:t>
      </w:r>
    </w:p>
    <w:p w14:paraId="3BF32FF5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Arial"/>
          <w:sz w:val="22"/>
        </w:rPr>
      </w:pPr>
      <w:r w:rsidRPr="00B117A0">
        <w:rPr>
          <w:rFonts w:ascii="Cambria" w:eastAsia="Times New Roman" w:hAnsi="Cambria" w:cs="Arial"/>
          <w:bCs/>
          <w:szCs w:val="24"/>
        </w:rPr>
        <w:t>If you prefer to submit electronically, please visit our website at</w:t>
      </w:r>
      <w:r w:rsidRPr="003B0A9D">
        <w:rPr>
          <w:rFonts w:ascii="Arial" w:eastAsia="Times New Roman" w:hAnsi="Arial" w:cs="Arial"/>
          <w:sz w:val="22"/>
        </w:rPr>
        <w:t xml:space="preserve"> </w:t>
      </w:r>
      <w:hyperlink r:id="rId7" w:history="1">
        <w:r w:rsidRPr="003B0A9D">
          <w:rPr>
            <w:rFonts w:eastAsia="Times New Roman" w:cs="Times New Roman"/>
            <w:color w:val="0563C1"/>
            <w:sz w:val="22"/>
            <w:u w:val="single"/>
          </w:rPr>
          <w:t>Business Entity License Changes | PFR Insurance (maine.gov)</w:t>
        </w:r>
      </w:hyperlink>
    </w:p>
    <w:p w14:paraId="7B83A0D8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40B7455" w14:textId="77777777" w:rsidR="00002B01" w:rsidRPr="00595DD6" w:rsidRDefault="00002B01" w:rsidP="00002B01">
      <w:pPr>
        <w:keepNext/>
        <w:spacing w:after="0" w:line="240" w:lineRule="auto"/>
        <w:outlineLvl w:val="1"/>
        <w:rPr>
          <w:rFonts w:ascii="Cambria" w:eastAsia="Times New Roman" w:hAnsi="Cambria" w:cs="Arial"/>
          <w:szCs w:val="24"/>
        </w:rPr>
      </w:pPr>
      <w:r w:rsidRPr="00595DD6">
        <w:rPr>
          <w:rFonts w:ascii="Cambria" w:eastAsia="Times New Roman" w:hAnsi="Cambria" w:cs="Arial"/>
          <w:szCs w:val="24"/>
        </w:rPr>
        <w:t>If you have any questions, please contact the Bureau of Insurance at (207) 624-8475</w:t>
      </w:r>
    </w:p>
    <w:p w14:paraId="03BE6C51" w14:textId="77777777" w:rsidR="003B0A9D" w:rsidRPr="003B0A9D" w:rsidRDefault="003B0A9D" w:rsidP="003B0A9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64625A8" w14:textId="7F2CCE61" w:rsidR="003B0A9D" w:rsidRPr="003B0A9D" w:rsidRDefault="003B0A9D" w:rsidP="003B0A9D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3B0A9D">
        <w:rPr>
          <w:rFonts w:ascii="Arial" w:eastAsia="Times New Roman" w:hAnsi="Arial" w:cs="Arial"/>
          <w:sz w:val="16"/>
          <w:szCs w:val="16"/>
        </w:rPr>
        <w:t>Rev</w:t>
      </w:r>
      <w:r w:rsidR="00B117A0">
        <w:rPr>
          <w:rFonts w:ascii="Arial" w:eastAsia="Times New Roman" w:hAnsi="Arial" w:cs="Arial"/>
          <w:sz w:val="16"/>
          <w:szCs w:val="16"/>
        </w:rPr>
        <w:t xml:space="preserve"> 04/22</w:t>
      </w:r>
      <w:r w:rsidRPr="003B0A9D">
        <w:rPr>
          <w:rFonts w:ascii="Arial" w:eastAsia="Times New Roman" w:hAnsi="Arial" w:cs="Arial"/>
          <w:szCs w:val="20"/>
        </w:rPr>
        <w:t xml:space="preserve"> </w:t>
      </w:r>
    </w:p>
    <w:sectPr w:rsidR="003B0A9D" w:rsidRPr="003B0A9D" w:rsidSect="00A914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40553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595DD6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1A1FE058" w:rsidR="0074452A" w:rsidRPr="00850309" w:rsidRDefault="00595DD6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9C0504" w:rsidRPr="00093B5F">
        <w:rPr>
          <w:rStyle w:val="Hyperlink"/>
          <w:sz w:val="18"/>
          <w:szCs w:val="18"/>
        </w:rPr>
        <w:t>www.maine.gov/pfr/insurance</w:t>
      </w:r>
    </w:hyperlink>
    <w:r w:rsidR="00002B01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42BEE759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30BE20B8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376894BF" w14:textId="2D673FD1" w:rsidR="0074452A" w:rsidRPr="00824DE3" w:rsidRDefault="00C17540" w:rsidP="00824DE3">
    <w:pPr>
      <w:spacing w:after="0" w:line="240" w:lineRule="auto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08F9EF17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08F9EF17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1683D9F6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8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1683D9F6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5B4D623F" w:rsidR="00BD0A56" w:rsidRPr="003D14A8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9" type="#_x0000_t202" style="position:absolute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5B4D623F" w:rsidR="00BD0A56" w:rsidRPr="003D14A8" w:rsidRDefault="00BD0A56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CA505" w14:textId="1491CCE3" w:rsidR="0074452A" w:rsidRDefault="00744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2B01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0A9D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DD6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4DE3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9C0504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117A0"/>
    <w:rsid w:val="00B55381"/>
    <w:rsid w:val="00BB3B68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ine.gov/pfr/insurance/licensees/individuals-business-entities/business-entity-license-chang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6</cp:revision>
  <dcterms:created xsi:type="dcterms:W3CDTF">2022-04-08T16:11:00Z</dcterms:created>
  <dcterms:modified xsi:type="dcterms:W3CDTF">2022-04-14T15:23:00Z</dcterms:modified>
</cp:coreProperties>
</file>