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ADD43" w14:textId="77777777" w:rsidR="00BF297D" w:rsidRDefault="00E739E0" w:rsidP="000618E6">
      <w:pPr>
        <w:jc w:val="center"/>
        <w:rPr>
          <w:b/>
          <w:bCs/>
          <w:sz w:val="28"/>
          <w:szCs w:val="28"/>
        </w:rPr>
      </w:pPr>
      <w:smartTag w:uri="urn:schemas-microsoft-com:office:smarttags" w:element="place">
        <w:smartTag w:uri="urn:schemas-microsoft-com:office:smarttags" w:element="State">
          <w:r w:rsidRPr="00E739E0">
            <w:rPr>
              <w:b/>
              <w:bCs/>
              <w:sz w:val="28"/>
              <w:szCs w:val="28"/>
            </w:rPr>
            <w:t>Maine</w:t>
          </w:r>
        </w:smartTag>
      </w:smartTag>
      <w:r w:rsidRPr="00E739E0">
        <w:rPr>
          <w:b/>
          <w:bCs/>
          <w:sz w:val="28"/>
          <w:szCs w:val="28"/>
        </w:rPr>
        <w:t xml:space="preserve"> Bureau of Insurance</w:t>
      </w:r>
      <w:r w:rsidRPr="00E739E0">
        <w:rPr>
          <w:b/>
          <w:bCs/>
          <w:sz w:val="28"/>
          <w:szCs w:val="28"/>
        </w:rPr>
        <w:br/>
      </w:r>
      <w:r w:rsidR="0089269E">
        <w:rPr>
          <w:b/>
          <w:bCs/>
          <w:sz w:val="28"/>
          <w:szCs w:val="28"/>
        </w:rPr>
        <w:t xml:space="preserve">Form Filing </w:t>
      </w:r>
      <w:r w:rsidRPr="00E739E0">
        <w:rPr>
          <w:b/>
          <w:bCs/>
          <w:sz w:val="28"/>
          <w:szCs w:val="28"/>
        </w:rPr>
        <w:t>Review Requirements Checklist</w:t>
      </w:r>
      <w:r w:rsidRPr="00E739E0">
        <w:rPr>
          <w:b/>
          <w:bCs/>
          <w:sz w:val="28"/>
          <w:szCs w:val="28"/>
        </w:rPr>
        <w:br/>
      </w:r>
      <w:r>
        <w:rPr>
          <w:b/>
          <w:bCs/>
          <w:sz w:val="28"/>
          <w:szCs w:val="28"/>
        </w:rPr>
        <w:t xml:space="preserve">MS05I - </w:t>
      </w:r>
      <w:r w:rsidRPr="00E739E0">
        <w:rPr>
          <w:b/>
          <w:bCs/>
          <w:sz w:val="28"/>
          <w:szCs w:val="28"/>
        </w:rPr>
        <w:t>Individual Medicare Supplement Plans</w:t>
      </w:r>
    </w:p>
    <w:p w14:paraId="1F8ADD44" w14:textId="77777777" w:rsidR="00C55515" w:rsidRPr="00C55515" w:rsidRDefault="00823C06" w:rsidP="00C55515">
      <w:pPr>
        <w:jc w:val="center"/>
        <w:rPr>
          <w:b/>
          <w:bCs/>
          <w:color w:val="C00000"/>
        </w:rPr>
      </w:pPr>
      <w:r w:rsidRPr="00C55515">
        <w:rPr>
          <w:b/>
          <w:bCs/>
          <w:color w:val="C00000"/>
          <w:sz w:val="28"/>
          <w:szCs w:val="28"/>
        </w:rPr>
        <w:t>(</w:t>
      </w:r>
      <w:r w:rsidR="00C55515" w:rsidRPr="00C55515">
        <w:rPr>
          <w:b/>
          <w:bCs/>
          <w:color w:val="C00000"/>
          <w:sz w:val="28"/>
          <w:szCs w:val="28"/>
        </w:rPr>
        <w:t>Revised 10/2/2018</w:t>
      </w:r>
      <w:r w:rsidRPr="00C55515">
        <w:rPr>
          <w:b/>
          <w:bCs/>
          <w:color w:val="C00000"/>
          <w:sz w:val="28"/>
          <w:szCs w:val="28"/>
        </w:rPr>
        <w:t>)</w:t>
      </w:r>
      <w:r w:rsidR="00C55515">
        <w:rPr>
          <w:b/>
          <w:bCs/>
          <w:color w:val="C00000"/>
        </w:rPr>
        <w:br/>
      </w:r>
    </w:p>
    <w:p w14:paraId="1F8ADD45" w14:textId="77777777" w:rsidR="00C55515" w:rsidRPr="00C55515" w:rsidRDefault="00C55515" w:rsidP="00C55515">
      <w:pPr>
        <w:keepNext/>
        <w:shd w:val="clear" w:color="auto" w:fill="FFFFFF"/>
        <w:jc w:val="center"/>
        <w:outlineLvl w:val="2"/>
        <w:rPr>
          <w:b/>
          <w:bCs/>
          <w:color w:val="C00000"/>
          <w:sz w:val="28"/>
          <w:szCs w:val="28"/>
        </w:rPr>
      </w:pPr>
      <w:r w:rsidRPr="003145DD">
        <w:rPr>
          <w:b/>
        </w:rPr>
        <w:t xml:space="preserve">Carriers </w:t>
      </w:r>
      <w:r>
        <w:rPr>
          <w:b/>
        </w:rPr>
        <w:t>MUST</w:t>
      </w:r>
      <w:r w:rsidRPr="003145DD">
        <w:rPr>
          <w:b/>
        </w:rPr>
        <w:t xml:space="preserve"> confirm compliance and </w:t>
      </w:r>
      <w:r w:rsidRPr="003145DD">
        <w:rPr>
          <w:b/>
          <w:snapToGrid w:val="0"/>
        </w:rPr>
        <w:t xml:space="preserve">IDENTIFY the LOCATION (Page number, Section, Paragraph, etc.) of the </w:t>
      </w:r>
      <w:r>
        <w:rPr>
          <w:b/>
          <w:snapToGrid w:val="0"/>
        </w:rPr>
        <w:t>standard in the form</w:t>
      </w:r>
      <w:r w:rsidRPr="003145DD">
        <w:rPr>
          <w:b/>
          <w:snapToGrid w:val="0"/>
        </w:rPr>
        <w:t xml:space="preserve"> in the last </w:t>
      </w:r>
      <w:r w:rsidRPr="003145DD">
        <w:rPr>
          <w:b/>
        </w:rPr>
        <w:t xml:space="preserve">column.  </w:t>
      </w:r>
      <w:r>
        <w:rPr>
          <w:b/>
        </w:rPr>
        <w:t>I</w:t>
      </w:r>
      <w:r w:rsidRPr="003145DD">
        <w:rPr>
          <w:b/>
        </w:rPr>
        <w:t xml:space="preserve">f </w:t>
      </w:r>
      <w:r>
        <w:rPr>
          <w:b/>
        </w:rPr>
        <w:t xml:space="preserve">carrier believes </w:t>
      </w:r>
      <w:r w:rsidRPr="003145DD">
        <w:rPr>
          <w:b/>
        </w:rPr>
        <w:t xml:space="preserve">a contract does not have to meet this requirement carriers must </w:t>
      </w:r>
      <w:r w:rsidRPr="003145DD">
        <w:rPr>
          <w:b/>
          <w:snapToGrid w:val="0"/>
        </w:rPr>
        <w:t xml:space="preserve">EXPLAIN WHY </w:t>
      </w:r>
      <w:r>
        <w:rPr>
          <w:b/>
        </w:rPr>
        <w:t>in the last column.</w:t>
      </w:r>
    </w:p>
    <w:p w14:paraId="1F8ADD46" w14:textId="77777777" w:rsidR="000618E6" w:rsidRDefault="000618E6"/>
    <w:tbl>
      <w:tblPr>
        <w:tblW w:w="14400" w:type="dxa"/>
        <w:tblInd w:w="-690" w:type="dxa"/>
        <w:tblLayout w:type="fixed"/>
        <w:tblCellMar>
          <w:left w:w="30" w:type="dxa"/>
          <w:right w:w="30" w:type="dxa"/>
        </w:tblCellMar>
        <w:tblLook w:val="0000" w:firstRow="0" w:lastRow="0" w:firstColumn="0" w:lastColumn="0" w:noHBand="0" w:noVBand="0"/>
      </w:tblPr>
      <w:tblGrid>
        <w:gridCol w:w="2970"/>
        <w:gridCol w:w="2160"/>
        <w:gridCol w:w="5490"/>
        <w:gridCol w:w="450"/>
        <w:gridCol w:w="3330"/>
      </w:tblGrid>
      <w:tr w:rsidR="008528C7" w14:paraId="1F8ADD4E"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clear" w:color="auto" w:fill="B8CCE4"/>
          </w:tcPr>
          <w:p w14:paraId="1F8ADD47" w14:textId="77777777" w:rsidR="008528C7" w:rsidRPr="00002530" w:rsidRDefault="008528C7" w:rsidP="008528C7">
            <w:pPr>
              <w:keepNext/>
              <w:jc w:val="center"/>
              <w:outlineLvl w:val="0"/>
              <w:rPr>
                <w:b/>
                <w:snapToGrid w:val="0"/>
              </w:rPr>
            </w:pPr>
            <w:r w:rsidRPr="00002530">
              <w:rPr>
                <w:b/>
                <w:snapToGrid w:val="0"/>
              </w:rPr>
              <w:t>BENEFIT/PROVISION</w:t>
            </w:r>
          </w:p>
          <w:p w14:paraId="1F8ADD48" w14:textId="77777777" w:rsidR="008528C7" w:rsidRPr="00002530" w:rsidRDefault="008528C7" w:rsidP="008528C7">
            <w:pPr>
              <w:pStyle w:val="Heading1"/>
              <w:rPr>
                <w:rFonts w:ascii="Times New Roman" w:hAnsi="Times New Roman"/>
                <w:sz w:val="24"/>
              </w:rPr>
            </w:pPr>
            <w:r w:rsidRPr="00002530">
              <w:rPr>
                <w:rFonts w:ascii="Times New Roman" w:hAnsi="Times New Roman"/>
                <w:snapToGrid/>
                <w:color w:val="auto"/>
                <w:sz w:val="24"/>
                <w:szCs w:val="24"/>
              </w:rPr>
              <w:t>REQUIREMENT</w:t>
            </w:r>
          </w:p>
        </w:tc>
        <w:tc>
          <w:tcPr>
            <w:tcW w:w="2160" w:type="dxa"/>
            <w:tcBorders>
              <w:top w:val="single" w:sz="6" w:space="0" w:color="auto"/>
              <w:left w:val="single" w:sz="2" w:space="0" w:color="000000"/>
              <w:bottom w:val="single" w:sz="6" w:space="0" w:color="auto"/>
              <w:right w:val="single" w:sz="2" w:space="0" w:color="000000"/>
            </w:tcBorders>
            <w:shd w:val="clear" w:color="auto" w:fill="B8CCE4"/>
          </w:tcPr>
          <w:p w14:paraId="1F8ADD49" w14:textId="77777777" w:rsidR="008528C7" w:rsidRPr="00002530" w:rsidRDefault="008528C7" w:rsidP="008528C7">
            <w:pPr>
              <w:jc w:val="center"/>
              <w:rPr>
                <w:b/>
                <w:snapToGrid w:val="0"/>
                <w:color w:val="000000"/>
              </w:rPr>
            </w:pPr>
            <w:r w:rsidRPr="00002530">
              <w:rPr>
                <w:b/>
                <w:snapToGrid w:val="0"/>
                <w:color w:val="000000"/>
              </w:rPr>
              <w:t>REFERENCE</w:t>
            </w:r>
          </w:p>
        </w:tc>
        <w:tc>
          <w:tcPr>
            <w:tcW w:w="5490" w:type="dxa"/>
            <w:tcBorders>
              <w:top w:val="single" w:sz="6" w:space="0" w:color="auto"/>
              <w:left w:val="single" w:sz="2" w:space="0" w:color="000000"/>
              <w:bottom w:val="single" w:sz="6" w:space="0" w:color="auto"/>
              <w:right w:val="single" w:sz="2" w:space="0" w:color="000000"/>
            </w:tcBorders>
            <w:shd w:val="clear" w:color="auto" w:fill="B8CCE4"/>
          </w:tcPr>
          <w:p w14:paraId="1F8ADD4A" w14:textId="77777777" w:rsidR="008528C7" w:rsidRPr="00002530" w:rsidRDefault="008528C7" w:rsidP="008528C7">
            <w:pPr>
              <w:pStyle w:val="Heading3"/>
              <w:rPr>
                <w:rFonts w:ascii="Times New Roman" w:hAnsi="Times New Roman"/>
                <w:sz w:val="24"/>
              </w:rPr>
            </w:pPr>
            <w:r w:rsidRPr="00002530">
              <w:rPr>
                <w:rFonts w:ascii="Times New Roman" w:hAnsi="Times New Roman"/>
                <w:sz w:val="24"/>
              </w:rPr>
              <w:t xml:space="preserve">DESCRIPTION OF REVIEW </w:t>
            </w:r>
          </w:p>
          <w:p w14:paraId="1F8ADD4B" w14:textId="77777777" w:rsidR="008528C7" w:rsidRPr="00002530" w:rsidRDefault="008528C7" w:rsidP="008528C7">
            <w:pPr>
              <w:pStyle w:val="Heading3"/>
              <w:rPr>
                <w:rFonts w:ascii="Times New Roman" w:hAnsi="Times New Roman"/>
                <w:sz w:val="24"/>
              </w:rPr>
            </w:pPr>
            <w:r w:rsidRPr="00002530">
              <w:rPr>
                <w:rFonts w:ascii="Times New Roman" w:hAnsi="Times New Roman"/>
                <w:sz w:val="24"/>
              </w:rPr>
              <w:t xml:space="preserve">STANDARDS REQUIREMENT </w:t>
            </w:r>
          </w:p>
        </w:tc>
        <w:tc>
          <w:tcPr>
            <w:tcW w:w="3780" w:type="dxa"/>
            <w:gridSpan w:val="2"/>
            <w:tcBorders>
              <w:top w:val="single" w:sz="6" w:space="0" w:color="auto"/>
              <w:left w:val="single" w:sz="2" w:space="0" w:color="000000"/>
              <w:bottom w:val="single" w:sz="6" w:space="0" w:color="auto"/>
              <w:right w:val="single" w:sz="2" w:space="0" w:color="000000"/>
            </w:tcBorders>
            <w:shd w:val="clear" w:color="auto" w:fill="B8CCE4"/>
          </w:tcPr>
          <w:p w14:paraId="1F8ADD4C" w14:textId="77777777" w:rsidR="008528C7" w:rsidRPr="00C55515" w:rsidRDefault="008528C7" w:rsidP="008528C7">
            <w:pPr>
              <w:keepNext/>
              <w:jc w:val="center"/>
              <w:outlineLvl w:val="2"/>
              <w:rPr>
                <w:b/>
                <w:i/>
                <w:snapToGrid w:val="0"/>
                <w:color w:val="C00000"/>
                <w:sz w:val="20"/>
                <w:szCs w:val="20"/>
              </w:rPr>
            </w:pPr>
            <w:r w:rsidRPr="00002530">
              <w:rPr>
                <w:b/>
                <w:snapToGrid w:val="0"/>
              </w:rPr>
              <w:t xml:space="preserve">IDENTIFY LOCATION OF STANDARD IN FILING </w:t>
            </w:r>
            <w:r w:rsidRPr="00C55515">
              <w:rPr>
                <w:b/>
                <w:i/>
                <w:snapToGrid w:val="0"/>
                <w:color w:val="C00000"/>
                <w:sz w:val="20"/>
                <w:szCs w:val="20"/>
              </w:rPr>
              <w:t>OR EXPLAIN IF REQUIREMENT</w:t>
            </w:r>
          </w:p>
          <w:p w14:paraId="1F8ADD4D" w14:textId="77777777" w:rsidR="008528C7" w:rsidRPr="00002530" w:rsidRDefault="008528C7" w:rsidP="008528C7">
            <w:pPr>
              <w:pStyle w:val="Heading3"/>
              <w:rPr>
                <w:rFonts w:ascii="Times New Roman" w:hAnsi="Times New Roman"/>
                <w:sz w:val="24"/>
              </w:rPr>
            </w:pPr>
            <w:r w:rsidRPr="00C55515">
              <w:rPr>
                <w:rFonts w:ascii="Times New Roman" w:hAnsi="Times New Roman"/>
                <w:i/>
                <w:snapToGrid/>
                <w:color w:val="C00000"/>
                <w:sz w:val="20"/>
                <w:szCs w:val="20"/>
              </w:rPr>
              <w:t xml:space="preserve"> IS INAPPLICABLE</w:t>
            </w:r>
          </w:p>
        </w:tc>
      </w:tr>
      <w:tr w:rsidR="008528C7" w14:paraId="1F8ADD50" w14:textId="77777777" w:rsidTr="00C55515">
        <w:trPr>
          <w:trHeight w:val="194"/>
        </w:trPr>
        <w:tc>
          <w:tcPr>
            <w:tcW w:w="14400" w:type="dxa"/>
            <w:gridSpan w:val="5"/>
            <w:tcBorders>
              <w:top w:val="single" w:sz="6" w:space="0" w:color="auto"/>
              <w:left w:val="single" w:sz="6" w:space="0" w:color="auto"/>
              <w:bottom w:val="single" w:sz="6" w:space="0" w:color="auto"/>
              <w:right w:val="single" w:sz="2" w:space="0" w:color="000000"/>
            </w:tcBorders>
            <w:shd w:val="clear" w:color="auto" w:fill="auto"/>
          </w:tcPr>
          <w:p w14:paraId="1F8ADD4F" w14:textId="77777777" w:rsidR="008528C7" w:rsidRPr="00C55515" w:rsidRDefault="008528C7" w:rsidP="008528C7">
            <w:pPr>
              <w:jc w:val="center"/>
              <w:rPr>
                <w:b/>
                <w:snapToGrid w:val="0"/>
                <w:color w:val="C00000"/>
                <w:sz w:val="18"/>
              </w:rPr>
            </w:pPr>
            <w:r w:rsidRPr="00C55515">
              <w:rPr>
                <w:b/>
                <w:bCs/>
                <w:color w:val="C00000"/>
              </w:rPr>
              <w:t>Medicare Supplement policies must comply with all provisions in the most current NAIC model law with revisions for the following Maine specific deviations:</w:t>
            </w:r>
          </w:p>
        </w:tc>
      </w:tr>
      <w:tr w:rsidR="00C55515" w14:paraId="1F8ADD52" w14:textId="77777777" w:rsidTr="003205C9">
        <w:trPr>
          <w:trHeight w:val="194"/>
        </w:trPr>
        <w:tc>
          <w:tcPr>
            <w:tcW w:w="14400" w:type="dxa"/>
            <w:gridSpan w:val="5"/>
            <w:tcBorders>
              <w:top w:val="single" w:sz="6" w:space="0" w:color="auto"/>
              <w:left w:val="single" w:sz="6" w:space="0" w:color="auto"/>
              <w:bottom w:val="single" w:sz="6" w:space="0" w:color="auto"/>
              <w:right w:val="single" w:sz="2" w:space="0" w:color="000000"/>
            </w:tcBorders>
            <w:shd w:val="clear" w:color="auto" w:fill="D3D3D3"/>
          </w:tcPr>
          <w:p w14:paraId="1F8ADD51" w14:textId="77777777" w:rsidR="00C55515" w:rsidRDefault="00C55515" w:rsidP="00C55515">
            <w:pPr>
              <w:spacing w:before="240" w:after="240"/>
              <w:rPr>
                <w:b/>
                <w:snapToGrid w:val="0"/>
                <w:color w:val="000000"/>
                <w:sz w:val="18"/>
              </w:rPr>
            </w:pPr>
            <w:r w:rsidRPr="008304E8">
              <w:rPr>
                <w:b/>
                <w:caps/>
              </w:rPr>
              <w:t>General Submission Requirements</w:t>
            </w:r>
          </w:p>
        </w:tc>
      </w:tr>
      <w:tr w:rsidR="00C55515" w14:paraId="1F8ADD58"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53" w14:textId="77777777" w:rsidR="00C55515" w:rsidRPr="00881974" w:rsidRDefault="00C55515" w:rsidP="00C55515">
            <w:pPr>
              <w:rPr>
                <w:color w:val="000000"/>
              </w:rPr>
            </w:pPr>
            <w:r w:rsidRPr="00881974">
              <w:rPr>
                <w:color w:val="000000"/>
              </w:rPr>
              <w:t>Electronic (SERFF) Submission Requirements</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54" w14:textId="77777777" w:rsidR="00C55515" w:rsidRPr="00881974" w:rsidRDefault="00292C87" w:rsidP="00C55515">
            <w:pPr>
              <w:jc w:val="center"/>
              <w:rPr>
                <w:color w:val="000000"/>
              </w:rPr>
            </w:pPr>
            <w:hyperlink r:id="rId6" w:history="1">
              <w:r w:rsidR="00C55515" w:rsidRPr="00881974">
                <w:rPr>
                  <w:rStyle w:val="Hyperlink"/>
                </w:rPr>
                <w:t>24-A M.R.S.A. §2412 (2)</w:t>
              </w:r>
            </w:hyperlink>
          </w:p>
          <w:p w14:paraId="1F8ADD55" w14:textId="4581707D" w:rsidR="00C55515" w:rsidRPr="00881974" w:rsidRDefault="00292C87" w:rsidP="00C55515">
            <w:pPr>
              <w:jc w:val="center"/>
              <w:rPr>
                <w:color w:val="000000"/>
              </w:rPr>
            </w:pPr>
            <w:hyperlink r:id="rId7" w:history="1">
              <w:r w:rsidR="00C55515" w:rsidRPr="00881974">
                <w:rPr>
                  <w:rStyle w:val="Hyperlink"/>
                </w:rPr>
                <w:t>Bulletin 360</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56" w14:textId="77777777" w:rsidR="00C55515" w:rsidRPr="00881974" w:rsidRDefault="00C55515" w:rsidP="00C55515">
            <w:pPr>
              <w:rPr>
                <w:color w:val="000000"/>
              </w:rPr>
            </w:pPr>
            <w:r w:rsidRPr="00881974">
              <w:rPr>
                <w:color w:val="000000"/>
              </w:rPr>
              <w:t xml:space="preserve">All filings must be filed electronically, using the </w:t>
            </w:r>
            <w:r w:rsidRPr="00881974">
              <w:rPr>
                <w:color w:val="000000"/>
                <w:u w:val="single"/>
              </w:rPr>
              <w:t>NAIC</w:t>
            </w:r>
            <w:r w:rsidRPr="00881974">
              <w:rPr>
                <w:color w:val="000000"/>
              </w:rPr>
              <w:t xml:space="preserve"> System for Electronic Rate and Form Filing (SERFF). See </w:t>
            </w:r>
            <w:hyperlink r:id="rId8" w:history="1">
              <w:r w:rsidRPr="00881974">
                <w:rPr>
                  <w:rStyle w:val="Hyperlink"/>
                </w:rPr>
                <w:t>http://www.serff.com</w:t>
              </w:r>
            </w:hyperlink>
            <w:r w:rsidRPr="00881974">
              <w:rPr>
                <w:color w:val="000000"/>
              </w:rPr>
              <w: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57" w14:textId="77777777" w:rsidR="00C55515" w:rsidRDefault="00C55515" w:rsidP="00C55515">
            <w:pPr>
              <w:rPr>
                <w:b/>
                <w:snapToGrid w:val="0"/>
                <w:color w:val="000000"/>
                <w:sz w:val="18"/>
              </w:rPr>
            </w:pPr>
          </w:p>
        </w:tc>
      </w:tr>
      <w:tr w:rsidR="00C55515" w14:paraId="1F8ADD5F"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59" w14:textId="77777777" w:rsidR="00C55515" w:rsidRPr="00881974" w:rsidRDefault="00C55515" w:rsidP="00C55515">
            <w:pPr>
              <w:rPr>
                <w:color w:val="000000"/>
              </w:rPr>
            </w:pPr>
            <w:r w:rsidRPr="00881974">
              <w:rPr>
                <w:color w:val="000000"/>
              </w:rPr>
              <w:t>FILING FEES</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5A" w14:textId="77777777" w:rsidR="00C55515" w:rsidRPr="00881974" w:rsidRDefault="00292C87" w:rsidP="00C55515">
            <w:pPr>
              <w:jc w:val="center"/>
              <w:rPr>
                <w:color w:val="000000"/>
              </w:rPr>
            </w:pPr>
            <w:hyperlink r:id="rId9" w:history="1">
              <w:r w:rsidR="00C55515" w:rsidRPr="00881974">
                <w:rPr>
                  <w:rStyle w:val="Hyperlink"/>
                </w:rPr>
                <w:t>24-A M.R.S.A. §601(17)</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5B" w14:textId="77777777" w:rsidR="00C55515" w:rsidRPr="00881974" w:rsidRDefault="00C55515" w:rsidP="00C55515">
            <w:pPr>
              <w:rPr>
                <w:color w:val="000000"/>
              </w:rPr>
            </w:pPr>
            <w:r w:rsidRPr="00881974">
              <w:rPr>
                <w:color w:val="000000"/>
              </w:rPr>
              <w:t>$20.00 for Rate filings, rating rules filings, insurance policy, forms, riders, endorsements and certificates. See General Instructions page in SERFF for additional information on filing fee structure.</w:t>
            </w:r>
          </w:p>
          <w:p w14:paraId="1F8ADD5C" w14:textId="77777777" w:rsidR="00C55515" w:rsidRPr="00881974" w:rsidRDefault="00C55515" w:rsidP="00C55515">
            <w:pPr>
              <w:rPr>
                <w:color w:val="000000"/>
              </w:rPr>
            </w:pPr>
            <w:r w:rsidRPr="00881974">
              <w:rPr>
                <w:color w:val="000000"/>
              </w:rPr>
              <w:t>Filing fees must be submitted by EFT in SERFF at the time of submission of the filing.</w:t>
            </w:r>
          </w:p>
          <w:p w14:paraId="1F8ADD5D" w14:textId="77777777" w:rsidR="00C55515" w:rsidRPr="00881974" w:rsidRDefault="00C55515" w:rsidP="00C55515">
            <w:pPr>
              <w:rPr>
                <w:color w:val="000000"/>
              </w:rPr>
            </w:pPr>
            <w:r w:rsidRPr="00881974">
              <w:rPr>
                <w:color w:val="000000"/>
              </w:rPr>
              <w:t>All filings require a filing fee unless specifically excluded per 24-A M.R.S.A. §4222(1), and/or are a required annual report.</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5E" w14:textId="77777777" w:rsidR="00C55515" w:rsidRDefault="00C55515" w:rsidP="00C55515">
            <w:pPr>
              <w:rPr>
                <w:b/>
                <w:snapToGrid w:val="0"/>
                <w:color w:val="000000"/>
                <w:sz w:val="18"/>
              </w:rPr>
            </w:pPr>
          </w:p>
        </w:tc>
      </w:tr>
      <w:tr w:rsidR="00C55515" w14:paraId="1F8ADD64"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60" w14:textId="77777777" w:rsidR="00C55515" w:rsidRPr="00881974" w:rsidRDefault="00C55515" w:rsidP="00C55515">
            <w:pPr>
              <w:rPr>
                <w:color w:val="000000"/>
              </w:rPr>
            </w:pPr>
            <w:r w:rsidRPr="00881974">
              <w:rPr>
                <w:color w:val="000000"/>
              </w:rPr>
              <w:t>Grounds for disapproval</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61" w14:textId="77777777" w:rsidR="00C55515" w:rsidRPr="00881974" w:rsidRDefault="00292C87" w:rsidP="00C55515">
            <w:pPr>
              <w:jc w:val="center"/>
              <w:rPr>
                <w:color w:val="000000"/>
              </w:rPr>
            </w:pPr>
            <w:hyperlink r:id="rId10" w:history="1">
              <w:r w:rsidR="00C55515" w:rsidRPr="00881974">
                <w:rPr>
                  <w:rStyle w:val="Hyperlink"/>
                </w:rPr>
                <w:t>24-A M.R.S.A. §2413</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62" w14:textId="77777777" w:rsidR="00C55515" w:rsidRPr="00881974" w:rsidRDefault="00C55515" w:rsidP="00C55515">
            <w:pPr>
              <w:rPr>
                <w:color w:val="000000"/>
              </w:rPr>
            </w:pPr>
            <w:r w:rsidRPr="00881974">
              <w:rPr>
                <w:color w:val="000000"/>
              </w:rPr>
              <w:t>Seven categories of the grounds for disapproving a filing.</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63" w14:textId="77777777" w:rsidR="00C55515" w:rsidRDefault="00C55515" w:rsidP="00C55515">
            <w:pPr>
              <w:rPr>
                <w:b/>
                <w:snapToGrid w:val="0"/>
                <w:color w:val="000000"/>
                <w:sz w:val="18"/>
              </w:rPr>
            </w:pPr>
          </w:p>
        </w:tc>
      </w:tr>
      <w:tr w:rsidR="00C55515" w14:paraId="1F8ADD69"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65" w14:textId="77777777" w:rsidR="00C55515" w:rsidRPr="00881974" w:rsidRDefault="00C55515" w:rsidP="00C55515">
            <w:pPr>
              <w:rPr>
                <w:color w:val="000000"/>
              </w:rPr>
            </w:pPr>
            <w:r w:rsidRPr="00881974">
              <w:rPr>
                <w:color w:val="000000"/>
              </w:rPr>
              <w:t>Readability</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66" w14:textId="77777777" w:rsidR="00C55515" w:rsidRPr="00881974" w:rsidRDefault="00292C87" w:rsidP="00C55515">
            <w:pPr>
              <w:jc w:val="center"/>
              <w:rPr>
                <w:color w:val="000000"/>
              </w:rPr>
            </w:pPr>
            <w:hyperlink r:id="rId11" w:history="1">
              <w:r w:rsidR="00C55515" w:rsidRPr="00881974">
                <w:rPr>
                  <w:rStyle w:val="Hyperlink"/>
                </w:rPr>
                <w:t>24-A M.R.S.A. §2441</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67" w14:textId="77777777" w:rsidR="00C55515" w:rsidRPr="00881974" w:rsidRDefault="00C55515" w:rsidP="00C55515">
            <w:pPr>
              <w:rPr>
                <w:color w:val="000000"/>
              </w:rPr>
            </w:pPr>
            <w:r w:rsidRPr="00881974">
              <w:rPr>
                <w:color w:val="000000"/>
              </w:rPr>
              <w:t xml:space="preserve">Minimum of 50.  Riders, endorsements, applications all must be scored. They may be scored either individually or in conjunction with the policy/certificate to which they will be attached. Exceptions: Federally mandated forms/language, </w:t>
            </w:r>
            <w:r w:rsidRPr="00881974">
              <w:rPr>
                <w:color w:val="000000"/>
              </w:rPr>
              <w:lastRenderedPageBreak/>
              <w:t>Groups &gt; 1000, Group Annuities as funding vehicles.  Scores must be entered on form schedule tab in SERFF.</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68" w14:textId="77777777" w:rsidR="00C55515" w:rsidRDefault="00C55515" w:rsidP="00C55515">
            <w:pPr>
              <w:rPr>
                <w:b/>
                <w:snapToGrid w:val="0"/>
                <w:color w:val="000000"/>
                <w:sz w:val="18"/>
              </w:rPr>
            </w:pPr>
          </w:p>
        </w:tc>
      </w:tr>
      <w:tr w:rsidR="00C55515" w14:paraId="1F8ADD6E"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6A" w14:textId="77777777" w:rsidR="00C55515" w:rsidRPr="00881974" w:rsidRDefault="00C55515" w:rsidP="00C55515">
            <w:pPr>
              <w:rPr>
                <w:color w:val="000000"/>
              </w:rPr>
            </w:pPr>
            <w:r w:rsidRPr="00881974">
              <w:rPr>
                <w:color w:val="000000"/>
              </w:rPr>
              <w:t>Variability of Language</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6B" w14:textId="77777777" w:rsidR="00C55515" w:rsidRPr="00881974" w:rsidRDefault="00292C87" w:rsidP="00C55515">
            <w:pPr>
              <w:jc w:val="center"/>
              <w:rPr>
                <w:color w:val="000000"/>
              </w:rPr>
            </w:pPr>
            <w:hyperlink r:id="rId12" w:history="1">
              <w:r w:rsidR="00C55515" w:rsidRPr="00881974">
                <w:rPr>
                  <w:rStyle w:val="Hyperlink"/>
                </w:rPr>
                <w:t>24-A M.R.S.A.</w:t>
              </w:r>
              <w:r w:rsidR="00C55515" w:rsidRPr="00881974">
                <w:rPr>
                  <w:color w:val="3366CC"/>
                  <w:u w:val="single"/>
                </w:rPr>
                <w:br/>
              </w:r>
              <w:r w:rsidR="00C55515" w:rsidRPr="00881974">
                <w:rPr>
                  <w:rStyle w:val="Hyperlink"/>
                </w:rPr>
                <w:t>§2412</w:t>
              </w:r>
            </w:hyperlink>
            <w:r w:rsidR="00C55515" w:rsidRPr="00881974">
              <w:rPr>
                <w:color w:val="000000"/>
              </w:rPr>
              <w:t xml:space="preserve"> </w:t>
            </w:r>
            <w:r w:rsidR="00C55515" w:rsidRPr="00881974">
              <w:rPr>
                <w:color w:val="000000"/>
              </w:rPr>
              <w:br/>
            </w:r>
            <w:r w:rsidR="00C55515" w:rsidRPr="00881974">
              <w:rPr>
                <w:color w:val="000000"/>
              </w:rPr>
              <w:br/>
            </w:r>
            <w:r w:rsidR="00C55515" w:rsidRPr="00881974">
              <w:rPr>
                <w:rStyle w:val="Strong"/>
                <w:color w:val="000000"/>
              </w:rPr>
              <w:t> </w:t>
            </w:r>
            <w:hyperlink r:id="rId13" w:history="1">
              <w:r w:rsidR="00C55515" w:rsidRPr="00881974">
                <w:rPr>
                  <w:rStyle w:val="Hyperlink"/>
                </w:rPr>
                <w:t>§2413</w:t>
              </w:r>
            </w:hyperlink>
            <w:r w:rsidR="00C55515" w:rsidRPr="00881974">
              <w:rPr>
                <w:rStyle w:val="Strong"/>
                <w:color w:val="000000"/>
              </w:rPr>
              <w:t xml:space="preserve"> </w:t>
            </w:r>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6C" w14:textId="77777777" w:rsidR="00C55515" w:rsidRPr="00881974" w:rsidRDefault="00C55515" w:rsidP="00C55515">
            <w:pPr>
              <w:rPr>
                <w:color w:val="000000"/>
              </w:rPr>
            </w:pPr>
            <w:r w:rsidRPr="00881974">
              <w:rPr>
                <w:color w:val="000000"/>
              </w:rPr>
              <w:t>Forms with variable bracketed information must include all the possible language that might be placed within the brackets. The use of too many variables will result in filing disapproval as Bureau staff may not be able to determine whether the filing is compliant with Maine laws and regulations.</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6D" w14:textId="77777777" w:rsidR="00C55515" w:rsidRDefault="00C55515" w:rsidP="00C55515">
            <w:pPr>
              <w:rPr>
                <w:b/>
                <w:snapToGrid w:val="0"/>
                <w:color w:val="000000"/>
                <w:sz w:val="18"/>
              </w:rPr>
            </w:pPr>
          </w:p>
        </w:tc>
      </w:tr>
      <w:tr w:rsidR="00C55515" w14:paraId="1F8ADD70" w14:textId="77777777" w:rsidTr="003205C9">
        <w:trPr>
          <w:trHeight w:val="194"/>
        </w:trPr>
        <w:tc>
          <w:tcPr>
            <w:tcW w:w="14400" w:type="dxa"/>
            <w:gridSpan w:val="5"/>
            <w:tcBorders>
              <w:top w:val="single" w:sz="6" w:space="0" w:color="auto"/>
              <w:left w:val="single" w:sz="6" w:space="0" w:color="auto"/>
              <w:bottom w:val="single" w:sz="6" w:space="0" w:color="auto"/>
              <w:right w:val="single" w:sz="2" w:space="0" w:color="000000"/>
            </w:tcBorders>
            <w:shd w:val="clear" w:color="auto" w:fill="D3D3D3"/>
          </w:tcPr>
          <w:p w14:paraId="1F8ADD6F" w14:textId="77777777" w:rsidR="00C55515" w:rsidRDefault="00C55515" w:rsidP="00C55515">
            <w:pPr>
              <w:spacing w:before="240" w:after="240"/>
              <w:rPr>
                <w:b/>
                <w:snapToGrid w:val="0"/>
                <w:color w:val="000000"/>
                <w:sz w:val="18"/>
              </w:rPr>
            </w:pPr>
            <w:r w:rsidRPr="008304E8">
              <w:rPr>
                <w:b/>
                <w:caps/>
              </w:rPr>
              <w:t>General Policy Provisions</w:t>
            </w:r>
          </w:p>
        </w:tc>
      </w:tr>
      <w:tr w:rsidR="008528C7" w14:paraId="1F8ADD77"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71" w14:textId="77777777" w:rsidR="008528C7" w:rsidRDefault="008528C7" w:rsidP="008528C7">
            <w:pPr>
              <w:pStyle w:val="NormalWeb"/>
              <w:spacing w:line="150" w:lineRule="atLeast"/>
            </w:pPr>
            <w:r>
              <w:t>Advertisements, Filing of</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72" w14:textId="77777777" w:rsidR="008528C7" w:rsidRPr="008528C7" w:rsidRDefault="00292C87" w:rsidP="008528C7">
            <w:pPr>
              <w:pStyle w:val="NormalWeb"/>
              <w:spacing w:line="150" w:lineRule="atLeast"/>
              <w:jc w:val="center"/>
              <w:rPr>
                <w:rStyle w:val="Hyperlink"/>
              </w:rPr>
            </w:pPr>
            <w:hyperlink r:id="rId14" w:history="1">
              <w:r w:rsidR="008528C7" w:rsidRPr="00BE3CD4">
                <w:rPr>
                  <w:rStyle w:val="Hyperlink"/>
                </w:rPr>
                <w:t>24-A M.R.S.A. §5006-A</w:t>
              </w:r>
            </w:hyperlink>
            <w:r w:rsidR="008528C7">
              <w:fldChar w:fldCharType="begin"/>
            </w:r>
            <w:r w:rsidR="008528C7">
              <w:instrText xml:space="preserve"> HYPERLINK "http://legislature.maine.gov/statutes/24-A/title24-Asec5010-A.html" </w:instrText>
            </w:r>
            <w:r w:rsidR="008528C7">
              <w:fldChar w:fldCharType="separate"/>
            </w:r>
            <w:r w:rsidR="008528C7" w:rsidRPr="008528C7">
              <w:rPr>
                <w:rStyle w:val="Hyperlink"/>
              </w:rPr>
              <w:t xml:space="preserve"> </w:t>
            </w:r>
          </w:p>
          <w:p w14:paraId="1F8ADD73" w14:textId="77777777" w:rsidR="008528C7" w:rsidRPr="008528C7" w:rsidRDefault="008528C7" w:rsidP="008528C7">
            <w:pPr>
              <w:pStyle w:val="NormalWeb"/>
              <w:spacing w:line="150" w:lineRule="atLeast"/>
              <w:jc w:val="center"/>
              <w:rPr>
                <w:rStyle w:val="Hyperlink"/>
              </w:rPr>
            </w:pPr>
            <w:r w:rsidRPr="008528C7">
              <w:rPr>
                <w:rStyle w:val="Hyperlink"/>
              </w:rPr>
              <w:t>§5010-A</w:t>
            </w:r>
          </w:p>
          <w:p w14:paraId="1F8ADD74" w14:textId="77777777" w:rsidR="008528C7" w:rsidRDefault="008528C7" w:rsidP="008528C7">
            <w:pPr>
              <w:pStyle w:val="NormalWeb"/>
              <w:spacing w:line="150" w:lineRule="atLeast"/>
              <w:jc w:val="center"/>
            </w:pPr>
            <w:r>
              <w:fldChar w:fldCharType="end"/>
            </w:r>
            <w:hyperlink r:id="rId15" w:history="1">
              <w:r w:rsidRPr="00E17A08">
                <w:rPr>
                  <w:rStyle w:val="Hyperlink"/>
                </w:rPr>
                <w:t>Rule 275, §19</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75" w14:textId="77777777" w:rsidR="008528C7" w:rsidRDefault="008528C7" w:rsidP="008528C7">
            <w:pPr>
              <w:pStyle w:val="NormalWeb"/>
              <w:spacing w:line="150" w:lineRule="atLeast"/>
            </w:pPr>
            <w:r>
              <w:t xml:space="preserve">Any advertisement to be used in connection with Medicare Supplement products must be filed and approved with the Bureau prior to use. All advertising materials shall specifically disclose the availability of Medicare supplemental products to those persons eligible for Medicare because of disability.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76" w14:textId="77777777" w:rsidR="008528C7" w:rsidRDefault="008528C7" w:rsidP="008528C7">
            <w:pPr>
              <w:rPr>
                <w:b/>
                <w:snapToGrid w:val="0"/>
                <w:color w:val="000000"/>
                <w:sz w:val="18"/>
              </w:rPr>
            </w:pPr>
          </w:p>
        </w:tc>
      </w:tr>
      <w:tr w:rsidR="008528C7" w14:paraId="1F8ADD7D"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78" w14:textId="77777777" w:rsidR="008528C7" w:rsidRDefault="008528C7" w:rsidP="00B92461">
            <w:pPr>
              <w:pStyle w:val="NormalWeb"/>
            </w:pPr>
            <w:r>
              <w:t xml:space="preserve">Benefit Levels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79" w14:textId="77777777" w:rsidR="008528C7" w:rsidRDefault="00292C87" w:rsidP="008528C7">
            <w:pPr>
              <w:pStyle w:val="NormalWeb"/>
              <w:jc w:val="center"/>
            </w:pPr>
            <w:hyperlink r:id="rId16" w:history="1">
              <w:r w:rsidR="008528C7" w:rsidRPr="00BE3CD4">
                <w:rPr>
                  <w:rStyle w:val="Hyperlink"/>
                </w:rPr>
                <w:t>24-A M.R.S.A. §5002-A</w:t>
              </w:r>
            </w:hyperlink>
            <w:r w:rsidR="008528C7">
              <w:t xml:space="preserve"> </w:t>
            </w:r>
          </w:p>
          <w:p w14:paraId="1F8ADD7A" w14:textId="77777777" w:rsidR="008528C7" w:rsidRDefault="00292C87" w:rsidP="008528C7">
            <w:pPr>
              <w:pStyle w:val="NormalWeb"/>
              <w:jc w:val="center"/>
            </w:pPr>
            <w:hyperlink r:id="rId17" w:history="1">
              <w:r w:rsidR="008528C7" w:rsidRPr="00E17A08">
                <w:rPr>
                  <w:rStyle w:val="Hyperlink"/>
                </w:rPr>
                <w:t xml:space="preserve">Rule 275 </w:t>
              </w:r>
              <w:r w:rsidR="008528C7">
                <w:rPr>
                  <w:rStyle w:val="Hyperlink"/>
                </w:rPr>
                <w:t>§8</w:t>
              </w:r>
              <w:r w:rsidR="008528C7" w:rsidRPr="00E17A08">
                <w:rPr>
                  <w:rStyle w:val="Hyperlink"/>
                </w:rPr>
                <w:t>(B)</w:t>
              </w:r>
              <w:r w:rsidR="008528C7">
                <w:rPr>
                  <w:rStyle w:val="Hyperlink"/>
                </w:rPr>
                <w:t>, §</w:t>
              </w:r>
              <w:r w:rsidR="008528C7" w:rsidRPr="00E17A08">
                <w:rPr>
                  <w:rStyle w:val="Hyperlink"/>
                </w:rPr>
                <w:t>9</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7B" w14:textId="77777777" w:rsidR="008528C7" w:rsidRDefault="008528C7" w:rsidP="00B92461">
            <w:pPr>
              <w:pStyle w:val="NormalWeb"/>
            </w:pPr>
            <w:r>
              <w:t xml:space="preserve">Standardized Plans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7C" w14:textId="77777777" w:rsidR="008528C7" w:rsidRDefault="008528C7" w:rsidP="00652469">
            <w:pPr>
              <w:rPr>
                <w:b/>
                <w:snapToGrid w:val="0"/>
                <w:color w:val="000000"/>
                <w:sz w:val="18"/>
              </w:rPr>
            </w:pPr>
          </w:p>
        </w:tc>
      </w:tr>
      <w:tr w:rsidR="008528C7" w14:paraId="1F8ADD82"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7E" w14:textId="77777777" w:rsidR="008528C7" w:rsidRDefault="008528C7" w:rsidP="00B92461">
            <w:pPr>
              <w:pStyle w:val="NormalWeb"/>
              <w:spacing w:line="150" w:lineRule="atLeast"/>
            </w:pPr>
            <w:r>
              <w:t>Continuity of Coverage</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7F" w14:textId="77777777" w:rsidR="008528C7" w:rsidRDefault="00292C87" w:rsidP="0089269E">
            <w:pPr>
              <w:pStyle w:val="NormalWeb"/>
              <w:spacing w:line="150" w:lineRule="atLeast"/>
              <w:jc w:val="center"/>
            </w:pPr>
            <w:hyperlink r:id="rId18" w:history="1">
              <w:r w:rsidR="008528C7" w:rsidRPr="00BE3CD4">
                <w:rPr>
                  <w:rStyle w:val="Hyperlink"/>
                </w:rPr>
                <w:t>24-A M.R.S.A. §5002-B</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80" w14:textId="77777777" w:rsidR="008528C7" w:rsidRDefault="008528C7" w:rsidP="00B92461">
            <w:pPr>
              <w:spacing w:line="150" w:lineRule="atLeast"/>
            </w:pPr>
            <w:r>
              <w:t>Must contain the provisions of Persons Provided Continuity of Coverage, Prohibitions Against Continuity, Low-Cost Drugs For The Elderly or Disabled Program, and Determination of Benefits.</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81" w14:textId="77777777" w:rsidR="008528C7" w:rsidRPr="00FB2865" w:rsidRDefault="008528C7" w:rsidP="00652469">
            <w:pPr>
              <w:rPr>
                <w:b/>
                <w:snapToGrid w:val="0"/>
                <w:color w:val="FF0000"/>
                <w:sz w:val="18"/>
              </w:rPr>
            </w:pPr>
          </w:p>
        </w:tc>
      </w:tr>
      <w:tr w:rsidR="008528C7" w14:paraId="1F8ADD87"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83" w14:textId="77777777" w:rsidR="008528C7" w:rsidRDefault="008528C7" w:rsidP="00B92461">
            <w:pPr>
              <w:pStyle w:val="NormalWeb"/>
              <w:spacing w:line="150" w:lineRule="atLeast"/>
            </w:pPr>
            <w:r>
              <w:t xml:space="preserve">Conversion (group policies only)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84" w14:textId="77777777" w:rsidR="008528C7" w:rsidRDefault="00292C87" w:rsidP="00A45200">
            <w:pPr>
              <w:pStyle w:val="NormalWeb"/>
              <w:spacing w:line="150" w:lineRule="atLeast"/>
              <w:jc w:val="center"/>
            </w:pPr>
            <w:hyperlink r:id="rId19" w:history="1">
              <w:r w:rsidR="00A45200">
                <w:rPr>
                  <w:rStyle w:val="Hyperlink"/>
                </w:rPr>
                <w:t xml:space="preserve">Rule 275, §8(A)(5)(c), </w:t>
              </w:r>
              <w:r w:rsidR="008528C7" w:rsidRPr="00E17A08">
                <w:rPr>
                  <w:rStyle w:val="Hyperlink"/>
                </w:rPr>
                <w:t>(d)</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85" w14:textId="77777777" w:rsidR="008528C7" w:rsidRDefault="008528C7" w:rsidP="00B92461">
            <w:pPr>
              <w:pStyle w:val="NormalWeb"/>
              <w:spacing w:line="150" w:lineRule="atLeast"/>
            </w:pPr>
            <w:smartTag w:uri="urn:schemas-microsoft-com:office:smarttags" w:element="place">
              <w:smartTag w:uri="urn:schemas-microsoft-com:office:smarttags" w:element="State">
                <w:r>
                  <w:t>Maine</w:t>
                </w:r>
              </w:smartTag>
            </w:smartTag>
            <w:r>
              <w:t xml:space="preserve"> requires a conversion privilege on termination of policy or eligibility.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86" w14:textId="77777777" w:rsidR="008528C7" w:rsidRDefault="008528C7" w:rsidP="00652469">
            <w:pPr>
              <w:rPr>
                <w:b/>
                <w:snapToGrid w:val="0"/>
                <w:color w:val="000000"/>
                <w:sz w:val="18"/>
              </w:rPr>
            </w:pPr>
          </w:p>
        </w:tc>
      </w:tr>
      <w:tr w:rsidR="008528C7" w14:paraId="1F8ADD8E"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88" w14:textId="77777777" w:rsidR="008528C7" w:rsidRDefault="008528C7" w:rsidP="00B92461">
            <w:pPr>
              <w:pStyle w:val="NormalWeb"/>
            </w:pPr>
            <w:r>
              <w:t xml:space="preserve">Eligibility (additional eligibility provisions)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89" w14:textId="77777777" w:rsidR="008528C7" w:rsidRDefault="00292C87" w:rsidP="00A45200">
            <w:pPr>
              <w:pStyle w:val="NormalWeb"/>
              <w:jc w:val="center"/>
            </w:pPr>
            <w:hyperlink r:id="rId20" w:history="1">
              <w:r w:rsidR="008528C7" w:rsidRPr="00B92461">
                <w:rPr>
                  <w:rStyle w:val="Hyperlink"/>
                </w:rPr>
                <w:t xml:space="preserve">Rule </w:t>
              </w:r>
              <w:r w:rsidR="00A45200">
                <w:rPr>
                  <w:rStyle w:val="Hyperlink"/>
                </w:rPr>
                <w:t>2</w:t>
              </w:r>
              <w:r w:rsidR="008528C7" w:rsidRPr="00B92461">
                <w:rPr>
                  <w:rStyle w:val="Hyperlink"/>
                </w:rPr>
                <w:t>75,</w:t>
              </w:r>
              <w:r w:rsidR="00A45200">
                <w:rPr>
                  <w:rStyle w:val="Hyperlink"/>
                </w:rPr>
                <w:t xml:space="preserve"> </w:t>
              </w:r>
              <w:r w:rsidR="008528C7" w:rsidRPr="00B92461">
                <w:rPr>
                  <w:rStyle w:val="Hyperlink"/>
                </w:rPr>
                <w:t xml:space="preserve">§12(B)(7),(8) and </w:t>
              </w:r>
              <w:r w:rsidR="00A45200">
                <w:rPr>
                  <w:rStyle w:val="Hyperlink"/>
                </w:rPr>
                <w:t>§</w:t>
              </w:r>
              <w:r w:rsidR="008528C7" w:rsidRPr="00B92461">
                <w:rPr>
                  <w:rStyle w:val="Hyperlink"/>
                </w:rPr>
                <w:t>12(C)(2)</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8A" w14:textId="77777777" w:rsidR="008528C7" w:rsidRDefault="008528C7" w:rsidP="00B92461">
            <w:pPr>
              <w:pStyle w:val="NormalWeb"/>
            </w:pPr>
            <w:r>
              <w:t>Eligible persons also include, pursuant to Bureau Rule Chapter 275 Sections 12(B)(7),(8) and 12(C)(2):</w:t>
            </w:r>
            <w:r>
              <w:br/>
              <w:t>The individual is eligible for Medicare Part B and is enrolled in an individual health plan as defined by Title 24-A M.R.S.A. § 2736-C and the enrollment in the individual health plan ceases because:</w:t>
            </w:r>
            <w:r>
              <w:br/>
              <w:t>a. The issuer has withdrawn from the individual health insurance market in Maine; or</w:t>
            </w:r>
            <w:r>
              <w:br/>
            </w:r>
            <w:r>
              <w:lastRenderedPageBreak/>
              <w:t>b. The issuer is insolvent or is otherwise unable to continue providing coverage; or</w:t>
            </w:r>
          </w:p>
          <w:p w14:paraId="1F8ADD8B" w14:textId="77777777" w:rsidR="008528C7" w:rsidRDefault="008528C7" w:rsidP="00B92461">
            <w:pPr>
              <w:pStyle w:val="NormalWeb"/>
            </w:pPr>
            <w:r>
              <w:t>8. The individual is eligible for Medicare Part B and is enrolled in Title XIX of the Social Security Act (Medicaid), other than coverage consisting solely of immunization benefits under Section 1928, and enrollment in Medicaid ceases because the individual is no longer eligible.</w:t>
            </w:r>
          </w:p>
          <w:p w14:paraId="1F8ADD8C" w14:textId="77777777" w:rsidR="008528C7" w:rsidRDefault="008528C7" w:rsidP="00B92461">
            <w:pPr>
              <w:pStyle w:val="NormalWeb"/>
            </w:pPr>
            <w:r>
              <w:t>Eligible persons would also include persons described in Section 12(B)(5) (regarding Medicare +Choice products) are entitled to the same Medicare supplement policy in which the individual was most recently previously enrolled, if available from the same insurer.</w:t>
            </w:r>
            <w:r>
              <w:br/>
              <w:t>a. If the policy is not available, the insurer shall reinstitute the prior policy subject to the conditions listed in Section 8(A)(7).</w:t>
            </w:r>
            <w:r>
              <w:br/>
              <w:t>b. If the issuer of the prior policy has become insolvent or has otherwise ceased doing business, and the prior policy was a standardized plan defined in Section 9, then the eligible person shall be entitled to the same plan from any issuer currently offering the plan.</w:t>
            </w:r>
            <w:r>
              <w:br/>
              <w:t>c. If the issuer of the policy has become insolvent or has otherwise ceased doing business, and the prior policy was not a standardized plan defined in Section 9, then the eligible person shall be entitled to a Medicare supplement policy which has a benefit package classified as Plan A, B, C, D, E, F, or G offered by any issuer. If the prior coverage included prescription drug benefits, Plans H, I, and J are included.</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8D" w14:textId="77777777" w:rsidR="008528C7" w:rsidRDefault="008528C7" w:rsidP="00652469">
            <w:pPr>
              <w:rPr>
                <w:b/>
                <w:snapToGrid w:val="0"/>
                <w:color w:val="000000"/>
                <w:sz w:val="18"/>
              </w:rPr>
            </w:pPr>
          </w:p>
        </w:tc>
      </w:tr>
      <w:tr w:rsidR="008528C7" w14:paraId="1F8ADD93"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8F" w14:textId="77777777" w:rsidR="008528C7" w:rsidRDefault="008528C7" w:rsidP="00B92461">
            <w:pPr>
              <w:pStyle w:val="NormalWeb"/>
              <w:spacing w:line="180" w:lineRule="atLeast"/>
            </w:pPr>
            <w:r>
              <w:t xml:space="preserve">Eligibility (additional language)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90" w14:textId="77777777" w:rsidR="008528C7" w:rsidRDefault="00292C87" w:rsidP="00A45200">
            <w:pPr>
              <w:pStyle w:val="NormalWeb"/>
              <w:spacing w:line="180" w:lineRule="atLeast"/>
              <w:jc w:val="center"/>
            </w:pPr>
            <w:hyperlink r:id="rId21" w:history="1">
              <w:r w:rsidR="008528C7" w:rsidRPr="00B92461">
                <w:rPr>
                  <w:rStyle w:val="Hyperlink"/>
                </w:rPr>
                <w:t>Rule 275,§12(A)(2)</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91" w14:textId="77777777" w:rsidR="008528C7" w:rsidRDefault="008528C7" w:rsidP="00B92461">
            <w:pPr>
              <w:pStyle w:val="NormalWeb"/>
              <w:spacing w:line="180" w:lineRule="atLeast"/>
            </w:pPr>
            <w:r>
              <w:t xml:space="preserve">Additional language to Section 12(A)(2), an eligible person includes an individual enrolled under an employee welfare benefit plan that is primary to Medicare and the plan terminates, or the plan ceases to provide health benefits to the individual because the individual leaves the plan.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92" w14:textId="77777777" w:rsidR="008528C7" w:rsidRDefault="008528C7" w:rsidP="00652469">
            <w:pPr>
              <w:rPr>
                <w:b/>
                <w:snapToGrid w:val="0"/>
                <w:color w:val="000000"/>
                <w:sz w:val="18"/>
              </w:rPr>
            </w:pPr>
          </w:p>
        </w:tc>
      </w:tr>
      <w:tr w:rsidR="008528C7" w14:paraId="1F8ADD98"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94" w14:textId="77777777" w:rsidR="008528C7" w:rsidRDefault="008528C7" w:rsidP="00B92461">
            <w:pPr>
              <w:pStyle w:val="NormalWeb"/>
              <w:spacing w:line="150" w:lineRule="atLeast"/>
            </w:pPr>
            <w:r>
              <w:t xml:space="preserve">Eligibility (open enrollment)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95" w14:textId="77777777" w:rsidR="008528C7" w:rsidRDefault="00292C87" w:rsidP="00A45200">
            <w:pPr>
              <w:pStyle w:val="NormalWeb"/>
              <w:spacing w:line="150" w:lineRule="atLeast"/>
              <w:jc w:val="center"/>
            </w:pPr>
            <w:hyperlink r:id="rId22" w:history="1">
              <w:r w:rsidR="008528C7" w:rsidRPr="00B92461">
                <w:rPr>
                  <w:rStyle w:val="Hyperlink"/>
                </w:rPr>
                <w:t>Rule 275, §11(A)</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96" w14:textId="77777777" w:rsidR="008528C7" w:rsidRDefault="008528C7" w:rsidP="00B92461">
            <w:pPr>
              <w:pStyle w:val="NormalWeb"/>
              <w:spacing w:line="150" w:lineRule="atLeast"/>
            </w:pPr>
            <w:r>
              <w:t xml:space="preserve">Open Enrollment, Section 11(A) Each Medicare beneficiary shall be entitled to a 6-month open enrollment period </w:t>
            </w:r>
            <w:r>
              <w:lastRenderedPageBreak/>
              <w:t>beginning on the date he or she first enrolls for benefits under Medicare Part B, and each individual enrolled for benefits under Medicare Part B before turning 65 shall be entitled to an additional 6-month open enrollment period beginning on his or her 65</w:t>
            </w:r>
            <w:r>
              <w:rPr>
                <w:vertAlign w:val="superscript"/>
              </w:rPr>
              <w:t>th</w:t>
            </w:r>
            <w:r>
              <w:t xml:space="preserve"> birthday.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97" w14:textId="77777777" w:rsidR="008528C7" w:rsidRDefault="008528C7" w:rsidP="00652469">
            <w:pPr>
              <w:rPr>
                <w:b/>
                <w:snapToGrid w:val="0"/>
                <w:color w:val="000000"/>
                <w:sz w:val="18"/>
              </w:rPr>
            </w:pPr>
          </w:p>
        </w:tc>
      </w:tr>
      <w:tr w:rsidR="008528C7" w14:paraId="1F8ADD9D"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99" w14:textId="77777777" w:rsidR="008528C7" w:rsidRDefault="008528C7" w:rsidP="00B92461">
            <w:pPr>
              <w:pStyle w:val="NormalWeb"/>
              <w:spacing w:line="150" w:lineRule="atLeast"/>
            </w:pPr>
            <w:r>
              <w:t xml:space="preserve">Grace period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9A" w14:textId="77777777" w:rsidR="008528C7" w:rsidRDefault="00292C87" w:rsidP="0089269E">
            <w:pPr>
              <w:pStyle w:val="NormalWeb"/>
              <w:spacing w:line="150" w:lineRule="atLeast"/>
              <w:jc w:val="center"/>
            </w:pPr>
            <w:hyperlink r:id="rId23" w:history="1">
              <w:r w:rsidR="008528C7" w:rsidRPr="00BE3CD4">
                <w:rPr>
                  <w:rStyle w:val="Hyperlink"/>
                </w:rPr>
                <w:t>24-A M.R.S.A. §2707</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9B" w14:textId="77777777" w:rsidR="008528C7" w:rsidRDefault="008528C7" w:rsidP="00B92461">
            <w:pPr>
              <w:pStyle w:val="NormalWeb"/>
              <w:spacing w:line="150" w:lineRule="atLeast"/>
            </w:pPr>
            <w:r>
              <w:t xml:space="preserve">Unless the premiums are paid on either a weekly or monthly basis, </w:t>
            </w:r>
            <w:smartTag w:uri="urn:schemas-microsoft-com:office:smarttags" w:element="place">
              <w:smartTag w:uri="urn:schemas-microsoft-com:office:smarttags" w:element="State">
                <w:r>
                  <w:t>Maine</w:t>
                </w:r>
              </w:smartTag>
            </w:smartTag>
            <w:r>
              <w:t xml:space="preserve">'s minimum grace period is 31 days.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9C" w14:textId="77777777" w:rsidR="008528C7" w:rsidRDefault="008528C7" w:rsidP="00652469">
            <w:pPr>
              <w:rPr>
                <w:b/>
                <w:snapToGrid w:val="0"/>
                <w:color w:val="000000"/>
                <w:sz w:val="18"/>
              </w:rPr>
            </w:pPr>
          </w:p>
        </w:tc>
      </w:tr>
      <w:tr w:rsidR="008528C7" w14:paraId="1F8ADDA2"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9E" w14:textId="77777777" w:rsidR="008528C7" w:rsidRDefault="008528C7" w:rsidP="00B92461">
            <w:pPr>
              <w:pStyle w:val="NormalWeb"/>
              <w:spacing w:line="180" w:lineRule="atLeast"/>
            </w:pPr>
            <w:r>
              <w:t xml:space="preserve">Guaranteed Issue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9F" w14:textId="77777777" w:rsidR="008528C7" w:rsidRDefault="00292C87" w:rsidP="00A45200">
            <w:pPr>
              <w:pStyle w:val="NormalWeb"/>
              <w:spacing w:line="180" w:lineRule="atLeast"/>
              <w:jc w:val="center"/>
            </w:pPr>
            <w:hyperlink r:id="rId24" w:history="1">
              <w:r w:rsidR="008528C7" w:rsidRPr="00B92461">
                <w:rPr>
                  <w:rStyle w:val="Hyperlink"/>
                </w:rPr>
                <w:t>Rule 275,</w:t>
              </w:r>
              <w:r w:rsidR="00A45200">
                <w:rPr>
                  <w:rStyle w:val="Hyperlink"/>
                </w:rPr>
                <w:t xml:space="preserve"> </w:t>
              </w:r>
              <w:r w:rsidR="008528C7" w:rsidRPr="00B92461">
                <w:rPr>
                  <w:rStyle w:val="Hyperlink"/>
                </w:rPr>
                <w:t>§12</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A0" w14:textId="77777777" w:rsidR="008528C7" w:rsidRDefault="008528C7" w:rsidP="00B92461">
            <w:pPr>
              <w:pStyle w:val="NormalWeb"/>
              <w:spacing w:line="180" w:lineRule="atLeast"/>
            </w:pPr>
            <w:smartTag w:uri="urn:schemas-microsoft-com:office:smarttags" w:element="place">
              <w:smartTag w:uri="urn:schemas-microsoft-com:office:smarttags" w:element="State">
                <w:r>
                  <w:t>Maine</w:t>
                </w:r>
              </w:smartTag>
            </w:smartTag>
            <w:r>
              <w:t xml:space="preserve"> permits eligible persons to enroll under a policy up to 90 days from the termination date under Section 12(A)(1).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A1" w14:textId="77777777" w:rsidR="008528C7" w:rsidRDefault="008528C7" w:rsidP="00652469">
            <w:pPr>
              <w:rPr>
                <w:b/>
                <w:snapToGrid w:val="0"/>
                <w:color w:val="000000"/>
                <w:sz w:val="18"/>
              </w:rPr>
            </w:pPr>
          </w:p>
        </w:tc>
      </w:tr>
      <w:tr w:rsidR="008528C7" w14:paraId="1F8ADDA8"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A3" w14:textId="77777777" w:rsidR="008528C7" w:rsidRDefault="008528C7" w:rsidP="00B92461">
            <w:pPr>
              <w:pStyle w:val="NormalWeb"/>
              <w:spacing w:line="150" w:lineRule="atLeast"/>
            </w:pPr>
            <w:r>
              <w:t xml:space="preserve">Guaranteed Renewal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A4" w14:textId="77777777" w:rsidR="008528C7" w:rsidRDefault="00292C87" w:rsidP="00A45200">
            <w:pPr>
              <w:pStyle w:val="NormalWeb"/>
              <w:spacing w:line="150" w:lineRule="atLeast"/>
              <w:jc w:val="center"/>
            </w:pPr>
            <w:hyperlink r:id="rId25" w:history="1">
              <w:r w:rsidR="008528C7" w:rsidRPr="00E17A08">
                <w:rPr>
                  <w:rStyle w:val="Hyperlink"/>
                </w:rPr>
                <w:t xml:space="preserve">Rule 275 </w:t>
              </w:r>
              <w:r w:rsidR="00A45200">
                <w:rPr>
                  <w:rStyle w:val="Hyperlink"/>
                </w:rPr>
                <w:t>§</w:t>
              </w:r>
              <w:r w:rsidR="008528C7" w:rsidRPr="00E17A08">
                <w:rPr>
                  <w:rStyle w:val="Hyperlink"/>
                </w:rPr>
                <w:t>8 (A)(5)</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A5" w14:textId="77777777" w:rsidR="00E92713" w:rsidRDefault="00E92713" w:rsidP="00E92713">
            <w:pPr>
              <w:tabs>
                <w:tab w:val="left" w:pos="0"/>
                <w:tab w:val="left" w:pos="720"/>
                <w:tab w:val="left" w:pos="1440"/>
              </w:tabs>
              <w:ind w:left="2160" w:hanging="2160"/>
            </w:pPr>
            <w:r w:rsidRPr="00497773">
              <w:t>Each Medi</w:t>
            </w:r>
            <w:r>
              <w:t>care supplement policy shall be</w:t>
            </w:r>
          </w:p>
          <w:p w14:paraId="1F8ADDA6" w14:textId="77777777" w:rsidR="008528C7" w:rsidRDefault="00E92713" w:rsidP="00E92713">
            <w:pPr>
              <w:rPr>
                <w:sz w:val="16"/>
              </w:rPr>
            </w:pPr>
            <w:r w:rsidRPr="00497773">
              <w:t>guaranteed renewable.</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A7" w14:textId="77777777" w:rsidR="008528C7" w:rsidRDefault="008528C7" w:rsidP="00652469">
            <w:pPr>
              <w:rPr>
                <w:b/>
                <w:snapToGrid w:val="0"/>
                <w:color w:val="000000"/>
                <w:sz w:val="18"/>
              </w:rPr>
            </w:pPr>
          </w:p>
        </w:tc>
      </w:tr>
      <w:tr w:rsidR="008528C7" w14:paraId="1F8ADDAD"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A9" w14:textId="77777777" w:rsidR="008528C7" w:rsidRDefault="008528C7" w:rsidP="00B92461">
            <w:pPr>
              <w:pStyle w:val="NormalWeb"/>
            </w:pPr>
            <w:r>
              <w:t xml:space="preserve">Notice of claim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AA" w14:textId="77777777" w:rsidR="008528C7" w:rsidRDefault="00292C87" w:rsidP="0089269E">
            <w:pPr>
              <w:pStyle w:val="NormalWeb"/>
              <w:jc w:val="center"/>
            </w:pPr>
            <w:hyperlink r:id="rId26" w:history="1">
              <w:r w:rsidR="008528C7" w:rsidRPr="00BE3CD4">
                <w:rPr>
                  <w:rStyle w:val="Hyperlink"/>
                </w:rPr>
                <w:t>24-A M.R.S.A. §2709</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AB" w14:textId="77777777" w:rsidR="008528C7" w:rsidRDefault="008528C7" w:rsidP="00B92461">
            <w:pPr>
              <w:pStyle w:val="NormalWeb"/>
            </w:pPr>
            <w:smartTag w:uri="urn:schemas-microsoft-com:office:smarttags" w:element="place">
              <w:smartTag w:uri="urn:schemas-microsoft-com:office:smarttags" w:element="State">
                <w:r>
                  <w:t>Maine</w:t>
                </w:r>
              </w:smartTag>
            </w:smartTag>
            <w:r>
              <w:t xml:space="preserve"> requires the notice of claim provision to give the insured the option of sending notice to any authorized agent of the company or to the company at the stated address. Notice to the agent is deemed notice to the insurer under this section.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AC" w14:textId="77777777" w:rsidR="008528C7" w:rsidRDefault="008528C7" w:rsidP="00652469">
            <w:pPr>
              <w:rPr>
                <w:b/>
                <w:snapToGrid w:val="0"/>
                <w:color w:val="000000"/>
                <w:sz w:val="18"/>
              </w:rPr>
            </w:pPr>
          </w:p>
        </w:tc>
      </w:tr>
      <w:tr w:rsidR="008528C7" w14:paraId="1F8ADDB2"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AE" w14:textId="77777777" w:rsidR="008528C7" w:rsidRDefault="008528C7" w:rsidP="00B92461">
            <w:pPr>
              <w:pStyle w:val="NormalWeb"/>
            </w:pPr>
            <w:r>
              <w:t xml:space="preserve">Payment of claims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AF" w14:textId="77777777" w:rsidR="008528C7" w:rsidRDefault="00292C87" w:rsidP="00A45200">
            <w:pPr>
              <w:pStyle w:val="NormalWeb"/>
              <w:jc w:val="center"/>
            </w:pPr>
            <w:hyperlink r:id="rId27" w:history="1">
              <w:r w:rsidR="008528C7" w:rsidRPr="00B92461">
                <w:rPr>
                  <w:rStyle w:val="Hyperlink"/>
                </w:rPr>
                <w:t>Rule 275, §13</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B0" w14:textId="77777777" w:rsidR="008528C7" w:rsidRDefault="008528C7" w:rsidP="00B92461">
            <w:pPr>
              <w:pStyle w:val="NormalWeb"/>
            </w:pPr>
            <w:r>
              <w:t>An issuer shall comply with Section 1882(c)(3) of the Social Security Act (as enacted by Section 4081(b)(2)(C) of the Omnibus Budget Reconciliation Act of 1987 (OBRA) 1987, Pub. L. No. 100-203).</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B1" w14:textId="77777777" w:rsidR="008528C7" w:rsidRDefault="008528C7" w:rsidP="00652469">
            <w:pPr>
              <w:rPr>
                <w:b/>
                <w:snapToGrid w:val="0"/>
                <w:color w:val="000000"/>
                <w:sz w:val="18"/>
              </w:rPr>
            </w:pPr>
          </w:p>
        </w:tc>
      </w:tr>
      <w:tr w:rsidR="008528C7" w14:paraId="1F8ADDB8"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B3" w14:textId="77777777" w:rsidR="008528C7" w:rsidRDefault="008528C7" w:rsidP="00B92461">
            <w:pPr>
              <w:pStyle w:val="NormalWeb"/>
              <w:spacing w:line="150" w:lineRule="atLeast"/>
            </w:pPr>
            <w:r>
              <w:t xml:space="preserve">Permitted Commissions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B4" w14:textId="77777777" w:rsidR="008528C7" w:rsidRDefault="00292C87" w:rsidP="00A45200">
            <w:pPr>
              <w:pStyle w:val="NormalWeb"/>
              <w:spacing w:line="150" w:lineRule="atLeast"/>
              <w:jc w:val="center"/>
            </w:pPr>
            <w:hyperlink r:id="rId28" w:history="1">
              <w:r w:rsidR="008528C7" w:rsidRPr="00E17A08">
                <w:rPr>
                  <w:rStyle w:val="Hyperlink"/>
                </w:rPr>
                <w:t>Rule 275</w:t>
              </w:r>
              <w:r w:rsidR="00A45200">
                <w:rPr>
                  <w:rStyle w:val="Hyperlink"/>
                </w:rPr>
                <w:t>, §</w:t>
              </w:r>
              <w:r w:rsidR="008528C7" w:rsidRPr="00E17A08">
                <w:rPr>
                  <w:rStyle w:val="Hyperlink"/>
                </w:rPr>
                <w:t>16</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B5" w14:textId="77777777" w:rsidR="008528C7" w:rsidRDefault="008528C7" w:rsidP="00B92461">
            <w:pPr>
              <w:pStyle w:val="NormalWeb"/>
            </w:pPr>
            <w:r>
              <w:t>First year commission is no more than two-hundred percent (200%) of the commission paid for selling or servicing the policy in the second year.</w:t>
            </w:r>
          </w:p>
          <w:p w14:paraId="1F8ADDB6" w14:textId="77777777" w:rsidR="008528C7" w:rsidRDefault="008528C7" w:rsidP="00B92461">
            <w:pPr>
              <w:pStyle w:val="NormalWeb"/>
              <w:spacing w:line="150" w:lineRule="atLeast"/>
            </w:pPr>
            <w:r>
              <w:t>The commission provided in subsequent (renewal) years must be the same as that provided in the second year or period and must be provided for no fewer than five (5) renewal years.</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B7" w14:textId="77777777" w:rsidR="008528C7" w:rsidRDefault="008528C7" w:rsidP="00652469">
            <w:pPr>
              <w:rPr>
                <w:b/>
                <w:snapToGrid w:val="0"/>
                <w:color w:val="000000"/>
                <w:sz w:val="18"/>
              </w:rPr>
            </w:pPr>
          </w:p>
        </w:tc>
      </w:tr>
      <w:tr w:rsidR="008528C7" w14:paraId="1F8ADDBE"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B9" w14:textId="77777777" w:rsidR="008528C7" w:rsidRDefault="008528C7" w:rsidP="00B92461">
            <w:pPr>
              <w:pStyle w:val="NormalWeb"/>
              <w:spacing w:line="150" w:lineRule="atLeast"/>
            </w:pPr>
            <w:r>
              <w:t xml:space="preserve">Pre-existing Conditions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BA" w14:textId="77777777" w:rsidR="00A45200" w:rsidRDefault="00292C87" w:rsidP="0089269E">
            <w:pPr>
              <w:pStyle w:val="NormalWeb"/>
              <w:spacing w:line="150" w:lineRule="atLeast"/>
              <w:jc w:val="center"/>
            </w:pPr>
            <w:hyperlink r:id="rId29" w:history="1">
              <w:r w:rsidR="008528C7" w:rsidRPr="00BE3CD4">
                <w:rPr>
                  <w:rStyle w:val="Hyperlink"/>
                </w:rPr>
                <w:t>24-A M.R.S.A. §5002-A</w:t>
              </w:r>
            </w:hyperlink>
          </w:p>
          <w:p w14:paraId="1F8ADDBB" w14:textId="77777777" w:rsidR="008528C7" w:rsidRDefault="00292C87" w:rsidP="00A45200">
            <w:pPr>
              <w:pStyle w:val="NormalWeb"/>
              <w:spacing w:line="150" w:lineRule="atLeast"/>
              <w:jc w:val="center"/>
            </w:pPr>
            <w:hyperlink r:id="rId30" w:history="1">
              <w:r w:rsidR="008528C7" w:rsidRPr="00E17A08">
                <w:rPr>
                  <w:rStyle w:val="Hyperlink"/>
                </w:rPr>
                <w:t>Rule 275</w:t>
              </w:r>
              <w:r w:rsidR="00A45200">
                <w:rPr>
                  <w:rStyle w:val="Hyperlink"/>
                </w:rPr>
                <w:t>, §</w:t>
              </w:r>
              <w:r w:rsidR="008528C7" w:rsidRPr="00E17A08">
                <w:rPr>
                  <w:rStyle w:val="Hyperlink"/>
                </w:rPr>
                <w:t>8 (A)(1)</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BC" w14:textId="77777777" w:rsidR="008528C7" w:rsidRDefault="008528C7" w:rsidP="00B92461">
            <w:pPr>
              <w:pStyle w:val="NormalWeb"/>
              <w:spacing w:line="150" w:lineRule="atLeast"/>
            </w:pPr>
            <w:r>
              <w:t xml:space="preserve">No more than 6 months.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BD" w14:textId="77777777" w:rsidR="008528C7" w:rsidRDefault="008528C7" w:rsidP="00652469">
            <w:pPr>
              <w:rPr>
                <w:b/>
                <w:snapToGrid w:val="0"/>
                <w:color w:val="000000"/>
                <w:sz w:val="18"/>
              </w:rPr>
            </w:pPr>
          </w:p>
        </w:tc>
      </w:tr>
      <w:tr w:rsidR="00C55515" w14:paraId="1F8ADDCC"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BF" w14:textId="77777777" w:rsidR="00C55515" w:rsidRPr="001A33E1" w:rsidRDefault="00C55515" w:rsidP="00C55515">
            <w:pPr>
              <w:spacing w:line="150" w:lineRule="atLeast"/>
            </w:pPr>
            <w:r w:rsidRPr="001A33E1">
              <w:t>Rebates</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C0" w14:textId="77777777" w:rsidR="00C55515" w:rsidRPr="001A33E1" w:rsidRDefault="00292C87" w:rsidP="00C55515">
            <w:pPr>
              <w:spacing w:line="150" w:lineRule="atLeast"/>
              <w:jc w:val="center"/>
            </w:pPr>
            <w:hyperlink r:id="rId31" w:history="1">
              <w:r w:rsidR="00C55515" w:rsidRPr="008216DA">
                <w:rPr>
                  <w:rStyle w:val="Hyperlink"/>
                </w:rPr>
                <w:t>§2160</w:t>
              </w:r>
            </w:hyperlink>
          </w:p>
          <w:p w14:paraId="1F8ADDC1" w14:textId="77777777" w:rsidR="00C55515" w:rsidRPr="001A33E1" w:rsidRDefault="00C55515" w:rsidP="00C55515">
            <w:pPr>
              <w:spacing w:line="150" w:lineRule="atLeast"/>
              <w:jc w:val="center"/>
            </w:pPr>
          </w:p>
          <w:p w14:paraId="1F8ADDC2" w14:textId="77777777" w:rsidR="00C55515" w:rsidRPr="001A33E1" w:rsidRDefault="00292C87" w:rsidP="00C55515">
            <w:pPr>
              <w:spacing w:line="150" w:lineRule="atLeast"/>
              <w:jc w:val="center"/>
            </w:pPr>
            <w:hyperlink r:id="rId32" w:history="1">
              <w:r w:rsidR="00C55515" w:rsidRPr="008216DA">
                <w:rPr>
                  <w:rStyle w:val="Hyperlink"/>
                </w:rPr>
                <w:t>§2163-A</w:t>
              </w:r>
            </w:hyperlink>
          </w:p>
          <w:p w14:paraId="1F8ADDC3" w14:textId="77777777" w:rsidR="00C55515" w:rsidRPr="001A33E1" w:rsidRDefault="00C55515" w:rsidP="00C55515">
            <w:pPr>
              <w:spacing w:line="150" w:lineRule="atLeast"/>
              <w:jc w:val="center"/>
            </w:pPr>
          </w:p>
          <w:p w14:paraId="1F8ADDC4" w14:textId="0559B32C" w:rsidR="00C55515" w:rsidRPr="001A33E1" w:rsidRDefault="00292C87" w:rsidP="00C55515">
            <w:pPr>
              <w:spacing w:line="150" w:lineRule="atLeast"/>
              <w:jc w:val="center"/>
            </w:pPr>
            <w:hyperlink r:id="rId33" w:history="1">
              <w:r w:rsidR="00C55515" w:rsidRPr="008216DA">
                <w:rPr>
                  <w:rStyle w:val="Hyperlink"/>
                </w:rPr>
                <w:t>Bulletin 382</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C5" w14:textId="77777777" w:rsidR="00C55515" w:rsidRPr="001A33E1" w:rsidRDefault="00C55515" w:rsidP="00C55515">
            <w:pPr>
              <w:rPr>
                <w:snapToGrid w:val="0"/>
                <w:color w:val="000000"/>
              </w:rPr>
            </w:pPr>
            <w:r w:rsidRPr="001A33E1">
              <w:rPr>
                <w:snapToGrid w:val="0"/>
                <w:color w:val="000000"/>
              </w:rPr>
              <w:lastRenderedPageBreak/>
              <w:t>Are there any provisions that give the insured a benefit not associated with indemnification or loss?”</w:t>
            </w:r>
          </w:p>
          <w:p w14:paraId="1F8ADDC6" w14:textId="77777777" w:rsidR="00C55515" w:rsidRPr="001A33E1" w:rsidRDefault="00C55515" w:rsidP="00C55515">
            <w:pPr>
              <w:rPr>
                <w:snapToGrid w:val="0"/>
                <w:color w:val="000000"/>
              </w:rPr>
            </w:pPr>
          </w:p>
          <w:p w14:paraId="1F8ADDC7" w14:textId="77777777" w:rsidR="00C55515" w:rsidRPr="001A33E1" w:rsidRDefault="00C55515" w:rsidP="00C55515">
            <w:pPr>
              <w:rPr>
                <w:snapToGrid w:val="0"/>
                <w:color w:val="000000"/>
              </w:rPr>
            </w:pPr>
            <w:r w:rsidRPr="001A33E1">
              <w:rPr>
                <w:snapToGrid w:val="0"/>
                <w:color w:val="000000"/>
              </w:rPr>
              <w:t>Yes ___</w:t>
            </w:r>
          </w:p>
          <w:p w14:paraId="1F8ADDC8" w14:textId="77777777" w:rsidR="00C55515" w:rsidRPr="001A33E1" w:rsidRDefault="00C55515" w:rsidP="00C55515">
            <w:pPr>
              <w:rPr>
                <w:snapToGrid w:val="0"/>
                <w:color w:val="000000"/>
              </w:rPr>
            </w:pPr>
          </w:p>
          <w:p w14:paraId="1F8ADDC9" w14:textId="77777777" w:rsidR="00C55515" w:rsidRPr="001A33E1" w:rsidRDefault="00C55515" w:rsidP="00C55515">
            <w:pPr>
              <w:rPr>
                <w:snapToGrid w:val="0"/>
                <w:color w:val="000000"/>
              </w:rPr>
            </w:pPr>
            <w:r w:rsidRPr="001A33E1">
              <w:rPr>
                <w:snapToGrid w:val="0"/>
                <w:color w:val="000000"/>
              </w:rPr>
              <w:t>No ___</w:t>
            </w:r>
          </w:p>
          <w:p w14:paraId="1F8ADDCA" w14:textId="77777777" w:rsidR="00C55515" w:rsidRPr="001A33E1" w:rsidRDefault="00C55515" w:rsidP="00C55515">
            <w:pPr>
              <w:spacing w:line="150" w:lineRule="atLeast"/>
            </w:pP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CB" w14:textId="77777777" w:rsidR="00C55515" w:rsidRDefault="00C55515" w:rsidP="00C55515">
            <w:pPr>
              <w:rPr>
                <w:b/>
                <w:snapToGrid w:val="0"/>
                <w:color w:val="000000"/>
                <w:sz w:val="18"/>
              </w:rPr>
            </w:pPr>
          </w:p>
        </w:tc>
      </w:tr>
      <w:tr w:rsidR="008528C7" w14:paraId="1F8ADDD1"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CD" w14:textId="77777777" w:rsidR="008528C7" w:rsidRDefault="008528C7" w:rsidP="00B92461">
            <w:pPr>
              <w:pStyle w:val="NormalWeb"/>
            </w:pPr>
            <w:r>
              <w:t xml:space="preserve">Required Disclosure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CE" w14:textId="77777777" w:rsidR="008528C7" w:rsidRDefault="00292C87" w:rsidP="0089269E">
            <w:pPr>
              <w:pStyle w:val="NormalWeb"/>
              <w:jc w:val="center"/>
            </w:pPr>
            <w:hyperlink r:id="rId34" w:history="1">
              <w:r w:rsidR="008528C7" w:rsidRPr="00E17A08">
                <w:rPr>
                  <w:rStyle w:val="Hyperlink"/>
                </w:rPr>
                <w:t>Rule 275</w:t>
              </w:r>
              <w:r w:rsidR="00A45200">
                <w:rPr>
                  <w:rStyle w:val="Hyperlink"/>
                </w:rPr>
                <w:t xml:space="preserve">, </w:t>
              </w:r>
              <w:r w:rsidR="008528C7" w:rsidRPr="00E17A08">
                <w:rPr>
                  <w:rStyle w:val="Hyperlink"/>
                </w:rPr>
                <w:t xml:space="preserve"> Sec. 17</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CF" w14:textId="77777777" w:rsidR="008528C7" w:rsidRDefault="008528C7" w:rsidP="00E92713">
            <w:pPr>
              <w:pStyle w:val="NormalWeb"/>
            </w:pPr>
            <w:r>
              <w:t xml:space="preserve">Shall have a notice prominently printed on the first page of the policy stating that the policyholder has the right to return the policy within thirty (30) days of its delivery and to have the premium refunded if, after examination of the policy. Issuers shall provide an outline of coverage.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D0" w14:textId="77777777" w:rsidR="008528C7" w:rsidRDefault="008528C7" w:rsidP="00652469">
            <w:pPr>
              <w:rPr>
                <w:b/>
                <w:snapToGrid w:val="0"/>
                <w:color w:val="000000"/>
                <w:sz w:val="18"/>
              </w:rPr>
            </w:pPr>
          </w:p>
        </w:tc>
      </w:tr>
      <w:tr w:rsidR="008528C7" w14:paraId="1F8ADDD7"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D2" w14:textId="77777777" w:rsidR="008528C7" w:rsidRPr="00654843" w:rsidRDefault="008528C7" w:rsidP="009072EF">
            <w:pPr>
              <w:pStyle w:val="NormalWeb"/>
              <w:spacing w:line="150" w:lineRule="atLeast"/>
            </w:pPr>
            <w:r w:rsidRPr="00654843">
              <w:t>Third Party Notice, Cancellation and Reinstatement</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D3" w14:textId="77777777" w:rsidR="000F1CA8" w:rsidRDefault="008528C7" w:rsidP="000F1CA8">
            <w:pPr>
              <w:pStyle w:val="NormalWeb"/>
              <w:spacing w:line="150" w:lineRule="atLeast"/>
              <w:jc w:val="center"/>
              <w:rPr>
                <w:color w:val="0000FF"/>
              </w:rPr>
            </w:pPr>
            <w:r w:rsidRPr="00630A97">
              <w:rPr>
                <w:color w:val="0000FF"/>
                <w:u w:val="single"/>
              </w:rPr>
              <w:t xml:space="preserve">24-A M.R.S.A. </w:t>
            </w:r>
            <w:hyperlink r:id="rId35" w:history="1">
              <w:r w:rsidRPr="00630A97">
                <w:rPr>
                  <w:rStyle w:val="Hyperlink"/>
                </w:rPr>
                <w:t>§</w:t>
              </w:r>
              <w:r>
                <w:rPr>
                  <w:rStyle w:val="Hyperlink"/>
                </w:rPr>
                <w:t>5016</w:t>
              </w:r>
            </w:hyperlink>
          </w:p>
          <w:p w14:paraId="1F8ADDD4" w14:textId="77777777" w:rsidR="008528C7" w:rsidRPr="009072EF" w:rsidRDefault="00292C87" w:rsidP="000F1CA8">
            <w:pPr>
              <w:pStyle w:val="NormalWeb"/>
              <w:spacing w:line="150" w:lineRule="atLeast"/>
              <w:jc w:val="center"/>
              <w:rPr>
                <w:color w:val="FF0000"/>
              </w:rPr>
            </w:pPr>
            <w:hyperlink r:id="rId36" w:history="1">
              <w:r w:rsidR="000F1CA8" w:rsidRPr="00B92461">
                <w:rPr>
                  <w:rStyle w:val="Hyperlink"/>
                </w:rPr>
                <w:t xml:space="preserve">Rule </w:t>
              </w:r>
              <w:r w:rsidR="000F1CA8">
                <w:rPr>
                  <w:rStyle w:val="Hyperlink"/>
                </w:rPr>
                <w:t>580</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D5" w14:textId="77777777" w:rsidR="008528C7" w:rsidRPr="00654843" w:rsidRDefault="008528C7" w:rsidP="009072EF">
            <w:pPr>
              <w:pStyle w:val="NormalWeb"/>
              <w:spacing w:line="150" w:lineRule="atLeast"/>
            </w:pPr>
            <w:r w:rsidRPr="00654843">
              <w:t>Third party notice of cancellation and reinstatement for cognitive impairment or functional incapacity.</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D6" w14:textId="77777777" w:rsidR="008528C7" w:rsidRDefault="008528C7" w:rsidP="009072EF">
            <w:pPr>
              <w:pStyle w:val="NormalWeb"/>
              <w:spacing w:line="150" w:lineRule="atLeast"/>
            </w:pPr>
          </w:p>
        </w:tc>
      </w:tr>
      <w:tr w:rsidR="008528C7" w14:paraId="1F8ADDDC" w14:textId="77777777" w:rsidTr="00C55515">
        <w:trPr>
          <w:trHeight w:val="194"/>
        </w:trPr>
        <w:tc>
          <w:tcPr>
            <w:tcW w:w="2970" w:type="dxa"/>
            <w:tcBorders>
              <w:top w:val="single" w:sz="6" w:space="0" w:color="auto"/>
              <w:left w:val="single" w:sz="6" w:space="0" w:color="auto"/>
              <w:bottom w:val="single" w:sz="6" w:space="0" w:color="auto"/>
              <w:right w:val="single" w:sz="2" w:space="0" w:color="000000"/>
            </w:tcBorders>
            <w:shd w:val="solid" w:color="FFFFFF" w:fill="auto"/>
          </w:tcPr>
          <w:p w14:paraId="1F8ADDD8" w14:textId="77777777" w:rsidR="008528C7" w:rsidRDefault="008528C7" w:rsidP="00B92461">
            <w:pPr>
              <w:pStyle w:val="NormalWeb"/>
              <w:spacing w:line="150" w:lineRule="atLeast"/>
            </w:pPr>
            <w:r>
              <w:t xml:space="preserve">Time limit on certain defenses </w:t>
            </w:r>
          </w:p>
        </w:tc>
        <w:tc>
          <w:tcPr>
            <w:tcW w:w="2160" w:type="dxa"/>
            <w:tcBorders>
              <w:top w:val="single" w:sz="6" w:space="0" w:color="auto"/>
              <w:left w:val="single" w:sz="2" w:space="0" w:color="000000"/>
              <w:bottom w:val="single" w:sz="6" w:space="0" w:color="auto"/>
              <w:right w:val="single" w:sz="2" w:space="0" w:color="000000"/>
            </w:tcBorders>
            <w:shd w:val="solid" w:color="FFFFFF" w:fill="auto"/>
          </w:tcPr>
          <w:p w14:paraId="1F8ADDD9" w14:textId="77777777" w:rsidR="008528C7" w:rsidRDefault="00292C87" w:rsidP="0089269E">
            <w:pPr>
              <w:pStyle w:val="NormalWeb"/>
              <w:spacing w:line="150" w:lineRule="atLeast"/>
              <w:jc w:val="center"/>
            </w:pPr>
            <w:hyperlink r:id="rId37" w:history="1">
              <w:r w:rsidR="008528C7" w:rsidRPr="00BE3CD4">
                <w:rPr>
                  <w:rStyle w:val="Hyperlink"/>
                </w:rPr>
                <w:t>24-A M.R.S.A. §2706</w:t>
              </w:r>
            </w:hyperlink>
          </w:p>
        </w:tc>
        <w:tc>
          <w:tcPr>
            <w:tcW w:w="5940" w:type="dxa"/>
            <w:gridSpan w:val="2"/>
            <w:tcBorders>
              <w:top w:val="single" w:sz="6" w:space="0" w:color="auto"/>
              <w:left w:val="single" w:sz="2" w:space="0" w:color="000000"/>
              <w:bottom w:val="single" w:sz="6" w:space="0" w:color="auto"/>
              <w:right w:val="single" w:sz="2" w:space="0" w:color="000000"/>
            </w:tcBorders>
            <w:shd w:val="solid" w:color="FFFFFF" w:fill="auto"/>
          </w:tcPr>
          <w:p w14:paraId="1F8ADDDA" w14:textId="77777777" w:rsidR="008528C7" w:rsidRDefault="008528C7" w:rsidP="00B92461">
            <w:pPr>
              <w:pStyle w:val="NormalWeb"/>
              <w:spacing w:line="150" w:lineRule="atLeast"/>
            </w:pPr>
            <w:smartTag w:uri="urn:schemas-microsoft-com:office:smarttags" w:element="place">
              <w:smartTag w:uri="urn:schemas-microsoft-com:office:smarttags" w:element="State">
                <w:r>
                  <w:t>Maine</w:t>
                </w:r>
              </w:smartTag>
            </w:smartTag>
            <w:r>
              <w:t xml:space="preserve">'s contestable period for health insurance policies is 3 years from the date of issue. </w:t>
            </w:r>
          </w:p>
        </w:tc>
        <w:tc>
          <w:tcPr>
            <w:tcW w:w="3330" w:type="dxa"/>
            <w:tcBorders>
              <w:top w:val="single" w:sz="6" w:space="0" w:color="auto"/>
              <w:left w:val="single" w:sz="2" w:space="0" w:color="000000"/>
              <w:bottom w:val="single" w:sz="6" w:space="0" w:color="auto"/>
              <w:right w:val="single" w:sz="2" w:space="0" w:color="000000"/>
            </w:tcBorders>
            <w:shd w:val="solid" w:color="FFFFFF" w:fill="auto"/>
          </w:tcPr>
          <w:p w14:paraId="1F8ADDDB" w14:textId="77777777" w:rsidR="008528C7" w:rsidRDefault="008528C7" w:rsidP="00652469">
            <w:pPr>
              <w:rPr>
                <w:b/>
                <w:snapToGrid w:val="0"/>
                <w:color w:val="000000"/>
                <w:sz w:val="18"/>
              </w:rPr>
            </w:pPr>
          </w:p>
        </w:tc>
      </w:tr>
    </w:tbl>
    <w:p w14:paraId="1F8ADDDD" w14:textId="77777777" w:rsidR="00C620BB" w:rsidRPr="001357F2" w:rsidRDefault="00C620BB">
      <w:pPr>
        <w:rPr>
          <w:rFonts w:ascii="Arial" w:hAnsi="Arial" w:cs="Arial"/>
        </w:rPr>
      </w:pPr>
    </w:p>
    <w:sectPr w:rsidR="00C620BB" w:rsidRPr="001357F2" w:rsidSect="008528C7">
      <w:footerReference w:type="default" r:id="rId38"/>
      <w:pgSz w:w="15840" w:h="12240" w:orient="landscape" w:code="1"/>
      <w:pgMar w:top="720" w:right="1440" w:bottom="72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8ADDE0" w14:textId="77777777" w:rsidR="003205C9" w:rsidRDefault="003205C9" w:rsidP="005B3755">
      <w:r>
        <w:separator/>
      </w:r>
    </w:p>
  </w:endnote>
  <w:endnote w:type="continuationSeparator" w:id="0">
    <w:p w14:paraId="1F8ADDE1" w14:textId="77777777" w:rsidR="003205C9" w:rsidRDefault="003205C9" w:rsidP="005B37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8ADDE2" w14:textId="77777777" w:rsidR="005B3755" w:rsidRDefault="005B3755">
    <w:pPr>
      <w:pStyle w:val="Footer"/>
      <w:jc w:val="right"/>
    </w:pPr>
    <w:r>
      <w:t xml:space="preserve">Page </w:t>
    </w:r>
    <w:r>
      <w:rPr>
        <w:b/>
        <w:bCs/>
      </w:rPr>
      <w:fldChar w:fldCharType="begin"/>
    </w:r>
    <w:r>
      <w:rPr>
        <w:b/>
        <w:bCs/>
      </w:rPr>
      <w:instrText xml:space="preserve"> PAGE </w:instrText>
    </w:r>
    <w:r>
      <w:rPr>
        <w:b/>
        <w:bCs/>
      </w:rPr>
      <w:fldChar w:fldCharType="separate"/>
    </w:r>
    <w:r w:rsidR="00C55515">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C55515">
      <w:rPr>
        <w:b/>
        <w:bCs/>
        <w:noProof/>
      </w:rPr>
      <w:t>5</w:t>
    </w:r>
    <w:r>
      <w:rPr>
        <w:b/>
        <w:bCs/>
      </w:rPr>
      <w:fldChar w:fldCharType="end"/>
    </w:r>
  </w:p>
  <w:p w14:paraId="1F8ADDE3" w14:textId="77777777" w:rsidR="005B3755" w:rsidRDefault="005B37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8ADDDE" w14:textId="77777777" w:rsidR="003205C9" w:rsidRDefault="003205C9" w:rsidP="005B3755">
      <w:r>
        <w:separator/>
      </w:r>
    </w:p>
  </w:footnote>
  <w:footnote w:type="continuationSeparator" w:id="0">
    <w:p w14:paraId="1F8ADDDF" w14:textId="77777777" w:rsidR="003205C9" w:rsidRDefault="003205C9" w:rsidP="005B37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0BB"/>
    <w:rsid w:val="000618E6"/>
    <w:rsid w:val="000F1CA8"/>
    <w:rsid w:val="00124497"/>
    <w:rsid w:val="001357F2"/>
    <w:rsid w:val="001652B0"/>
    <w:rsid w:val="00292C87"/>
    <w:rsid w:val="003205C9"/>
    <w:rsid w:val="00372456"/>
    <w:rsid w:val="00434DE0"/>
    <w:rsid w:val="005114C6"/>
    <w:rsid w:val="00565A4E"/>
    <w:rsid w:val="005B3755"/>
    <w:rsid w:val="00652469"/>
    <w:rsid w:val="00654843"/>
    <w:rsid w:val="00727559"/>
    <w:rsid w:val="0075245E"/>
    <w:rsid w:val="00752CA3"/>
    <w:rsid w:val="007631D3"/>
    <w:rsid w:val="00805DE4"/>
    <w:rsid w:val="00823C06"/>
    <w:rsid w:val="00824384"/>
    <w:rsid w:val="008528C7"/>
    <w:rsid w:val="0089269E"/>
    <w:rsid w:val="009072EF"/>
    <w:rsid w:val="00921E30"/>
    <w:rsid w:val="00970625"/>
    <w:rsid w:val="00A45200"/>
    <w:rsid w:val="00B92461"/>
    <w:rsid w:val="00BE3CD4"/>
    <w:rsid w:val="00BF297D"/>
    <w:rsid w:val="00C0231B"/>
    <w:rsid w:val="00C32F1C"/>
    <w:rsid w:val="00C55515"/>
    <w:rsid w:val="00C620BB"/>
    <w:rsid w:val="00CC01BC"/>
    <w:rsid w:val="00CF3C52"/>
    <w:rsid w:val="00D6421A"/>
    <w:rsid w:val="00E17A08"/>
    <w:rsid w:val="00E739E0"/>
    <w:rsid w:val="00E92713"/>
    <w:rsid w:val="00ED441D"/>
    <w:rsid w:val="00F0072A"/>
    <w:rsid w:val="00F067AD"/>
    <w:rsid w:val="00F26F45"/>
    <w:rsid w:val="00FB2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F8ADD43"/>
  <w15:chartTrackingRefBased/>
  <w15:docId w15:val="{D0D0B7BB-12E4-4693-AFA2-B1606DE5B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2469"/>
    <w:rPr>
      <w:sz w:val="24"/>
      <w:szCs w:val="24"/>
    </w:rPr>
  </w:style>
  <w:style w:type="paragraph" w:styleId="Heading1">
    <w:name w:val="heading 1"/>
    <w:basedOn w:val="Normal"/>
    <w:next w:val="Normal"/>
    <w:link w:val="Heading1Char"/>
    <w:qFormat/>
    <w:rsid w:val="00652469"/>
    <w:pPr>
      <w:keepNext/>
      <w:jc w:val="center"/>
      <w:outlineLvl w:val="0"/>
    </w:pPr>
    <w:rPr>
      <w:rFonts w:ascii="Arial" w:hAnsi="Arial"/>
      <w:b/>
      <w:snapToGrid w:val="0"/>
      <w:color w:val="000000"/>
      <w:sz w:val="21"/>
      <w:szCs w:val="20"/>
    </w:rPr>
  </w:style>
  <w:style w:type="paragraph" w:styleId="Heading2">
    <w:name w:val="heading 2"/>
    <w:basedOn w:val="Normal"/>
    <w:next w:val="Normal"/>
    <w:qFormat/>
    <w:rsid w:val="00652469"/>
    <w:pPr>
      <w:keepNext/>
      <w:outlineLvl w:val="1"/>
    </w:pPr>
    <w:rPr>
      <w:rFonts w:ascii="Arial" w:hAnsi="Arial"/>
      <w:b/>
      <w:snapToGrid w:val="0"/>
      <w:color w:val="000000"/>
      <w:sz w:val="17"/>
      <w:szCs w:val="20"/>
    </w:rPr>
  </w:style>
  <w:style w:type="paragraph" w:styleId="Heading3">
    <w:name w:val="heading 3"/>
    <w:basedOn w:val="Normal"/>
    <w:next w:val="Normal"/>
    <w:link w:val="Heading3Char"/>
    <w:qFormat/>
    <w:rsid w:val="00652469"/>
    <w:pPr>
      <w:keepNext/>
      <w:jc w:val="center"/>
      <w:outlineLvl w:val="2"/>
    </w:pPr>
    <w:rPr>
      <w:rFonts w:ascii="Arial" w:hAnsi="Arial"/>
      <w:b/>
      <w:snapToGrid w:val="0"/>
      <w:color w:val="000000"/>
      <w:sz w:val="18"/>
    </w:rPr>
  </w:style>
  <w:style w:type="paragraph" w:styleId="Heading4">
    <w:name w:val="heading 4"/>
    <w:basedOn w:val="Normal"/>
    <w:next w:val="Normal"/>
    <w:qFormat/>
    <w:rsid w:val="00652469"/>
    <w:pPr>
      <w:keepNext/>
      <w:jc w:val="center"/>
      <w:outlineLvl w:val="3"/>
    </w:pPr>
    <w:rPr>
      <w:b/>
      <w:bCs/>
    </w:rPr>
  </w:style>
  <w:style w:type="paragraph" w:styleId="Heading7">
    <w:name w:val="heading 7"/>
    <w:basedOn w:val="Normal"/>
    <w:next w:val="Normal"/>
    <w:qFormat/>
    <w:rsid w:val="00652469"/>
    <w:pPr>
      <w:keepNext/>
      <w:jc w:val="center"/>
      <w:outlineLvl w:val="6"/>
    </w:pPr>
    <w:rPr>
      <w:rFonts w:ascii="Arial" w:hAnsi="Arial"/>
      <w:b/>
      <w:snapToGrid w:val="0"/>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652B0"/>
    <w:rPr>
      <w:color w:val="0000FF"/>
      <w:u w:val="single"/>
    </w:rPr>
  </w:style>
  <w:style w:type="character" w:styleId="FollowedHyperlink">
    <w:name w:val="FollowedHyperlink"/>
    <w:rsid w:val="001652B0"/>
    <w:rPr>
      <w:color w:val="606420"/>
      <w:u w:val="single"/>
    </w:rPr>
  </w:style>
  <w:style w:type="paragraph" w:styleId="NormalWeb">
    <w:name w:val="Normal (Web)"/>
    <w:basedOn w:val="Normal"/>
    <w:rsid w:val="00E739E0"/>
    <w:pPr>
      <w:spacing w:before="100" w:beforeAutospacing="1" w:after="100" w:afterAutospacing="1"/>
    </w:pPr>
  </w:style>
  <w:style w:type="paragraph" w:styleId="BalloonText">
    <w:name w:val="Balloon Text"/>
    <w:basedOn w:val="Normal"/>
    <w:semiHidden/>
    <w:rsid w:val="00124497"/>
    <w:rPr>
      <w:rFonts w:ascii="Tahoma" w:hAnsi="Tahoma" w:cs="Tahoma"/>
      <w:sz w:val="16"/>
      <w:szCs w:val="16"/>
    </w:rPr>
  </w:style>
  <w:style w:type="character" w:customStyle="1" w:styleId="Heading1Char">
    <w:name w:val="Heading 1 Char"/>
    <w:link w:val="Heading1"/>
    <w:rsid w:val="008528C7"/>
    <w:rPr>
      <w:rFonts w:ascii="Arial" w:hAnsi="Arial"/>
      <w:b/>
      <w:snapToGrid w:val="0"/>
      <w:color w:val="000000"/>
      <w:sz w:val="21"/>
    </w:rPr>
  </w:style>
  <w:style w:type="character" w:customStyle="1" w:styleId="Heading3Char">
    <w:name w:val="Heading 3 Char"/>
    <w:link w:val="Heading3"/>
    <w:rsid w:val="008528C7"/>
    <w:rPr>
      <w:rFonts w:ascii="Arial" w:hAnsi="Arial"/>
      <w:b/>
      <w:snapToGrid w:val="0"/>
      <w:color w:val="000000"/>
      <w:sz w:val="18"/>
      <w:szCs w:val="24"/>
    </w:rPr>
  </w:style>
  <w:style w:type="paragraph" w:styleId="Header">
    <w:name w:val="header"/>
    <w:basedOn w:val="Normal"/>
    <w:link w:val="HeaderChar"/>
    <w:rsid w:val="005B3755"/>
    <w:pPr>
      <w:tabs>
        <w:tab w:val="center" w:pos="4680"/>
        <w:tab w:val="right" w:pos="9360"/>
      </w:tabs>
    </w:pPr>
  </w:style>
  <w:style w:type="character" w:customStyle="1" w:styleId="HeaderChar">
    <w:name w:val="Header Char"/>
    <w:link w:val="Header"/>
    <w:rsid w:val="005B3755"/>
    <w:rPr>
      <w:sz w:val="24"/>
      <w:szCs w:val="24"/>
    </w:rPr>
  </w:style>
  <w:style w:type="paragraph" w:styleId="Footer">
    <w:name w:val="footer"/>
    <w:basedOn w:val="Normal"/>
    <w:link w:val="FooterChar"/>
    <w:uiPriority w:val="99"/>
    <w:rsid w:val="005B3755"/>
    <w:pPr>
      <w:tabs>
        <w:tab w:val="center" w:pos="4680"/>
        <w:tab w:val="right" w:pos="9360"/>
      </w:tabs>
    </w:pPr>
  </w:style>
  <w:style w:type="character" w:customStyle="1" w:styleId="FooterChar">
    <w:name w:val="Footer Char"/>
    <w:link w:val="Footer"/>
    <w:uiPriority w:val="99"/>
    <w:rsid w:val="005B3755"/>
    <w:rPr>
      <w:sz w:val="24"/>
      <w:szCs w:val="24"/>
    </w:rPr>
  </w:style>
  <w:style w:type="character" w:styleId="Strong">
    <w:name w:val="Strong"/>
    <w:uiPriority w:val="22"/>
    <w:qFormat/>
    <w:rsid w:val="00C5551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rff.com" TargetMode="External"/><Relationship Id="rId13" Type="http://schemas.openxmlformats.org/officeDocument/2006/relationships/hyperlink" Target="http://legislature.maine.gov/statutes/24-A/title24-Asec2413.html" TargetMode="External"/><Relationship Id="rId18" Type="http://schemas.openxmlformats.org/officeDocument/2006/relationships/hyperlink" Target="http://legislature.maine.gov/statutes/24-A/title24-Asec5002-B.html" TargetMode="External"/><Relationship Id="rId26" Type="http://schemas.openxmlformats.org/officeDocument/2006/relationships/hyperlink" Target="http://legislature.maine.gov/statutes/24-A/title24-Asec2709.html"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maine.gov/sos/cec/rules/02/031/031c275.doc" TargetMode="External"/><Relationship Id="rId34" Type="http://schemas.openxmlformats.org/officeDocument/2006/relationships/hyperlink" Target="http://www.maine.gov/sos/cec/rules/02/031/031c275.doc" TargetMode="External"/><Relationship Id="rId7" Type="http://schemas.openxmlformats.org/officeDocument/2006/relationships/hyperlink" Target="http://www.maine.gov/pfr/insurance/sites/maine.gov.pfr.insurance/files/inline-files/360_0.pdfhttp:/www.maine.gov/pfr/insurance/sites/maine.gov.pfr.insurance/files/inline-files/360_0.pdf" TargetMode="External"/><Relationship Id="rId12" Type="http://schemas.openxmlformats.org/officeDocument/2006/relationships/hyperlink" Target="http://legislature.maine.gov/statutes/24-A/title24-Asec2412.html" TargetMode="External"/><Relationship Id="rId17" Type="http://schemas.openxmlformats.org/officeDocument/2006/relationships/hyperlink" Target="http://www.maine.gov/sos/cec/rules/02/031/031c275.doc" TargetMode="External"/><Relationship Id="rId25" Type="http://schemas.openxmlformats.org/officeDocument/2006/relationships/hyperlink" Target="http://www.maine.gov/sos/cec/rules/02/031/031c275.doc" TargetMode="External"/><Relationship Id="rId33" Type="http://schemas.openxmlformats.org/officeDocument/2006/relationships/hyperlink" Target="http://www.maine.gov/pfr/insurance/legal/bulletins/pdf/382.pdf" TargetMode="External"/><Relationship Id="rId38"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legislature.maine.gov/statutes/24-A/title24-Asec5002-A.html" TargetMode="External"/><Relationship Id="rId20" Type="http://schemas.openxmlformats.org/officeDocument/2006/relationships/hyperlink" Target="http://www.maine.gov/sos/cec/rules/02/031/031c275.doc" TargetMode="External"/><Relationship Id="rId29" Type="http://schemas.openxmlformats.org/officeDocument/2006/relationships/hyperlink" Target="http://legislature.maine.gov/statutes/24-A/title24-Asec5002-A.html" TargetMode="External"/><Relationship Id="rId1" Type="http://schemas.openxmlformats.org/officeDocument/2006/relationships/styles" Target="styles.xml"/><Relationship Id="rId6" Type="http://schemas.openxmlformats.org/officeDocument/2006/relationships/hyperlink" Target="http://www.mainelegislature.org/legis/statutes/24-A/title24-Asec2412.html" TargetMode="External"/><Relationship Id="rId11" Type="http://schemas.openxmlformats.org/officeDocument/2006/relationships/hyperlink" Target="http://legislature.maine.gov/statutes/24-A/title24-Asec2441.html" TargetMode="External"/><Relationship Id="rId24" Type="http://schemas.openxmlformats.org/officeDocument/2006/relationships/hyperlink" Target="http://www.maine.gov/sos/cec/rules/02/031/031c275.doc" TargetMode="External"/><Relationship Id="rId32" Type="http://schemas.openxmlformats.org/officeDocument/2006/relationships/hyperlink" Target="http://www.mainelegislature.org/legis/statutes/24-A/title24-Asec2163-A.html" TargetMode="External"/><Relationship Id="rId37" Type="http://schemas.openxmlformats.org/officeDocument/2006/relationships/hyperlink" Target="http://legislature.maine.gov/statutes/24-A/title24-Asec2706.htm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www.maine.gov/sos/cec/rules/02/031/031c275.doc" TargetMode="External"/><Relationship Id="rId23" Type="http://schemas.openxmlformats.org/officeDocument/2006/relationships/hyperlink" Target="http://legislature.maine.gov/statutes/24-A/title24-Asec2707.html" TargetMode="External"/><Relationship Id="rId28" Type="http://schemas.openxmlformats.org/officeDocument/2006/relationships/hyperlink" Target="http://www.maine.gov/sos/cec/rules/02/031/031c275.doc" TargetMode="External"/><Relationship Id="rId36" Type="http://schemas.openxmlformats.org/officeDocument/2006/relationships/hyperlink" Target="http://www.maine.gov/sos/cec/rules/02/031/031c580.doc" TargetMode="External"/><Relationship Id="rId10" Type="http://schemas.openxmlformats.org/officeDocument/2006/relationships/hyperlink" Target="http://legislature.maine.gov/statutes/24-A/title24-Asec2413.html" TargetMode="External"/><Relationship Id="rId19" Type="http://schemas.openxmlformats.org/officeDocument/2006/relationships/hyperlink" Target="http://www.maine.gov/sos/cec/rules/02/031/031c275.doc" TargetMode="External"/><Relationship Id="rId31" Type="http://schemas.openxmlformats.org/officeDocument/2006/relationships/hyperlink" Target="http://www.mainelegislature.org/legis/statutes/24-A/title24-Asec2160.html" TargetMode="External"/><Relationship Id="rId4" Type="http://schemas.openxmlformats.org/officeDocument/2006/relationships/footnotes" Target="footnotes.xml"/><Relationship Id="rId9" Type="http://schemas.openxmlformats.org/officeDocument/2006/relationships/hyperlink" Target="http://legislature.maine.gov/statutes/24-A/title24-Asec601.html" TargetMode="External"/><Relationship Id="rId14" Type="http://schemas.openxmlformats.org/officeDocument/2006/relationships/hyperlink" Target="http://janus.state.me.us/legis/statutes/24-A/title24-Asec5006-A.html" TargetMode="External"/><Relationship Id="rId22" Type="http://schemas.openxmlformats.org/officeDocument/2006/relationships/hyperlink" Target="http://www.maine.gov/sos/cec/rules/02/031/031c275.doc" TargetMode="External"/><Relationship Id="rId27" Type="http://schemas.openxmlformats.org/officeDocument/2006/relationships/hyperlink" Target="http://www.maine.gov/sos/cec/rules/02/031/031c275.doc" TargetMode="External"/><Relationship Id="rId30" Type="http://schemas.openxmlformats.org/officeDocument/2006/relationships/hyperlink" Target="http://www.maine.gov/sos/cec/rules/02/031/031c275.doc" TargetMode="External"/><Relationship Id="rId35" Type="http://schemas.openxmlformats.org/officeDocument/2006/relationships/hyperlink" Target="http://legislature.maine.gov/statutes/24-A/title24-Asec501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1224</Words>
  <Characters>9458</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[The “©” in the Reference column indicates a CARFRA standard]</vt:lpstr>
    </vt:vector>
  </TitlesOfParts>
  <Company>State Of Maine</Company>
  <LinksUpToDate>false</LinksUpToDate>
  <CharactersWithSpaces>10661</CharactersWithSpaces>
  <SharedDoc>false</SharedDoc>
  <HLinks>
    <vt:vector size="198" baseType="variant">
      <vt:variant>
        <vt:i4>4915225</vt:i4>
      </vt:variant>
      <vt:variant>
        <vt:i4>96</vt:i4>
      </vt:variant>
      <vt:variant>
        <vt:i4>0</vt:i4>
      </vt:variant>
      <vt:variant>
        <vt:i4>5</vt:i4>
      </vt:variant>
      <vt:variant>
        <vt:lpwstr>http://legislature.maine.gov/statutes/24-A/title24-Asec2706.html</vt:lpwstr>
      </vt:variant>
      <vt:variant>
        <vt:lpwstr/>
      </vt:variant>
      <vt:variant>
        <vt:i4>1835095</vt:i4>
      </vt:variant>
      <vt:variant>
        <vt:i4>93</vt:i4>
      </vt:variant>
      <vt:variant>
        <vt:i4>0</vt:i4>
      </vt:variant>
      <vt:variant>
        <vt:i4>5</vt:i4>
      </vt:variant>
      <vt:variant>
        <vt:lpwstr>http://www.maine.gov/sos/cec/rules/02/031/031c580.doc</vt:lpwstr>
      </vt:variant>
      <vt:variant>
        <vt:lpwstr/>
      </vt:variant>
      <vt:variant>
        <vt:i4>5046302</vt:i4>
      </vt:variant>
      <vt:variant>
        <vt:i4>90</vt:i4>
      </vt:variant>
      <vt:variant>
        <vt:i4>0</vt:i4>
      </vt:variant>
      <vt:variant>
        <vt:i4>5</vt:i4>
      </vt:variant>
      <vt:variant>
        <vt:lpwstr>http://legislature.maine.gov/statutes/24-A/title24-Asec5016.html</vt:lpwstr>
      </vt:variant>
      <vt:variant>
        <vt:lpwstr/>
      </vt:variant>
      <vt:variant>
        <vt:i4>1245269</vt:i4>
      </vt:variant>
      <vt:variant>
        <vt:i4>87</vt:i4>
      </vt:variant>
      <vt:variant>
        <vt:i4>0</vt:i4>
      </vt:variant>
      <vt:variant>
        <vt:i4>5</vt:i4>
      </vt:variant>
      <vt:variant>
        <vt:lpwstr>http://www.maine.gov/sos/cec/rules/02/031/031c275.doc</vt:lpwstr>
      </vt:variant>
      <vt:variant>
        <vt:lpwstr/>
      </vt:variant>
      <vt:variant>
        <vt:i4>2949232</vt:i4>
      </vt:variant>
      <vt:variant>
        <vt:i4>84</vt:i4>
      </vt:variant>
      <vt:variant>
        <vt:i4>0</vt:i4>
      </vt:variant>
      <vt:variant>
        <vt:i4>5</vt:i4>
      </vt:variant>
      <vt:variant>
        <vt:lpwstr>http://www.maine.gov/pfr/insurance/legal/bulletins/pdf/382.pdf</vt:lpwstr>
      </vt:variant>
      <vt:variant>
        <vt:lpwstr/>
      </vt:variant>
      <vt:variant>
        <vt:i4>2556024</vt:i4>
      </vt:variant>
      <vt:variant>
        <vt:i4>81</vt:i4>
      </vt:variant>
      <vt:variant>
        <vt:i4>0</vt:i4>
      </vt:variant>
      <vt:variant>
        <vt:i4>5</vt:i4>
      </vt:variant>
      <vt:variant>
        <vt:lpwstr>http://www.mainelegislature.org/legis/statutes/24-A/title24-Asec2163-A.html</vt:lpwstr>
      </vt:variant>
      <vt:variant>
        <vt:lpwstr/>
      </vt:variant>
      <vt:variant>
        <vt:i4>4522069</vt:i4>
      </vt:variant>
      <vt:variant>
        <vt:i4>78</vt:i4>
      </vt:variant>
      <vt:variant>
        <vt:i4>0</vt:i4>
      </vt:variant>
      <vt:variant>
        <vt:i4>5</vt:i4>
      </vt:variant>
      <vt:variant>
        <vt:lpwstr>http://www.mainelegislature.org/legis/statutes/24-A/title24-Asec2160.html</vt:lpwstr>
      </vt:variant>
      <vt:variant>
        <vt:lpwstr/>
      </vt:variant>
      <vt:variant>
        <vt:i4>1245269</vt:i4>
      </vt:variant>
      <vt:variant>
        <vt:i4>75</vt:i4>
      </vt:variant>
      <vt:variant>
        <vt:i4>0</vt:i4>
      </vt:variant>
      <vt:variant>
        <vt:i4>5</vt:i4>
      </vt:variant>
      <vt:variant>
        <vt:lpwstr>http://www.maine.gov/sos/cec/rules/02/031/031c275.doc</vt:lpwstr>
      </vt:variant>
      <vt:variant>
        <vt:lpwstr/>
      </vt:variant>
      <vt:variant>
        <vt:i4>6357115</vt:i4>
      </vt:variant>
      <vt:variant>
        <vt:i4>72</vt:i4>
      </vt:variant>
      <vt:variant>
        <vt:i4>0</vt:i4>
      </vt:variant>
      <vt:variant>
        <vt:i4>5</vt:i4>
      </vt:variant>
      <vt:variant>
        <vt:lpwstr>http://legislature.maine.gov/statutes/24-A/title24-Asec5002-A.html</vt:lpwstr>
      </vt:variant>
      <vt:variant>
        <vt:lpwstr/>
      </vt:variant>
      <vt:variant>
        <vt:i4>1245269</vt:i4>
      </vt:variant>
      <vt:variant>
        <vt:i4>69</vt:i4>
      </vt:variant>
      <vt:variant>
        <vt:i4>0</vt:i4>
      </vt:variant>
      <vt:variant>
        <vt:i4>5</vt:i4>
      </vt:variant>
      <vt:variant>
        <vt:lpwstr>http://www.maine.gov/sos/cec/rules/02/031/031c275.doc</vt:lpwstr>
      </vt:variant>
      <vt:variant>
        <vt:lpwstr/>
      </vt:variant>
      <vt:variant>
        <vt:i4>1245269</vt:i4>
      </vt:variant>
      <vt:variant>
        <vt:i4>66</vt:i4>
      </vt:variant>
      <vt:variant>
        <vt:i4>0</vt:i4>
      </vt:variant>
      <vt:variant>
        <vt:i4>5</vt:i4>
      </vt:variant>
      <vt:variant>
        <vt:lpwstr>http://www.maine.gov/sos/cec/rules/02/031/031c275.doc</vt:lpwstr>
      </vt:variant>
      <vt:variant>
        <vt:lpwstr/>
      </vt:variant>
      <vt:variant>
        <vt:i4>4915222</vt:i4>
      </vt:variant>
      <vt:variant>
        <vt:i4>63</vt:i4>
      </vt:variant>
      <vt:variant>
        <vt:i4>0</vt:i4>
      </vt:variant>
      <vt:variant>
        <vt:i4>5</vt:i4>
      </vt:variant>
      <vt:variant>
        <vt:lpwstr>http://legislature.maine.gov/statutes/24-A/title24-Asec2709.html</vt:lpwstr>
      </vt:variant>
      <vt:variant>
        <vt:lpwstr/>
      </vt:variant>
      <vt:variant>
        <vt:i4>1245269</vt:i4>
      </vt:variant>
      <vt:variant>
        <vt:i4>60</vt:i4>
      </vt:variant>
      <vt:variant>
        <vt:i4>0</vt:i4>
      </vt:variant>
      <vt:variant>
        <vt:i4>5</vt:i4>
      </vt:variant>
      <vt:variant>
        <vt:lpwstr>http://www.maine.gov/sos/cec/rules/02/031/031c275.doc</vt:lpwstr>
      </vt:variant>
      <vt:variant>
        <vt:lpwstr/>
      </vt:variant>
      <vt:variant>
        <vt:i4>1245269</vt:i4>
      </vt:variant>
      <vt:variant>
        <vt:i4>57</vt:i4>
      </vt:variant>
      <vt:variant>
        <vt:i4>0</vt:i4>
      </vt:variant>
      <vt:variant>
        <vt:i4>5</vt:i4>
      </vt:variant>
      <vt:variant>
        <vt:lpwstr>http://www.maine.gov/sos/cec/rules/02/031/031c275.doc</vt:lpwstr>
      </vt:variant>
      <vt:variant>
        <vt:lpwstr/>
      </vt:variant>
      <vt:variant>
        <vt:i4>4915224</vt:i4>
      </vt:variant>
      <vt:variant>
        <vt:i4>54</vt:i4>
      </vt:variant>
      <vt:variant>
        <vt:i4>0</vt:i4>
      </vt:variant>
      <vt:variant>
        <vt:i4>5</vt:i4>
      </vt:variant>
      <vt:variant>
        <vt:lpwstr>http://legislature.maine.gov/statutes/24-A/title24-Asec2707.html</vt:lpwstr>
      </vt:variant>
      <vt:variant>
        <vt:lpwstr/>
      </vt:variant>
      <vt:variant>
        <vt:i4>1245269</vt:i4>
      </vt:variant>
      <vt:variant>
        <vt:i4>51</vt:i4>
      </vt:variant>
      <vt:variant>
        <vt:i4>0</vt:i4>
      </vt:variant>
      <vt:variant>
        <vt:i4>5</vt:i4>
      </vt:variant>
      <vt:variant>
        <vt:lpwstr>http://www.maine.gov/sos/cec/rules/02/031/031c275.doc</vt:lpwstr>
      </vt:variant>
      <vt:variant>
        <vt:lpwstr/>
      </vt:variant>
      <vt:variant>
        <vt:i4>1245269</vt:i4>
      </vt:variant>
      <vt:variant>
        <vt:i4>48</vt:i4>
      </vt:variant>
      <vt:variant>
        <vt:i4>0</vt:i4>
      </vt:variant>
      <vt:variant>
        <vt:i4>5</vt:i4>
      </vt:variant>
      <vt:variant>
        <vt:lpwstr>http://www.maine.gov/sos/cec/rules/02/031/031c275.doc</vt:lpwstr>
      </vt:variant>
      <vt:variant>
        <vt:lpwstr/>
      </vt:variant>
      <vt:variant>
        <vt:i4>1245269</vt:i4>
      </vt:variant>
      <vt:variant>
        <vt:i4>45</vt:i4>
      </vt:variant>
      <vt:variant>
        <vt:i4>0</vt:i4>
      </vt:variant>
      <vt:variant>
        <vt:i4>5</vt:i4>
      </vt:variant>
      <vt:variant>
        <vt:lpwstr>http://www.maine.gov/sos/cec/rules/02/031/031c275.doc</vt:lpwstr>
      </vt:variant>
      <vt:variant>
        <vt:lpwstr/>
      </vt:variant>
      <vt:variant>
        <vt:i4>1245269</vt:i4>
      </vt:variant>
      <vt:variant>
        <vt:i4>42</vt:i4>
      </vt:variant>
      <vt:variant>
        <vt:i4>0</vt:i4>
      </vt:variant>
      <vt:variant>
        <vt:i4>5</vt:i4>
      </vt:variant>
      <vt:variant>
        <vt:lpwstr>http://www.maine.gov/sos/cec/rules/02/031/031c275.doc</vt:lpwstr>
      </vt:variant>
      <vt:variant>
        <vt:lpwstr/>
      </vt:variant>
      <vt:variant>
        <vt:i4>6357112</vt:i4>
      </vt:variant>
      <vt:variant>
        <vt:i4>39</vt:i4>
      </vt:variant>
      <vt:variant>
        <vt:i4>0</vt:i4>
      </vt:variant>
      <vt:variant>
        <vt:i4>5</vt:i4>
      </vt:variant>
      <vt:variant>
        <vt:lpwstr>http://legislature.maine.gov/statutes/24-A/title24-Asec5002-B.html</vt:lpwstr>
      </vt:variant>
      <vt:variant>
        <vt:lpwstr/>
      </vt:variant>
      <vt:variant>
        <vt:i4>1245269</vt:i4>
      </vt:variant>
      <vt:variant>
        <vt:i4>36</vt:i4>
      </vt:variant>
      <vt:variant>
        <vt:i4>0</vt:i4>
      </vt:variant>
      <vt:variant>
        <vt:i4>5</vt:i4>
      </vt:variant>
      <vt:variant>
        <vt:lpwstr>http://www.maine.gov/sos/cec/rules/02/031/031c275.doc</vt:lpwstr>
      </vt:variant>
      <vt:variant>
        <vt:lpwstr/>
      </vt:variant>
      <vt:variant>
        <vt:i4>6357115</vt:i4>
      </vt:variant>
      <vt:variant>
        <vt:i4>33</vt:i4>
      </vt:variant>
      <vt:variant>
        <vt:i4>0</vt:i4>
      </vt:variant>
      <vt:variant>
        <vt:i4>5</vt:i4>
      </vt:variant>
      <vt:variant>
        <vt:lpwstr>http://legislature.maine.gov/statutes/24-A/title24-Asec5002-A.html</vt:lpwstr>
      </vt:variant>
      <vt:variant>
        <vt:lpwstr/>
      </vt:variant>
      <vt:variant>
        <vt:i4>1245269</vt:i4>
      </vt:variant>
      <vt:variant>
        <vt:i4>30</vt:i4>
      </vt:variant>
      <vt:variant>
        <vt:i4>0</vt:i4>
      </vt:variant>
      <vt:variant>
        <vt:i4>5</vt:i4>
      </vt:variant>
      <vt:variant>
        <vt:lpwstr>http://www.maine.gov/sos/cec/rules/02/031/031c275.doc</vt:lpwstr>
      </vt:variant>
      <vt:variant>
        <vt:lpwstr/>
      </vt:variant>
      <vt:variant>
        <vt:i4>6291577</vt:i4>
      </vt:variant>
      <vt:variant>
        <vt:i4>27</vt:i4>
      </vt:variant>
      <vt:variant>
        <vt:i4>0</vt:i4>
      </vt:variant>
      <vt:variant>
        <vt:i4>5</vt:i4>
      </vt:variant>
      <vt:variant>
        <vt:lpwstr>http://legislature.maine.gov/statutes/24-A/title24-Asec5010-A.html</vt:lpwstr>
      </vt:variant>
      <vt:variant>
        <vt:lpwstr/>
      </vt:variant>
      <vt:variant>
        <vt:i4>5242974</vt:i4>
      </vt:variant>
      <vt:variant>
        <vt:i4>24</vt:i4>
      </vt:variant>
      <vt:variant>
        <vt:i4>0</vt:i4>
      </vt:variant>
      <vt:variant>
        <vt:i4>5</vt:i4>
      </vt:variant>
      <vt:variant>
        <vt:lpwstr>http://janus.state.me.us/legis/statutes/24-A/title24-Asec5006-A.html</vt:lpwstr>
      </vt:variant>
      <vt:variant>
        <vt:lpwstr/>
      </vt:variant>
      <vt:variant>
        <vt:i4>4849695</vt:i4>
      </vt:variant>
      <vt:variant>
        <vt:i4>21</vt:i4>
      </vt:variant>
      <vt:variant>
        <vt:i4>0</vt:i4>
      </vt:variant>
      <vt:variant>
        <vt:i4>5</vt:i4>
      </vt:variant>
      <vt:variant>
        <vt:lpwstr>http://legislature.maine.gov/statutes/24-A/title24-Asec2413.html</vt:lpwstr>
      </vt:variant>
      <vt:variant>
        <vt:lpwstr/>
      </vt:variant>
      <vt:variant>
        <vt:i4>4849694</vt:i4>
      </vt:variant>
      <vt:variant>
        <vt:i4>18</vt:i4>
      </vt:variant>
      <vt:variant>
        <vt:i4>0</vt:i4>
      </vt:variant>
      <vt:variant>
        <vt:i4>5</vt:i4>
      </vt:variant>
      <vt:variant>
        <vt:lpwstr>http://legislature.maine.gov/statutes/24-A/title24-Asec2412.html</vt:lpwstr>
      </vt:variant>
      <vt:variant>
        <vt:lpwstr/>
      </vt:variant>
      <vt:variant>
        <vt:i4>5177373</vt:i4>
      </vt:variant>
      <vt:variant>
        <vt:i4>15</vt:i4>
      </vt:variant>
      <vt:variant>
        <vt:i4>0</vt:i4>
      </vt:variant>
      <vt:variant>
        <vt:i4>5</vt:i4>
      </vt:variant>
      <vt:variant>
        <vt:lpwstr>http://legislature.maine.gov/statutes/24-A/title24-Asec2441.html</vt:lpwstr>
      </vt:variant>
      <vt:variant>
        <vt:lpwstr/>
      </vt:variant>
      <vt:variant>
        <vt:i4>4849695</vt:i4>
      </vt:variant>
      <vt:variant>
        <vt:i4>12</vt:i4>
      </vt:variant>
      <vt:variant>
        <vt:i4>0</vt:i4>
      </vt:variant>
      <vt:variant>
        <vt:i4>5</vt:i4>
      </vt:variant>
      <vt:variant>
        <vt:lpwstr>http://legislature.maine.gov/statutes/24-A/title24-Asec2413.html</vt:lpwstr>
      </vt:variant>
      <vt:variant>
        <vt:lpwstr/>
      </vt:variant>
      <vt:variant>
        <vt:i4>8192119</vt:i4>
      </vt:variant>
      <vt:variant>
        <vt:i4>9</vt:i4>
      </vt:variant>
      <vt:variant>
        <vt:i4>0</vt:i4>
      </vt:variant>
      <vt:variant>
        <vt:i4>5</vt:i4>
      </vt:variant>
      <vt:variant>
        <vt:lpwstr>http://legislature.maine.gov/statutes/24-A/title24-Asec601.html</vt:lpwstr>
      </vt:variant>
      <vt:variant>
        <vt:lpwstr/>
      </vt:variant>
      <vt:variant>
        <vt:i4>4325394</vt:i4>
      </vt:variant>
      <vt:variant>
        <vt:i4>6</vt:i4>
      </vt:variant>
      <vt:variant>
        <vt:i4>0</vt:i4>
      </vt:variant>
      <vt:variant>
        <vt:i4>5</vt:i4>
      </vt:variant>
      <vt:variant>
        <vt:lpwstr>http://www.serff.com/</vt:lpwstr>
      </vt:variant>
      <vt:variant>
        <vt:lpwstr/>
      </vt:variant>
      <vt:variant>
        <vt:i4>5046286</vt:i4>
      </vt:variant>
      <vt:variant>
        <vt:i4>3</vt:i4>
      </vt:variant>
      <vt:variant>
        <vt:i4>0</vt:i4>
      </vt:variant>
      <vt:variant>
        <vt:i4>5</vt:i4>
      </vt:variant>
      <vt:variant>
        <vt:lpwstr>http://www.maine.gov/pfr/insurance/bulletins/360.htm</vt:lpwstr>
      </vt:variant>
      <vt:variant>
        <vt:lpwstr/>
      </vt:variant>
      <vt:variant>
        <vt:i4>4325458</vt:i4>
      </vt:variant>
      <vt:variant>
        <vt:i4>0</vt:i4>
      </vt:variant>
      <vt:variant>
        <vt:i4>0</vt:i4>
      </vt:variant>
      <vt:variant>
        <vt:i4>5</vt:i4>
      </vt:variant>
      <vt:variant>
        <vt:lpwstr>http://www.mainelegislature.org/legis/statutes/24-A/title24-Asec2412.html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 in the Reference column indicates a CARFRA standard]</dc:title>
  <dc:subject/>
  <dc:creator>libbyp</dc:creator>
  <cp:keywords/>
  <dc:description/>
  <cp:lastModifiedBy>Maley-Alley, Amanda</cp:lastModifiedBy>
  <cp:revision>3</cp:revision>
  <cp:lastPrinted>2012-11-07T15:40:00Z</cp:lastPrinted>
  <dcterms:created xsi:type="dcterms:W3CDTF">2018-10-11T17:06:00Z</dcterms:created>
  <dcterms:modified xsi:type="dcterms:W3CDTF">2022-01-26T21:24:00Z</dcterms:modified>
</cp:coreProperties>
</file>