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48C03" w14:textId="77777777" w:rsidR="0062500C" w:rsidRPr="00B23260" w:rsidRDefault="0062500C" w:rsidP="0062500C">
      <w:pPr>
        <w:jc w:val="center"/>
        <w:rPr>
          <w:b/>
          <w:bCs/>
          <w:color w:val="FF0000"/>
          <w:sz w:val="28"/>
          <w:szCs w:val="28"/>
        </w:rPr>
      </w:pPr>
      <w:r w:rsidRPr="00B23260">
        <w:rPr>
          <w:b/>
          <w:bCs/>
          <w:sz w:val="32"/>
          <w:szCs w:val="32"/>
        </w:rPr>
        <w:t>Maine Bureau of Insurance</w:t>
      </w:r>
      <w:r w:rsidRPr="00384447">
        <w:rPr>
          <w:b/>
          <w:bCs/>
        </w:rPr>
        <w:br/>
      </w:r>
      <w:r w:rsidRPr="00B23260">
        <w:rPr>
          <w:b/>
          <w:bCs/>
          <w:sz w:val="28"/>
          <w:szCs w:val="28"/>
        </w:rPr>
        <w:t>Form Filing Review Requirements Checklist</w:t>
      </w:r>
    </w:p>
    <w:p w14:paraId="75AC26E7" w14:textId="4E0369F5" w:rsidR="0062500C" w:rsidRPr="0062500C" w:rsidRDefault="0062500C" w:rsidP="0062500C">
      <w:pPr>
        <w:jc w:val="center"/>
        <w:rPr>
          <w:b/>
          <w:bCs/>
          <w:color w:val="FF0000"/>
          <w:sz w:val="32"/>
          <w:szCs w:val="32"/>
        </w:rPr>
      </w:pPr>
      <w:r w:rsidRPr="0062500C">
        <w:rPr>
          <w:b/>
          <w:bCs/>
          <w:color w:val="FF0000"/>
          <w:sz w:val="32"/>
          <w:szCs w:val="32"/>
        </w:rPr>
        <w:t xml:space="preserve">Prescription Drug </w:t>
      </w:r>
      <w:r w:rsidR="00D435B6">
        <w:rPr>
          <w:b/>
          <w:bCs/>
          <w:color w:val="FF0000"/>
          <w:sz w:val="32"/>
          <w:szCs w:val="32"/>
        </w:rPr>
        <w:t xml:space="preserve">Coverage Only - </w:t>
      </w:r>
      <w:r w:rsidRPr="0062500C">
        <w:rPr>
          <w:b/>
          <w:bCs/>
          <w:color w:val="FF0000"/>
          <w:sz w:val="32"/>
          <w:szCs w:val="32"/>
        </w:rPr>
        <w:t>Group (</w:t>
      </w:r>
      <w:r w:rsidRPr="0062500C">
        <w:rPr>
          <w:b/>
          <w:color w:val="FF0000"/>
          <w:sz w:val="32"/>
          <w:szCs w:val="32"/>
        </w:rPr>
        <w:t>H17G) and Individual (H17I)</w:t>
      </w:r>
    </w:p>
    <w:p w14:paraId="47A5475E" w14:textId="1932F0DC" w:rsidR="00863FC7" w:rsidRPr="00287FDB" w:rsidRDefault="00863FC7" w:rsidP="00863FC7">
      <w:pPr>
        <w:jc w:val="center"/>
        <w:rPr>
          <w:b/>
          <w:bCs/>
        </w:rPr>
      </w:pPr>
      <w:r w:rsidRPr="00C47802">
        <w:rPr>
          <w:b/>
          <w:bCs/>
        </w:rPr>
        <w:t xml:space="preserve">(Revised </w:t>
      </w:r>
      <w:r>
        <w:rPr>
          <w:b/>
          <w:bCs/>
        </w:rPr>
        <w:t>0</w:t>
      </w:r>
      <w:r w:rsidR="00770812">
        <w:rPr>
          <w:b/>
          <w:bCs/>
        </w:rPr>
        <w:t>9</w:t>
      </w:r>
      <w:r>
        <w:rPr>
          <w:b/>
          <w:bCs/>
        </w:rPr>
        <w:t>/</w:t>
      </w:r>
      <w:r w:rsidR="00770812">
        <w:rPr>
          <w:b/>
          <w:bCs/>
        </w:rPr>
        <w:t>09</w:t>
      </w:r>
      <w:r>
        <w:rPr>
          <w:b/>
          <w:bCs/>
        </w:rPr>
        <w:t>/2021</w:t>
      </w:r>
      <w:r w:rsidRPr="00C47802">
        <w:rPr>
          <w:b/>
          <w:bCs/>
        </w:rPr>
        <w:t>)</w:t>
      </w:r>
    </w:p>
    <w:p w14:paraId="625D3AC4" w14:textId="77777777" w:rsidR="0062500C" w:rsidRPr="00384447" w:rsidRDefault="0062500C" w:rsidP="0062500C">
      <w:pPr>
        <w:jc w:val="center"/>
        <w:rPr>
          <w:b/>
          <w:bCs/>
          <w:color w:val="FF0000"/>
        </w:rPr>
      </w:pPr>
    </w:p>
    <w:p w14:paraId="2DA462A5" w14:textId="77777777" w:rsidR="0062500C" w:rsidRPr="000445C2" w:rsidRDefault="0062500C" w:rsidP="0062500C">
      <w:pPr>
        <w:keepNext/>
        <w:shd w:val="clear" w:color="auto" w:fill="FFFFFF"/>
        <w:jc w:val="center"/>
        <w:outlineLvl w:val="2"/>
        <w:rPr>
          <w:b/>
        </w:rPr>
      </w:pPr>
      <w:r w:rsidRPr="000445C2">
        <w:rPr>
          <w:b/>
        </w:rPr>
        <w:t xml:space="preserve">Confirm compliance and </w:t>
      </w:r>
      <w:r w:rsidRPr="000445C2">
        <w:rPr>
          <w:b/>
          <w:snapToGrid w:val="0"/>
        </w:rPr>
        <w:t xml:space="preserve">IDENTIFY the LOCATION (page number, section, paragraph, etc.) of the STANDARD IN FILING in the last </w:t>
      </w:r>
      <w:r w:rsidRPr="000445C2">
        <w:rPr>
          <w:b/>
        </w:rPr>
        <w:t xml:space="preserve">column.  N/A: Check this box if a contract does not have to meet this requirement and </w:t>
      </w:r>
      <w:r w:rsidRPr="000445C2">
        <w:rPr>
          <w:b/>
          <w:snapToGrid w:val="0"/>
        </w:rPr>
        <w:t xml:space="preserve">EXPLAIN WHY </w:t>
      </w:r>
      <w:r w:rsidRPr="000445C2">
        <w:rPr>
          <w:b/>
        </w:rPr>
        <w:t>in the last column.</w:t>
      </w:r>
    </w:p>
    <w:p w14:paraId="16692DEF" w14:textId="77777777" w:rsidR="0062500C" w:rsidRPr="000445C2" w:rsidRDefault="0062500C" w:rsidP="0062500C">
      <w:pPr>
        <w:keepNext/>
        <w:shd w:val="clear" w:color="auto" w:fill="FFFFFF"/>
        <w:jc w:val="both"/>
        <w:outlineLvl w:val="2"/>
        <w:rPr>
          <w:b/>
          <w:snapToGrid w:val="0"/>
          <w:color w:val="FF0000"/>
        </w:rPr>
      </w:pPr>
    </w:p>
    <w:tbl>
      <w:tblPr>
        <w:tblW w:w="14670" w:type="dxa"/>
        <w:tblInd w:w="-780" w:type="dxa"/>
        <w:tblLayout w:type="fixed"/>
        <w:tblCellMar>
          <w:left w:w="30" w:type="dxa"/>
          <w:right w:w="30" w:type="dxa"/>
        </w:tblCellMar>
        <w:tblLook w:val="0000" w:firstRow="0" w:lastRow="0" w:firstColumn="0" w:lastColumn="0" w:noHBand="0" w:noVBand="0"/>
      </w:tblPr>
      <w:tblGrid>
        <w:gridCol w:w="2160"/>
        <w:gridCol w:w="1710"/>
        <w:gridCol w:w="6930"/>
        <w:gridCol w:w="540"/>
        <w:gridCol w:w="3330"/>
      </w:tblGrid>
      <w:tr w:rsidR="0062500C" w:rsidRPr="00384447" w14:paraId="1A4B420D" w14:textId="77777777" w:rsidTr="00FC407C">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5C13E311" w14:textId="77777777" w:rsidR="0062500C" w:rsidRPr="00384447" w:rsidRDefault="0062500C" w:rsidP="00FC407C">
            <w:pPr>
              <w:pStyle w:val="NormalWeb"/>
              <w:shd w:val="clear" w:color="auto" w:fill="FFFFFF"/>
              <w:spacing w:line="150" w:lineRule="atLeast"/>
              <w:jc w:val="center"/>
              <w:rPr>
                <w:b/>
              </w:rPr>
            </w:pPr>
            <w:r w:rsidRPr="00384447">
              <w:rPr>
                <w:b/>
              </w:rPr>
              <w:t>State Benefit/Provision</w:t>
            </w:r>
            <w:r w:rsidRPr="00384447">
              <w:rPr>
                <w:b/>
              </w:rPr>
              <w:br/>
              <w:t>and/or</w:t>
            </w:r>
            <w:r w:rsidRPr="00384447">
              <w:rPr>
                <w:b/>
              </w:rPr>
              <w:br/>
              <w:t>ACA Requirement</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01FAFAB1" w14:textId="77777777" w:rsidR="0062500C" w:rsidRPr="00384447" w:rsidRDefault="0062500C" w:rsidP="00FC407C">
            <w:pPr>
              <w:pStyle w:val="NormalWeb"/>
              <w:shd w:val="clear" w:color="auto" w:fill="FFFFFF"/>
              <w:spacing w:line="150" w:lineRule="atLeast"/>
              <w:jc w:val="center"/>
              <w:rPr>
                <w:b/>
              </w:rPr>
            </w:pPr>
            <w:r w:rsidRPr="00384447">
              <w:rPr>
                <w:b/>
              </w:rPr>
              <w:t xml:space="preserve">State </w:t>
            </w:r>
            <w:r w:rsidRPr="00384447">
              <w:rPr>
                <w:b/>
              </w:rPr>
              <w:br/>
              <w:t>Law/ Rule</w:t>
            </w:r>
            <w:r w:rsidRPr="00384447">
              <w:rPr>
                <w:b/>
              </w:rPr>
              <w:br/>
              <w:t xml:space="preserve">and/or </w:t>
            </w:r>
            <w:r w:rsidRPr="00384447">
              <w:rPr>
                <w:b/>
              </w:rPr>
              <w:br/>
              <w:t>Federal Law</w:t>
            </w:r>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147000EA" w14:textId="77777777" w:rsidR="0062500C" w:rsidRPr="001959E3" w:rsidRDefault="0062500C" w:rsidP="001959E3">
            <w:pPr>
              <w:pStyle w:val="NormalWeb"/>
              <w:shd w:val="clear" w:color="auto" w:fill="FFFFFF"/>
              <w:spacing w:line="150" w:lineRule="atLeast"/>
              <w:jc w:val="center"/>
              <w:rPr>
                <w:b/>
                <w:sz w:val="32"/>
                <w:szCs w:val="32"/>
              </w:rPr>
            </w:pPr>
            <w:r w:rsidRPr="001959E3">
              <w:rPr>
                <w:b/>
                <w:sz w:val="32"/>
                <w:szCs w:val="32"/>
              </w:rPr>
              <w:t>State Description of Requirement</w:t>
            </w:r>
            <w:r w:rsidRPr="001959E3">
              <w:rPr>
                <w:b/>
                <w:sz w:val="32"/>
                <w:szCs w:val="32"/>
              </w:rPr>
              <w:br/>
              <w:t>and/or</w:t>
            </w:r>
            <w:r w:rsidRPr="001959E3">
              <w:rPr>
                <w:b/>
                <w:sz w:val="32"/>
                <w:szCs w:val="32"/>
              </w:rPr>
              <w:br/>
              <w:t>ACA Description of Requirement</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27DFD5B9" w14:textId="77777777" w:rsidR="0062500C" w:rsidRDefault="0062500C" w:rsidP="00FC407C">
            <w:pPr>
              <w:keepNext/>
              <w:shd w:val="clear" w:color="auto" w:fill="FFFFFF"/>
              <w:jc w:val="center"/>
              <w:outlineLvl w:val="2"/>
              <w:rPr>
                <w:b/>
                <w:snapToGrid w:val="0"/>
              </w:rPr>
            </w:pPr>
            <w:r w:rsidRPr="00384447">
              <w:rPr>
                <w:b/>
                <w:snapToGrid w:val="0"/>
              </w:rPr>
              <w:t>N/A</w:t>
            </w:r>
          </w:p>
          <w:p w14:paraId="5116D3FA" w14:textId="77777777" w:rsidR="0062500C" w:rsidRPr="00516DA7" w:rsidRDefault="0062500C" w:rsidP="00FC407C">
            <w:pPr>
              <w:keepNext/>
              <w:shd w:val="clear" w:color="auto" w:fill="FFFFFF"/>
              <w:jc w:val="center"/>
              <w:outlineLvl w:val="2"/>
              <w:rPr>
                <w:b/>
                <w:snapToGrid w:val="0"/>
                <w:color w:val="FF0000"/>
              </w:rPr>
            </w:pPr>
            <w:r w:rsidRPr="00516DA7">
              <w:rPr>
                <w:b/>
                <w:snapToGrid w:val="0"/>
                <w:color w:val="FF0000"/>
              </w:rPr>
              <w:sym w:font="Wingdings" w:char="F0E0"/>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73CEF961" w14:textId="77777777" w:rsidR="0062500C" w:rsidRPr="00384447" w:rsidRDefault="0062500C" w:rsidP="00FC407C">
            <w:pPr>
              <w:keepNext/>
              <w:jc w:val="center"/>
              <w:outlineLvl w:val="2"/>
              <w:rPr>
                <w:b/>
                <w:snapToGrid w:val="0"/>
              </w:rPr>
            </w:pPr>
            <w:r w:rsidRPr="00384447">
              <w:rPr>
                <w:b/>
                <w:snapToGrid w:val="0"/>
              </w:rPr>
              <w:t>CONFIRM COMPLIANCE</w:t>
            </w:r>
          </w:p>
          <w:p w14:paraId="6641FD17" w14:textId="77777777" w:rsidR="0062500C" w:rsidRPr="00384447" w:rsidRDefault="0062500C" w:rsidP="00FC407C">
            <w:pPr>
              <w:keepNext/>
              <w:jc w:val="center"/>
              <w:outlineLvl w:val="2"/>
              <w:rPr>
                <w:b/>
                <w:snapToGrid w:val="0"/>
              </w:rPr>
            </w:pPr>
            <w:r w:rsidRPr="00384447">
              <w:rPr>
                <w:b/>
                <w:snapToGrid w:val="0"/>
              </w:rPr>
              <w:t>AND IDENTIFY LOCATION OF STANDARD IN FILING</w:t>
            </w:r>
          </w:p>
          <w:p w14:paraId="0C974921" w14:textId="77777777" w:rsidR="0062500C" w:rsidRPr="00384447" w:rsidRDefault="000445C2" w:rsidP="00FC407C">
            <w:pPr>
              <w:keepNext/>
              <w:jc w:val="center"/>
              <w:outlineLvl w:val="2"/>
              <w:rPr>
                <w:b/>
                <w:snapToGrid w:val="0"/>
                <w:color w:val="FF0000"/>
              </w:rPr>
            </w:pPr>
            <w:r>
              <w:rPr>
                <w:b/>
                <w:snapToGrid w:val="0"/>
                <w:color w:val="FF0000"/>
              </w:rPr>
              <w:t xml:space="preserve">CARRIER MUST EXPLAIN WHY THEY BELIEVE </w:t>
            </w:r>
            <w:r w:rsidR="0062500C" w:rsidRPr="00384447">
              <w:rPr>
                <w:b/>
                <w:snapToGrid w:val="0"/>
                <w:color w:val="FF0000"/>
              </w:rPr>
              <w:t>REQUIREMENT</w:t>
            </w:r>
          </w:p>
          <w:p w14:paraId="22DD2E70" w14:textId="77777777" w:rsidR="0062500C" w:rsidRPr="00384447" w:rsidRDefault="0062500C" w:rsidP="006B3962">
            <w:pPr>
              <w:pStyle w:val="Heading3"/>
              <w:rPr>
                <w:rFonts w:ascii="Times New Roman" w:hAnsi="Times New Roman"/>
                <w:sz w:val="24"/>
              </w:rPr>
            </w:pPr>
            <w:r w:rsidRPr="00384447">
              <w:rPr>
                <w:rFonts w:ascii="Times New Roman" w:hAnsi="Times New Roman"/>
                <w:snapToGrid/>
                <w:color w:val="FF0000"/>
                <w:sz w:val="24"/>
              </w:rPr>
              <w:t>IS</w:t>
            </w:r>
            <w:r w:rsidR="006B3962">
              <w:rPr>
                <w:rFonts w:ascii="Times New Roman" w:hAnsi="Times New Roman"/>
                <w:snapToGrid/>
                <w:color w:val="FF0000"/>
                <w:sz w:val="24"/>
              </w:rPr>
              <w:t xml:space="preserve"> NOT </w:t>
            </w:r>
            <w:r w:rsidRPr="00384447">
              <w:rPr>
                <w:rFonts w:ascii="Times New Roman" w:hAnsi="Times New Roman"/>
                <w:snapToGrid/>
                <w:color w:val="FF0000"/>
                <w:sz w:val="24"/>
              </w:rPr>
              <w:t>APPLICABLE</w:t>
            </w:r>
          </w:p>
        </w:tc>
      </w:tr>
      <w:tr w:rsidR="0062500C" w:rsidRPr="00384447" w14:paraId="108DA2AD" w14:textId="77777777" w:rsidTr="00FC407C">
        <w:trPr>
          <w:trHeight w:val="705"/>
        </w:trPr>
        <w:tc>
          <w:tcPr>
            <w:tcW w:w="14670" w:type="dxa"/>
            <w:gridSpan w:val="5"/>
            <w:tcBorders>
              <w:top w:val="single" w:sz="6" w:space="0" w:color="auto"/>
              <w:left w:val="single" w:sz="6" w:space="0" w:color="auto"/>
              <w:bottom w:val="single" w:sz="6" w:space="0" w:color="auto"/>
              <w:right w:val="single" w:sz="2" w:space="0" w:color="000000"/>
            </w:tcBorders>
            <w:shd w:val="clear" w:color="auto" w:fill="BFBFBF"/>
          </w:tcPr>
          <w:p w14:paraId="5431AB83" w14:textId="77777777" w:rsidR="0062500C" w:rsidRPr="00384447" w:rsidRDefault="0062500C" w:rsidP="00FC407C">
            <w:pPr>
              <w:keepNext/>
              <w:spacing w:before="240"/>
              <w:outlineLvl w:val="2"/>
              <w:rPr>
                <w:b/>
                <w:snapToGrid w:val="0"/>
              </w:rPr>
            </w:pPr>
            <w:r w:rsidRPr="00881974">
              <w:rPr>
                <w:b/>
                <w:caps/>
              </w:rPr>
              <w:t>General Submission Requirements</w:t>
            </w:r>
          </w:p>
        </w:tc>
      </w:tr>
      <w:tr w:rsidR="0062500C" w:rsidRPr="00384447" w14:paraId="4B8E715D" w14:textId="77777777" w:rsidTr="00FC407C">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24A67169" w14:textId="77777777" w:rsidR="0062500C" w:rsidRPr="00881974" w:rsidRDefault="0062500C" w:rsidP="00FC407C">
            <w:pPr>
              <w:rPr>
                <w:color w:val="000000"/>
              </w:rPr>
            </w:pPr>
            <w:r w:rsidRPr="00881974">
              <w:rPr>
                <w:color w:val="000000"/>
              </w:rPr>
              <w:t>Electronic (SERFF) Submission Requirements</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20598337" w14:textId="77777777" w:rsidR="0062500C" w:rsidRDefault="00123D00" w:rsidP="00FC407C">
            <w:pPr>
              <w:jc w:val="center"/>
              <w:rPr>
                <w:rStyle w:val="Hyperlink"/>
              </w:rPr>
            </w:pPr>
            <w:hyperlink r:id="rId8" w:history="1">
              <w:r w:rsidR="0062500C" w:rsidRPr="00881974">
                <w:rPr>
                  <w:rStyle w:val="Hyperlink"/>
                </w:rPr>
                <w:t>24-A M.R.S.A. §2412 (2)</w:t>
              </w:r>
            </w:hyperlink>
          </w:p>
          <w:p w14:paraId="250BA60E" w14:textId="77777777" w:rsidR="0062500C" w:rsidRPr="00881974" w:rsidRDefault="0062500C" w:rsidP="00FC407C">
            <w:pPr>
              <w:jc w:val="center"/>
              <w:rPr>
                <w:color w:val="000000"/>
              </w:rPr>
            </w:pPr>
          </w:p>
          <w:p w14:paraId="4AEE2F17" w14:textId="6CE512AB" w:rsidR="0062500C" w:rsidRPr="00881974" w:rsidRDefault="00123D00" w:rsidP="00FC407C">
            <w:pPr>
              <w:jc w:val="center"/>
              <w:rPr>
                <w:color w:val="000000"/>
              </w:rPr>
            </w:pPr>
            <w:hyperlink r:id="rId9" w:history="1">
              <w:r w:rsidR="0062500C" w:rsidRPr="00881974">
                <w:rPr>
                  <w:rStyle w:val="Hyperlink"/>
                </w:rPr>
                <w:t>Bulletin 360</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2E91748D" w14:textId="77777777" w:rsidR="0062500C" w:rsidRPr="00881974" w:rsidRDefault="0062500C" w:rsidP="00FC407C">
            <w:pPr>
              <w:rPr>
                <w:color w:val="000000"/>
              </w:rPr>
            </w:pPr>
            <w:r w:rsidRPr="00881974">
              <w:rPr>
                <w:color w:val="000000"/>
              </w:rPr>
              <w:t xml:space="preserve">All filings must be filed electronically, using the </w:t>
            </w:r>
            <w:r w:rsidRPr="00881974">
              <w:rPr>
                <w:color w:val="000000"/>
                <w:u w:val="single"/>
              </w:rPr>
              <w:t>NAIC</w:t>
            </w:r>
            <w:r w:rsidRPr="00881974">
              <w:rPr>
                <w:color w:val="000000"/>
              </w:rPr>
              <w:t xml:space="preserve"> System for Electronic Rate and Form Filing (SERFF). See </w:t>
            </w:r>
            <w:hyperlink r:id="rId10" w:history="1">
              <w:r w:rsidRPr="00881974">
                <w:rPr>
                  <w:rStyle w:val="Hyperlink"/>
                </w:rPr>
                <w:t>http://www.serff.com</w:t>
              </w:r>
            </w:hyperlink>
            <w:r w:rsidRPr="00881974">
              <w:rPr>
                <w:color w:val="000000"/>
              </w:rPr>
              <w:t>.</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1D310DFB" w14:textId="77777777" w:rsidR="0062500C" w:rsidRPr="00881974" w:rsidRDefault="0062500C" w:rsidP="00FC407C">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7DF217F8" w14:textId="77777777" w:rsidR="0062500C" w:rsidRPr="00384447" w:rsidRDefault="0062500C" w:rsidP="00FC407C">
            <w:pPr>
              <w:keepNext/>
              <w:jc w:val="center"/>
              <w:outlineLvl w:val="2"/>
              <w:rPr>
                <w:b/>
                <w:snapToGrid w:val="0"/>
              </w:rPr>
            </w:pPr>
          </w:p>
        </w:tc>
      </w:tr>
      <w:tr w:rsidR="0062500C" w:rsidRPr="00384447" w14:paraId="39199FEC" w14:textId="77777777" w:rsidTr="00FC407C">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329FE8C2" w14:textId="77777777" w:rsidR="0062500C" w:rsidRPr="00881974" w:rsidRDefault="0062500C" w:rsidP="00FC407C">
            <w:pPr>
              <w:rPr>
                <w:color w:val="000000"/>
              </w:rPr>
            </w:pPr>
            <w:r w:rsidRPr="00881974">
              <w:rPr>
                <w:color w:val="000000"/>
              </w:rPr>
              <w:t>FILING FEES</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3BB12A80" w14:textId="77777777" w:rsidR="0062500C" w:rsidRPr="00881974" w:rsidRDefault="00123D00" w:rsidP="00FC407C">
            <w:pPr>
              <w:jc w:val="center"/>
              <w:rPr>
                <w:color w:val="000000"/>
              </w:rPr>
            </w:pPr>
            <w:hyperlink r:id="rId11" w:history="1">
              <w:r w:rsidR="0062500C" w:rsidRPr="00881974">
                <w:rPr>
                  <w:rStyle w:val="Hyperlink"/>
                </w:rPr>
                <w:t>24-A M.R.S.A. §601(17)</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16B84A0B" w14:textId="77777777" w:rsidR="0062500C" w:rsidRPr="00881974" w:rsidRDefault="0062500C" w:rsidP="00FC407C">
            <w:pPr>
              <w:rPr>
                <w:color w:val="000000"/>
              </w:rPr>
            </w:pPr>
            <w:r w:rsidRPr="00881974">
              <w:rPr>
                <w:color w:val="000000"/>
              </w:rPr>
              <w:t>$20.00 for Rate filings, rating rules filings, insurance policy, forms, riders, endorsements and certificates. See General Instructions page in SERFF for additional information on filing fee structure.</w:t>
            </w:r>
          </w:p>
          <w:p w14:paraId="36FD3DCC" w14:textId="77777777" w:rsidR="0062500C" w:rsidRPr="00881974" w:rsidRDefault="0062500C" w:rsidP="00FC407C">
            <w:pPr>
              <w:rPr>
                <w:color w:val="000000"/>
              </w:rPr>
            </w:pPr>
            <w:r w:rsidRPr="00881974">
              <w:rPr>
                <w:color w:val="000000"/>
              </w:rPr>
              <w:t>Filing fees must be submitted by EFT in SERFF at the time of submission of the filing.</w:t>
            </w:r>
          </w:p>
          <w:p w14:paraId="2C387E9F" w14:textId="77777777" w:rsidR="0062500C" w:rsidRPr="00881974" w:rsidRDefault="0062500C" w:rsidP="00FC407C">
            <w:pPr>
              <w:rPr>
                <w:color w:val="000000"/>
              </w:rPr>
            </w:pPr>
            <w:r w:rsidRPr="00881974">
              <w:rPr>
                <w:color w:val="000000"/>
              </w:rPr>
              <w:t>All filings require a filing fee unless specifically excluded per 24-A M.R.S.A. §4222(1), and/or are a required annual report.</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0E5E667E" w14:textId="77777777" w:rsidR="0062500C" w:rsidRPr="00881974" w:rsidRDefault="0062500C" w:rsidP="00FC407C">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568EA340" w14:textId="77777777" w:rsidR="0062500C" w:rsidRPr="00384447" w:rsidRDefault="0062500C" w:rsidP="00FC407C">
            <w:pPr>
              <w:keepNext/>
              <w:jc w:val="center"/>
              <w:outlineLvl w:val="2"/>
              <w:rPr>
                <w:b/>
                <w:snapToGrid w:val="0"/>
              </w:rPr>
            </w:pPr>
          </w:p>
        </w:tc>
      </w:tr>
      <w:tr w:rsidR="0062500C" w:rsidRPr="00384447" w14:paraId="580451BB" w14:textId="77777777" w:rsidTr="00FC407C">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2718FA20" w14:textId="77777777" w:rsidR="0062500C" w:rsidRPr="00881974" w:rsidRDefault="0062500C" w:rsidP="00FC407C">
            <w:pPr>
              <w:rPr>
                <w:color w:val="000000"/>
              </w:rPr>
            </w:pPr>
            <w:r w:rsidRPr="00881974">
              <w:rPr>
                <w:color w:val="000000"/>
              </w:rPr>
              <w:t>Grounds for disapproval</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04406BDB" w14:textId="77777777" w:rsidR="0062500C" w:rsidRPr="00881974" w:rsidRDefault="00123D00" w:rsidP="00FC407C">
            <w:pPr>
              <w:jc w:val="center"/>
              <w:rPr>
                <w:color w:val="000000"/>
              </w:rPr>
            </w:pPr>
            <w:hyperlink r:id="rId12" w:history="1">
              <w:r w:rsidR="0062500C" w:rsidRPr="00881974">
                <w:rPr>
                  <w:rStyle w:val="Hyperlink"/>
                </w:rPr>
                <w:t>24-A M.R.S.A. §2413</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367655F3" w14:textId="77777777" w:rsidR="0062500C" w:rsidRPr="00881974" w:rsidRDefault="0062500C" w:rsidP="00FC407C">
            <w:pPr>
              <w:rPr>
                <w:color w:val="000000"/>
              </w:rPr>
            </w:pPr>
            <w:r w:rsidRPr="00881974">
              <w:rPr>
                <w:color w:val="000000"/>
              </w:rPr>
              <w:t>Seven categories of the grounds for disapproving a filing.</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74CC1740" w14:textId="77777777" w:rsidR="0062500C" w:rsidRPr="00881974" w:rsidRDefault="0062500C" w:rsidP="00FC407C">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54A4F97F" w14:textId="77777777" w:rsidR="0062500C" w:rsidRPr="00384447" w:rsidRDefault="0062500C" w:rsidP="00FC407C">
            <w:pPr>
              <w:keepNext/>
              <w:jc w:val="center"/>
              <w:outlineLvl w:val="2"/>
              <w:rPr>
                <w:b/>
                <w:snapToGrid w:val="0"/>
              </w:rPr>
            </w:pPr>
          </w:p>
        </w:tc>
      </w:tr>
      <w:tr w:rsidR="0062500C" w:rsidRPr="00384447" w14:paraId="0B22FBB9" w14:textId="77777777" w:rsidTr="00FC407C">
        <w:trPr>
          <w:trHeight w:val="52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38C04F8C" w14:textId="77777777" w:rsidR="0062500C" w:rsidRPr="00881974" w:rsidRDefault="0062500C" w:rsidP="00FC407C">
            <w:pPr>
              <w:rPr>
                <w:color w:val="000000"/>
              </w:rPr>
            </w:pPr>
            <w:r w:rsidRPr="00881974">
              <w:rPr>
                <w:color w:val="000000"/>
              </w:rPr>
              <w:t>Readability</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44B874D1" w14:textId="77777777" w:rsidR="0062500C" w:rsidRPr="00881974" w:rsidRDefault="00123D00" w:rsidP="00FC407C">
            <w:pPr>
              <w:jc w:val="center"/>
              <w:rPr>
                <w:color w:val="000000"/>
              </w:rPr>
            </w:pPr>
            <w:hyperlink r:id="rId13" w:history="1">
              <w:r w:rsidR="0062500C" w:rsidRPr="00881974">
                <w:rPr>
                  <w:rStyle w:val="Hyperlink"/>
                </w:rPr>
                <w:t>24-A M.R.S.A. §2441</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73665049" w14:textId="77777777" w:rsidR="0062500C" w:rsidRPr="00881974" w:rsidRDefault="0062500C" w:rsidP="00FC407C">
            <w:pPr>
              <w:rPr>
                <w:color w:val="000000"/>
              </w:rPr>
            </w:pPr>
            <w:r w:rsidRPr="00881974">
              <w:rPr>
                <w:color w:val="000000"/>
              </w:rPr>
              <w:t xml:space="preserve">Minimum of 50.  Riders, endorsements, applications all must be scored. They may be scored either individually or in conjunction with the policy/certificate to which they will be attached. Exceptions: Federally mandated forms/language, Groups &gt; 1000, Group Annuities </w:t>
            </w:r>
            <w:r w:rsidRPr="00881974">
              <w:rPr>
                <w:color w:val="000000"/>
              </w:rPr>
              <w:lastRenderedPageBreak/>
              <w:t>as funding vehicles.  Scores must be entered on form schedule tab in SERFF.</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372302F8" w14:textId="77777777" w:rsidR="0062500C" w:rsidRPr="00881974" w:rsidRDefault="0062500C" w:rsidP="00FC407C">
            <w:pPr>
              <w:keepNext/>
              <w:jc w:val="center"/>
              <w:outlineLvl w:val="2"/>
              <w:rPr>
                <w:caps/>
              </w:rPr>
            </w:pPr>
            <w:r w:rsidRPr="00881974">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5535C713" w14:textId="77777777" w:rsidR="0062500C" w:rsidRPr="00384447" w:rsidRDefault="0062500C" w:rsidP="00FC407C">
            <w:pPr>
              <w:keepNext/>
              <w:jc w:val="center"/>
              <w:outlineLvl w:val="2"/>
              <w:rPr>
                <w:b/>
                <w:snapToGrid w:val="0"/>
              </w:rPr>
            </w:pPr>
          </w:p>
        </w:tc>
      </w:tr>
      <w:tr w:rsidR="0062500C" w:rsidRPr="00384447" w14:paraId="70EDEBB4" w14:textId="77777777" w:rsidTr="00FC407C">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581F9730" w14:textId="77777777" w:rsidR="0062500C" w:rsidRPr="00881974" w:rsidRDefault="0062500C" w:rsidP="00FC407C">
            <w:pPr>
              <w:rPr>
                <w:color w:val="000000"/>
              </w:rPr>
            </w:pPr>
            <w:r w:rsidRPr="00881974">
              <w:rPr>
                <w:color w:val="000000"/>
              </w:rPr>
              <w:t>Variability of Language</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4EF7E201" w14:textId="77777777" w:rsidR="0062500C" w:rsidRPr="00881974" w:rsidRDefault="00123D00" w:rsidP="00FC407C">
            <w:pPr>
              <w:jc w:val="center"/>
              <w:rPr>
                <w:color w:val="000000"/>
              </w:rPr>
            </w:pPr>
            <w:hyperlink r:id="rId14" w:history="1">
              <w:r w:rsidR="0062500C" w:rsidRPr="00881974">
                <w:rPr>
                  <w:rStyle w:val="Hyperlink"/>
                </w:rPr>
                <w:t>24-A M.R.S.A.</w:t>
              </w:r>
              <w:r w:rsidR="0062500C" w:rsidRPr="00881974">
                <w:rPr>
                  <w:color w:val="3366CC"/>
                  <w:u w:val="single"/>
                </w:rPr>
                <w:br/>
              </w:r>
              <w:r w:rsidR="0062500C" w:rsidRPr="00881974">
                <w:rPr>
                  <w:rStyle w:val="Hyperlink"/>
                </w:rPr>
                <w:t>§2412</w:t>
              </w:r>
            </w:hyperlink>
            <w:r w:rsidR="0062500C" w:rsidRPr="00881974">
              <w:rPr>
                <w:color w:val="000000"/>
              </w:rPr>
              <w:t xml:space="preserve"> </w:t>
            </w:r>
            <w:r w:rsidR="0062500C" w:rsidRPr="00881974">
              <w:rPr>
                <w:color w:val="000000"/>
              </w:rPr>
              <w:br/>
            </w:r>
            <w:r w:rsidR="0062500C" w:rsidRPr="00881974">
              <w:rPr>
                <w:color w:val="000000"/>
              </w:rPr>
              <w:br/>
            </w:r>
            <w:r w:rsidR="0062500C" w:rsidRPr="00881974">
              <w:rPr>
                <w:rStyle w:val="Strong"/>
                <w:color w:val="000000"/>
              </w:rPr>
              <w:t> </w:t>
            </w:r>
            <w:hyperlink r:id="rId15" w:history="1">
              <w:r w:rsidR="0062500C" w:rsidRPr="00881974">
                <w:rPr>
                  <w:rStyle w:val="Hyperlink"/>
                </w:rPr>
                <w:t>§2413</w:t>
              </w:r>
            </w:hyperlink>
            <w:r w:rsidR="0062500C" w:rsidRPr="00881974">
              <w:rPr>
                <w:rStyle w:val="Strong"/>
                <w:color w:val="000000"/>
              </w:rPr>
              <w:t xml:space="preserve"> </w:t>
            </w:r>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16A62AD7" w14:textId="77777777" w:rsidR="0062500C" w:rsidRPr="00881974" w:rsidRDefault="0062500C" w:rsidP="00FC407C">
            <w:pPr>
              <w:rPr>
                <w:color w:val="000000"/>
              </w:rPr>
            </w:pPr>
            <w:r w:rsidRPr="00881974">
              <w:rPr>
                <w:color w:val="00000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7FC631D9" w14:textId="77777777" w:rsidR="0062500C" w:rsidRPr="00881974" w:rsidRDefault="0062500C" w:rsidP="00FC407C">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7173576D" w14:textId="77777777" w:rsidR="0062500C" w:rsidRPr="00384447" w:rsidRDefault="0062500C" w:rsidP="00FC407C">
            <w:pPr>
              <w:keepNext/>
              <w:jc w:val="center"/>
              <w:outlineLvl w:val="2"/>
              <w:rPr>
                <w:b/>
                <w:snapToGrid w:val="0"/>
              </w:rPr>
            </w:pPr>
          </w:p>
        </w:tc>
      </w:tr>
      <w:tr w:rsidR="0062500C" w:rsidRPr="00384447" w14:paraId="0AAFB637" w14:textId="77777777" w:rsidTr="00FC407C">
        <w:trPr>
          <w:trHeight w:val="705"/>
        </w:trPr>
        <w:tc>
          <w:tcPr>
            <w:tcW w:w="14670" w:type="dxa"/>
            <w:gridSpan w:val="5"/>
            <w:tcBorders>
              <w:top w:val="single" w:sz="6" w:space="0" w:color="auto"/>
              <w:left w:val="single" w:sz="6" w:space="0" w:color="auto"/>
              <w:bottom w:val="single" w:sz="6" w:space="0" w:color="auto"/>
              <w:right w:val="single" w:sz="2" w:space="0" w:color="000000"/>
            </w:tcBorders>
            <w:shd w:val="clear" w:color="auto" w:fill="BFBFBF"/>
          </w:tcPr>
          <w:p w14:paraId="72784303" w14:textId="77777777" w:rsidR="0062500C" w:rsidRPr="00184794" w:rsidRDefault="0062500C" w:rsidP="00FC407C">
            <w:pPr>
              <w:keepNext/>
              <w:spacing w:before="240" w:after="240"/>
              <w:outlineLvl w:val="2"/>
              <w:rPr>
                <w:b/>
                <w:snapToGrid w:val="0"/>
              </w:rPr>
            </w:pPr>
            <w:r w:rsidRPr="00184794">
              <w:rPr>
                <w:b/>
                <w:caps/>
              </w:rPr>
              <w:t>General Policy Provisions</w:t>
            </w:r>
          </w:p>
        </w:tc>
      </w:tr>
      <w:tr w:rsidR="0062500C" w:rsidRPr="00384447" w14:paraId="45453CF9" w14:textId="77777777" w:rsidTr="00FC407C">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11EE13A8" w14:textId="10D6A477" w:rsidR="0062500C" w:rsidRPr="00384447" w:rsidRDefault="0062500C" w:rsidP="00FC407C">
            <w:pPr>
              <w:spacing w:line="150" w:lineRule="atLeast"/>
            </w:pPr>
            <w:r w:rsidRPr="00384447">
              <w:t>Applicant's statements</w:t>
            </w:r>
            <w:r w:rsidR="00291381">
              <w:t xml:space="preserve"> - Group</w:t>
            </w:r>
            <w:r w:rsidRPr="00384447">
              <w:t xml:space="preserve"> </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7574C5EE" w14:textId="77777777" w:rsidR="0062500C" w:rsidRPr="00384447" w:rsidRDefault="0062500C" w:rsidP="00FC407C">
            <w:pPr>
              <w:spacing w:line="150" w:lineRule="atLeast"/>
              <w:jc w:val="center"/>
            </w:pPr>
            <w:r w:rsidRPr="00384447">
              <w:rPr>
                <w:color w:val="0000FF"/>
                <w:u w:val="single"/>
              </w:rPr>
              <w:t>24-A M.R.S.A.</w:t>
            </w:r>
            <w:r w:rsidRPr="00384447">
              <w:t xml:space="preserve"> </w:t>
            </w:r>
            <w:hyperlink r:id="rId16" w:history="1">
              <w:r w:rsidRPr="00384447">
                <w:rPr>
                  <w:rStyle w:val="FollowedHyperlink"/>
                  <w:color w:val="0000FF"/>
                </w:rPr>
                <w:t>§2817</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1BDA3A9E" w14:textId="77777777" w:rsidR="0062500C" w:rsidRPr="00384447" w:rsidRDefault="0062500C" w:rsidP="00326948">
            <w:pPr>
              <w:spacing w:line="150" w:lineRule="atLeast"/>
            </w:pPr>
            <w:r w:rsidRPr="00384447">
              <w:t>No statement made by the applicant for insurance shall void the insurance or reduce benefits unless contained in the written application signed by the applicant; and a provision that no agent has authority to change the policy or to waive any of its provisions; and that no change in the policy shall be valid unless approved by an officer of the insurer and evidenced by endorsement on the policy, or by amendment to the policy signed by the policyholder and the insurer</w:t>
            </w:r>
            <w:r>
              <w:t xml:space="preserve">. </w:t>
            </w:r>
          </w:p>
        </w:tc>
        <w:tc>
          <w:tcPr>
            <w:tcW w:w="540" w:type="dxa"/>
            <w:tcBorders>
              <w:top w:val="single" w:sz="6" w:space="0" w:color="auto"/>
              <w:left w:val="single" w:sz="2" w:space="0" w:color="000000"/>
              <w:bottom w:val="single" w:sz="6" w:space="0" w:color="auto"/>
              <w:right w:val="single" w:sz="2" w:space="0" w:color="000000"/>
            </w:tcBorders>
          </w:tcPr>
          <w:p w14:paraId="1E077C51" w14:textId="77777777" w:rsidR="0062500C" w:rsidRPr="00384447" w:rsidRDefault="0062500C" w:rsidP="00FC407C">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2038FCC1" w14:textId="77777777" w:rsidR="0062500C" w:rsidRPr="00384447" w:rsidRDefault="0062500C" w:rsidP="00FC407C">
            <w:pPr>
              <w:rPr>
                <w:snapToGrid w:val="0"/>
                <w:color w:val="000000"/>
                <w:highlight w:val="cyan"/>
              </w:rPr>
            </w:pPr>
          </w:p>
        </w:tc>
      </w:tr>
      <w:tr w:rsidR="0062500C" w:rsidRPr="00384447" w14:paraId="2E636CC6" w14:textId="77777777" w:rsidTr="00FC407C">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61C50FF3" w14:textId="77777777" w:rsidR="0062500C" w:rsidRPr="00384447" w:rsidRDefault="0062500C" w:rsidP="00FC407C">
            <w:pPr>
              <w:pStyle w:val="NormalWeb"/>
              <w:shd w:val="clear" w:color="auto" w:fill="FFFFFF"/>
              <w:spacing w:after="0" w:afterAutospacing="0" w:line="180" w:lineRule="atLeast"/>
            </w:pPr>
            <w:r w:rsidRPr="00384447">
              <w:rPr>
                <w:bCs/>
              </w:rPr>
              <w:t>Designation of Classification of Coverage</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6001D77C" w14:textId="77777777" w:rsidR="0062500C" w:rsidRDefault="00123D00" w:rsidP="00FC407C">
            <w:pPr>
              <w:pStyle w:val="NormalWeb"/>
              <w:shd w:val="clear" w:color="auto" w:fill="FFFFFF"/>
              <w:spacing w:after="0" w:afterAutospacing="0" w:line="180" w:lineRule="atLeast"/>
              <w:jc w:val="center"/>
            </w:pPr>
            <w:hyperlink r:id="rId17" w:history="1">
              <w:r w:rsidR="0062500C" w:rsidRPr="00384447">
                <w:rPr>
                  <w:rStyle w:val="Hyperlink"/>
                </w:rPr>
                <w:t>24-A M.R.S.A. §2694</w:t>
              </w:r>
            </w:hyperlink>
          </w:p>
          <w:p w14:paraId="41B493B4" w14:textId="77777777" w:rsidR="0062500C" w:rsidRDefault="0062500C" w:rsidP="00FC407C">
            <w:pPr>
              <w:pStyle w:val="NormalWeb"/>
              <w:shd w:val="clear" w:color="auto" w:fill="FFFFFF"/>
              <w:spacing w:after="0" w:afterAutospacing="0" w:line="180" w:lineRule="atLeast"/>
              <w:jc w:val="center"/>
            </w:pPr>
          </w:p>
          <w:p w14:paraId="47932A32" w14:textId="77777777" w:rsidR="0062500C" w:rsidRPr="00384447" w:rsidRDefault="00123D00" w:rsidP="00FC407C">
            <w:pPr>
              <w:pStyle w:val="NormalWeb"/>
              <w:shd w:val="clear" w:color="auto" w:fill="FFFFFF"/>
              <w:spacing w:before="0" w:beforeAutospacing="0" w:after="0" w:afterAutospacing="0" w:line="180" w:lineRule="atLeast"/>
              <w:jc w:val="center"/>
              <w:rPr>
                <w:color w:val="0000FF"/>
              </w:rPr>
            </w:pPr>
            <w:hyperlink r:id="rId18" w:history="1">
              <w:r w:rsidR="0062500C" w:rsidRPr="001705DD">
                <w:rPr>
                  <w:rStyle w:val="Hyperlink"/>
                </w:rPr>
                <w:t>Rule 755,</w:t>
              </w:r>
              <w:r w:rsidR="0062500C" w:rsidRPr="001705DD">
                <w:rPr>
                  <w:rStyle w:val="Hyperlink"/>
                </w:rPr>
                <w:br/>
                <w:t>Sec. 6</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73C696C7" w14:textId="77777777" w:rsidR="0062500C" w:rsidRPr="00384447" w:rsidRDefault="0062500C" w:rsidP="00326948">
            <w:pPr>
              <w:pStyle w:val="NormalWeb"/>
              <w:shd w:val="clear" w:color="auto" w:fill="FFFFFF"/>
              <w:spacing w:after="0" w:afterAutospacing="0" w:line="180" w:lineRule="atLeast"/>
            </w:pPr>
            <w:r w:rsidRPr="00384447">
              <w:t>The heading of the cover letter of any form  filing subject to this rule shall state the category of coverage set forth in 24-A M.R.S.A. §2694 that the form is intended to be in.</w:t>
            </w:r>
          </w:p>
        </w:tc>
        <w:tc>
          <w:tcPr>
            <w:tcW w:w="540" w:type="dxa"/>
            <w:tcBorders>
              <w:top w:val="single" w:sz="6" w:space="0" w:color="auto"/>
              <w:left w:val="single" w:sz="2" w:space="0" w:color="000000"/>
              <w:bottom w:val="single" w:sz="6" w:space="0" w:color="auto"/>
              <w:right w:val="single" w:sz="2" w:space="0" w:color="000000"/>
            </w:tcBorders>
          </w:tcPr>
          <w:p w14:paraId="24934F99" w14:textId="77777777" w:rsidR="0062500C" w:rsidRPr="00384447" w:rsidRDefault="0062500C" w:rsidP="00FC407C">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42616B70" w14:textId="77777777" w:rsidR="0062500C" w:rsidRPr="00384447" w:rsidRDefault="0062500C" w:rsidP="00FC407C">
            <w:pPr>
              <w:pStyle w:val="NormalWeb"/>
              <w:shd w:val="clear" w:color="auto" w:fill="FFFFFF"/>
              <w:spacing w:after="0" w:afterAutospacing="0" w:line="180" w:lineRule="atLeast"/>
            </w:pPr>
          </w:p>
        </w:tc>
      </w:tr>
      <w:tr w:rsidR="0062500C" w:rsidRPr="00384447" w14:paraId="0E673DAD" w14:textId="77777777" w:rsidTr="00FC407C">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3750AD8A" w14:textId="77777777" w:rsidR="0062500C" w:rsidRDefault="0062500C" w:rsidP="00FC407C">
            <w:pPr>
              <w:pStyle w:val="NormalWeb"/>
              <w:spacing w:line="180" w:lineRule="atLeast"/>
            </w:pPr>
            <w:r w:rsidRPr="00384447">
              <w:t>Explanations Regarding Deductibles</w:t>
            </w:r>
          </w:p>
          <w:p w14:paraId="2D1E5728" w14:textId="77777777" w:rsidR="0062500C" w:rsidRDefault="0062500C" w:rsidP="00FC407C">
            <w:pPr>
              <w:pStyle w:val="NormalWeb"/>
              <w:spacing w:line="180" w:lineRule="atLeast"/>
            </w:pPr>
          </w:p>
          <w:p w14:paraId="00027313" w14:textId="77777777" w:rsidR="0062500C" w:rsidRPr="00384447" w:rsidRDefault="0062500C" w:rsidP="00FC407C">
            <w:pPr>
              <w:pStyle w:val="NormalWeb"/>
              <w:spacing w:line="180" w:lineRule="atLeast"/>
            </w:pP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790555B3" w14:textId="77777777" w:rsidR="0062500C" w:rsidRPr="0062500C" w:rsidRDefault="00123D00" w:rsidP="0062500C">
            <w:pPr>
              <w:jc w:val="center"/>
              <w:rPr>
                <w:color w:val="0000FF"/>
                <w:u w:val="single"/>
              </w:rPr>
            </w:pPr>
            <w:hyperlink r:id="rId19" w:history="1">
              <w:r w:rsidR="0062500C" w:rsidRPr="00384447">
                <w:rPr>
                  <w:rStyle w:val="Hyperlink"/>
                </w:rPr>
                <w:t>24-A M.R.S.A. §2413</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5CB59DE7" w14:textId="77777777" w:rsidR="0062500C" w:rsidRPr="00384447" w:rsidRDefault="0062500C" w:rsidP="00FC407C">
            <w:r w:rsidRPr="00384447">
              <w:t>All policies must include clear explanations of all of the following regarding deductibles:</w:t>
            </w:r>
          </w:p>
          <w:p w14:paraId="3E778182" w14:textId="77777777" w:rsidR="0062500C" w:rsidRPr="00384447" w:rsidRDefault="0062500C" w:rsidP="00FC407C">
            <w:pPr>
              <w:numPr>
                <w:ilvl w:val="0"/>
                <w:numId w:val="1"/>
              </w:numPr>
            </w:pPr>
            <w:r w:rsidRPr="00384447">
              <w:t>Whether it is a calendar or policy year deductible.</w:t>
            </w:r>
          </w:p>
          <w:p w14:paraId="09B022DC" w14:textId="77777777" w:rsidR="0062500C" w:rsidRPr="00384447" w:rsidRDefault="0062500C" w:rsidP="00FC407C">
            <w:pPr>
              <w:numPr>
                <w:ilvl w:val="0"/>
                <w:numId w:val="1"/>
              </w:numPr>
            </w:pPr>
            <w:r w:rsidRPr="00384447">
              <w:t>Clearly advise whether non-covered expenses apply to the deductible.</w:t>
            </w:r>
          </w:p>
          <w:p w14:paraId="4536021A" w14:textId="77777777" w:rsidR="0062500C" w:rsidRPr="00384447" w:rsidRDefault="0062500C" w:rsidP="0062500C">
            <w:pPr>
              <w:numPr>
                <w:ilvl w:val="0"/>
                <w:numId w:val="1"/>
              </w:numPr>
            </w:pPr>
            <w:r w:rsidRPr="00384447">
              <w:t>Clearly advise whether it is a per person or family deductible or both.</w:t>
            </w:r>
          </w:p>
        </w:tc>
        <w:tc>
          <w:tcPr>
            <w:tcW w:w="540" w:type="dxa"/>
            <w:tcBorders>
              <w:top w:val="single" w:sz="6" w:space="0" w:color="auto"/>
              <w:left w:val="single" w:sz="2" w:space="0" w:color="000000"/>
              <w:bottom w:val="single" w:sz="6" w:space="0" w:color="auto"/>
              <w:right w:val="single" w:sz="2" w:space="0" w:color="000000"/>
            </w:tcBorders>
          </w:tcPr>
          <w:p w14:paraId="43FB716B" w14:textId="77777777" w:rsidR="0062500C" w:rsidRPr="00384447" w:rsidRDefault="0062500C" w:rsidP="00FC407C">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203AE4C6" w14:textId="77777777" w:rsidR="0062500C" w:rsidRPr="00384447" w:rsidRDefault="0062500C" w:rsidP="00FC407C">
            <w:pPr>
              <w:rPr>
                <w:snapToGrid w:val="0"/>
              </w:rPr>
            </w:pPr>
          </w:p>
        </w:tc>
      </w:tr>
      <w:tr w:rsidR="0062500C" w:rsidRPr="00384447" w14:paraId="68A80766" w14:textId="77777777" w:rsidTr="00FC407C">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29B5BCBD" w14:textId="77777777" w:rsidR="0062500C" w:rsidRPr="00384447" w:rsidRDefault="0062500C" w:rsidP="00FC407C">
            <w:pPr>
              <w:pStyle w:val="NormalWeb"/>
              <w:spacing w:line="150" w:lineRule="atLeast"/>
            </w:pPr>
            <w:r w:rsidRPr="00384447">
              <w:t xml:space="preserve">Grace Period </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3C165C8D" w14:textId="36B2DCBB" w:rsidR="0062500C" w:rsidRDefault="00123D00" w:rsidP="00FC407C">
            <w:pPr>
              <w:pStyle w:val="NormalWeb"/>
              <w:spacing w:line="150" w:lineRule="atLeast"/>
              <w:jc w:val="center"/>
              <w:rPr>
                <w:rStyle w:val="Hyperlink"/>
              </w:rPr>
            </w:pPr>
            <w:hyperlink r:id="rId20" w:history="1">
              <w:r w:rsidR="0062500C" w:rsidRPr="00384447">
                <w:rPr>
                  <w:rStyle w:val="Hyperlink"/>
                </w:rPr>
                <w:t>24-A M.R.S.A.</w:t>
              </w:r>
              <w:r w:rsidR="0062500C" w:rsidRPr="00384447">
                <w:rPr>
                  <w:rStyle w:val="Hyperlink"/>
                </w:rPr>
                <w:br/>
                <w:t>§4209 (6)</w:t>
              </w:r>
            </w:hyperlink>
          </w:p>
          <w:p w14:paraId="06CABFF1" w14:textId="73DF48FF" w:rsidR="00C401BC" w:rsidRDefault="00C401BC" w:rsidP="00FC407C">
            <w:pPr>
              <w:pStyle w:val="NormalWeb"/>
              <w:spacing w:line="150" w:lineRule="atLeast"/>
              <w:jc w:val="center"/>
              <w:rPr>
                <w:rStyle w:val="Hyperlink"/>
              </w:rPr>
            </w:pPr>
            <w:r>
              <w:rPr>
                <w:rStyle w:val="Hyperlink"/>
              </w:rPr>
              <w:t xml:space="preserve">24-A M.R.S.A. </w:t>
            </w:r>
            <w:r w:rsidR="00F336D7">
              <w:rPr>
                <w:rStyle w:val="Hyperlink"/>
              </w:rPr>
              <w:t>§</w:t>
            </w:r>
            <w:r>
              <w:rPr>
                <w:rStyle w:val="Hyperlink"/>
              </w:rPr>
              <w:t>2809-A</w:t>
            </w:r>
          </w:p>
          <w:p w14:paraId="67BB44B0" w14:textId="58004AAF" w:rsidR="00C401BC" w:rsidRPr="00384447" w:rsidRDefault="00C401BC" w:rsidP="00FC407C">
            <w:pPr>
              <w:pStyle w:val="NormalWeb"/>
              <w:spacing w:line="150" w:lineRule="atLeast"/>
              <w:jc w:val="center"/>
            </w:pPr>
            <w:r>
              <w:rPr>
                <w:rStyle w:val="Hyperlink"/>
              </w:rPr>
              <w:lastRenderedPageBreak/>
              <w:t>24-A M.R.S.A.</w:t>
            </w:r>
            <w:r w:rsidR="00F336D7">
              <w:rPr>
                <w:rStyle w:val="Hyperlink"/>
              </w:rPr>
              <w:t xml:space="preserve"> §2707</w:t>
            </w:r>
            <w:r>
              <w:rPr>
                <w:rStyle w:val="Hyperlink"/>
              </w:rPr>
              <w:t xml:space="preserve">  </w:t>
            </w:r>
          </w:p>
          <w:p w14:paraId="40E96869" w14:textId="244CDB55" w:rsidR="0062500C" w:rsidRPr="00384447" w:rsidRDefault="00123D00" w:rsidP="00FC407C">
            <w:pPr>
              <w:pStyle w:val="NormalWeb"/>
              <w:spacing w:line="150" w:lineRule="atLeast"/>
              <w:jc w:val="center"/>
              <w:rPr>
                <w:color w:val="0000FF"/>
              </w:rPr>
            </w:pPr>
            <w:hyperlink r:id="rId21" w:history="1">
              <w:r w:rsidR="0062500C" w:rsidRPr="00384447">
                <w:rPr>
                  <w:rStyle w:val="Hyperlink"/>
                </w:rPr>
                <w:t>Bulletin 288</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55576028" w14:textId="77777777" w:rsidR="0062500C" w:rsidRPr="00384447" w:rsidRDefault="0062500C" w:rsidP="00FC407C">
            <w:pPr>
              <w:pStyle w:val="NormalWeb"/>
              <w:spacing w:line="150" w:lineRule="atLeast"/>
            </w:pPr>
            <w:r w:rsidRPr="00384447">
              <w:lastRenderedPageBreak/>
              <w:t xml:space="preserve">30 or 31 days. </w:t>
            </w:r>
          </w:p>
        </w:tc>
        <w:tc>
          <w:tcPr>
            <w:tcW w:w="540" w:type="dxa"/>
            <w:tcBorders>
              <w:top w:val="single" w:sz="6" w:space="0" w:color="auto"/>
              <w:left w:val="single" w:sz="2" w:space="0" w:color="000000"/>
              <w:bottom w:val="single" w:sz="6" w:space="0" w:color="auto"/>
              <w:right w:val="single" w:sz="2" w:space="0" w:color="000000"/>
            </w:tcBorders>
          </w:tcPr>
          <w:p w14:paraId="1410BA79" w14:textId="77777777" w:rsidR="0062500C" w:rsidRPr="00384447" w:rsidRDefault="0062500C" w:rsidP="00FC407C">
            <w:pPr>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60CE6290" w14:textId="77777777" w:rsidR="0062500C" w:rsidRPr="00384447" w:rsidRDefault="0062500C" w:rsidP="00FC407C">
            <w:pPr>
              <w:rPr>
                <w:color w:val="FF0000"/>
              </w:rPr>
            </w:pPr>
          </w:p>
        </w:tc>
      </w:tr>
      <w:tr w:rsidR="0062500C" w:rsidRPr="00384447" w14:paraId="398D3A66" w14:textId="77777777" w:rsidTr="00FC407C">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1130D323" w14:textId="77777777" w:rsidR="0062500C" w:rsidRPr="00384447" w:rsidRDefault="0062500C" w:rsidP="00FC407C">
            <w:pPr>
              <w:pStyle w:val="NormalWeb"/>
              <w:spacing w:before="0" w:beforeAutospacing="0" w:after="0" w:afterAutospacing="0"/>
            </w:pPr>
            <w:r w:rsidRPr="00384447">
              <w:t>Notice of Policy Changes and Modifications</w:t>
            </w:r>
          </w:p>
          <w:p w14:paraId="19209B97" w14:textId="77777777" w:rsidR="0062500C" w:rsidRPr="00384447" w:rsidRDefault="0062500C" w:rsidP="00FC407C">
            <w:pPr>
              <w:pStyle w:val="NormalWeb"/>
              <w:spacing w:before="0" w:beforeAutospacing="0" w:after="0" w:afterAutospacing="0"/>
            </w:pPr>
          </w:p>
          <w:p w14:paraId="12FDBA56" w14:textId="77777777" w:rsidR="0062500C" w:rsidRPr="00384447" w:rsidRDefault="0062500C" w:rsidP="00FC407C">
            <w:pPr>
              <w:pStyle w:val="NormalWeb"/>
              <w:spacing w:before="0" w:beforeAutospacing="0" w:after="0" w:afterAutospacing="0"/>
            </w:pP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2AE23DD9" w14:textId="206D1A0A" w:rsidR="0062500C" w:rsidRPr="00384447" w:rsidRDefault="00123D00" w:rsidP="00FC407C">
            <w:pPr>
              <w:jc w:val="center"/>
            </w:pPr>
            <w:hyperlink r:id="rId22" w:history="1">
              <w:r w:rsidR="0062500C" w:rsidRPr="00384447">
                <w:rPr>
                  <w:rStyle w:val="Hyperlink"/>
                </w:rPr>
                <w:t>24-A M.R.S.A. §2850</w:t>
              </w:r>
              <w:r w:rsidR="00D71CC0">
                <w:rPr>
                  <w:rStyle w:val="Hyperlink"/>
                </w:rPr>
                <w:t>-</w:t>
              </w:r>
              <w:r w:rsidR="0062500C" w:rsidRPr="00384447">
                <w:rPr>
                  <w:rStyle w:val="Hyperlink"/>
                </w:rPr>
                <w:t>B(3)(I)</w:t>
              </w:r>
            </w:hyperlink>
          </w:p>
          <w:p w14:paraId="446B880C" w14:textId="77777777" w:rsidR="0062500C" w:rsidRPr="00384447" w:rsidRDefault="0062500C" w:rsidP="00FC407C">
            <w:pPr>
              <w:jc w:val="center"/>
            </w:pPr>
          </w:p>
          <w:p w14:paraId="6C4F0282" w14:textId="77777777" w:rsidR="0062500C" w:rsidRPr="00384447" w:rsidRDefault="0062500C" w:rsidP="00FC407C">
            <w:pPr>
              <w:jc w:val="center"/>
            </w:pPr>
          </w:p>
          <w:p w14:paraId="2E202060" w14:textId="77777777" w:rsidR="0062500C" w:rsidRPr="00384447" w:rsidRDefault="0062500C" w:rsidP="00FC407C">
            <w:pPr>
              <w:pStyle w:val="NormalWeb"/>
              <w:spacing w:before="0" w:beforeAutospacing="0" w:after="0" w:afterAutospacing="0"/>
              <w:jc w:val="center"/>
            </w:pPr>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2186D320" w14:textId="641E9A37" w:rsidR="0062500C" w:rsidRPr="00384447" w:rsidRDefault="001959B0" w:rsidP="00FC407C">
            <w:pPr>
              <w:spacing w:line="180" w:lineRule="atLeast"/>
            </w:pPr>
            <w:r w:rsidRPr="0038126F">
              <w:t xml:space="preserve">In renewing an individual or small group policy, </w:t>
            </w:r>
            <w:r w:rsidR="00F301F7">
              <w:t>a</w:t>
            </w:r>
            <w:r w:rsidR="0062500C" w:rsidRPr="00384447">
              <w:t xml:space="preserve"> carrier may make minor modifications to the coverage, terms and conditions of the policy consistent with other applicable provisions of state and federal laws as long as the modifications meet the conditions specified in this paragraph and are applied uniformly to all pol</w:t>
            </w:r>
            <w:r w:rsidR="00326948">
              <w:t>icyholders of the same product.</w:t>
            </w:r>
          </w:p>
        </w:tc>
        <w:tc>
          <w:tcPr>
            <w:tcW w:w="540" w:type="dxa"/>
            <w:tcBorders>
              <w:top w:val="single" w:sz="6" w:space="0" w:color="auto"/>
              <w:left w:val="single" w:sz="2" w:space="0" w:color="000000"/>
              <w:bottom w:val="single" w:sz="6" w:space="0" w:color="auto"/>
              <w:right w:val="single" w:sz="2" w:space="0" w:color="000000"/>
            </w:tcBorders>
          </w:tcPr>
          <w:p w14:paraId="4C5E3AB5" w14:textId="77777777" w:rsidR="0062500C" w:rsidRPr="00384447" w:rsidRDefault="0062500C" w:rsidP="00FC407C">
            <w:pPr>
              <w:shd w:val="clear" w:color="auto" w:fill="FFFFFF"/>
              <w:jc w:val="center"/>
              <w:rPr>
                <w:rFonts w:eastAsia="MS Mincho"/>
              </w:rPr>
            </w:pPr>
            <w:r w:rsidRPr="00384447">
              <w:rPr>
                <w:rFonts w:ascii="Arial Unicode MS" w:eastAsia="MS Mincho" w:hAnsi="Arial Unicode MS" w:cs="Arial Unicode MS"/>
              </w:rPr>
              <w:t>☐</w:t>
            </w:r>
          </w:p>
          <w:p w14:paraId="55FF018D" w14:textId="77777777" w:rsidR="0062500C" w:rsidRPr="00384447" w:rsidRDefault="0062500C" w:rsidP="00FC407C">
            <w:pPr>
              <w:shd w:val="clear" w:color="auto" w:fill="FFFFFF"/>
              <w:jc w:val="center"/>
              <w:rPr>
                <w:rFonts w:eastAsia="MS Mincho"/>
              </w:rPr>
            </w:pPr>
          </w:p>
          <w:p w14:paraId="32EB6939" w14:textId="77777777" w:rsidR="0062500C" w:rsidRPr="00384447" w:rsidRDefault="0062500C" w:rsidP="00FC407C">
            <w:pPr>
              <w:shd w:val="clear" w:color="auto" w:fill="FFFFFF"/>
              <w:jc w:val="center"/>
            </w:pPr>
          </w:p>
        </w:tc>
        <w:tc>
          <w:tcPr>
            <w:tcW w:w="3330" w:type="dxa"/>
            <w:tcBorders>
              <w:top w:val="single" w:sz="6" w:space="0" w:color="auto"/>
              <w:left w:val="single" w:sz="2" w:space="0" w:color="000000"/>
              <w:bottom w:val="single" w:sz="6" w:space="0" w:color="auto"/>
              <w:right w:val="single" w:sz="2" w:space="0" w:color="000000"/>
            </w:tcBorders>
          </w:tcPr>
          <w:p w14:paraId="0C3071DF" w14:textId="77777777" w:rsidR="0062500C" w:rsidRPr="00384447" w:rsidRDefault="0062500C" w:rsidP="00FC407C">
            <w:pPr>
              <w:rPr>
                <w:snapToGrid w:val="0"/>
                <w:color w:val="000000"/>
              </w:rPr>
            </w:pPr>
          </w:p>
        </w:tc>
      </w:tr>
      <w:tr w:rsidR="0062500C" w:rsidRPr="00384447" w14:paraId="5C76A1B2" w14:textId="77777777" w:rsidTr="00FC407C">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7A063258" w14:textId="40967CB1" w:rsidR="0062500C" w:rsidRPr="00384447" w:rsidRDefault="0062500C" w:rsidP="00FC407C">
            <w:pPr>
              <w:spacing w:line="60" w:lineRule="atLeast"/>
            </w:pPr>
            <w:r w:rsidRPr="00384447">
              <w:t>Notice of Rate Increase</w:t>
            </w:r>
            <w:r w:rsidR="0075592E">
              <w:t xml:space="preserve"> - Individual</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184F6F61" w14:textId="0B84944B" w:rsidR="003A0DB7" w:rsidRDefault="0075592E" w:rsidP="00FC407C">
            <w:pPr>
              <w:spacing w:line="150" w:lineRule="atLeast"/>
              <w:jc w:val="center"/>
              <w:rPr>
                <w:color w:val="0000FF"/>
                <w:u w:val="single"/>
              </w:rPr>
            </w:pPr>
            <w:r>
              <w:rPr>
                <w:color w:val="0000FF"/>
                <w:u w:val="single"/>
              </w:rPr>
              <w:t>24-A M.R.S.A. §2735-A</w:t>
            </w:r>
          </w:p>
          <w:p w14:paraId="7839A775" w14:textId="77777777" w:rsidR="0075592E" w:rsidRDefault="0075592E" w:rsidP="00FC407C">
            <w:pPr>
              <w:spacing w:line="150" w:lineRule="atLeast"/>
              <w:jc w:val="center"/>
              <w:rPr>
                <w:color w:val="0000FF"/>
                <w:u w:val="single"/>
              </w:rPr>
            </w:pPr>
          </w:p>
          <w:p w14:paraId="5AC64B42" w14:textId="70556D4F" w:rsidR="0062500C" w:rsidRPr="00384447" w:rsidRDefault="0062500C" w:rsidP="00FC407C">
            <w:pPr>
              <w:spacing w:line="150" w:lineRule="atLeast"/>
              <w:jc w:val="center"/>
              <w:rPr>
                <w:color w:val="0000FF"/>
              </w:rPr>
            </w:pPr>
            <w:r w:rsidRPr="00384447">
              <w:rPr>
                <w:color w:val="0000FF"/>
                <w:u w:val="single"/>
              </w:rPr>
              <w:t xml:space="preserve">24-A M.R.S.A. </w:t>
            </w:r>
            <w:hyperlink r:id="rId23" w:history="1">
              <w:r w:rsidRPr="00384447">
                <w:rPr>
                  <w:rStyle w:val="Hyperlink"/>
                </w:rPr>
                <w:t>§4222-B(</w:t>
              </w:r>
              <w:r w:rsidR="003A0DB7">
                <w:rPr>
                  <w:rStyle w:val="Hyperlink"/>
                </w:rPr>
                <w:t>20</w:t>
              </w:r>
              <w:r w:rsidRPr="00384447">
                <w:rPr>
                  <w:rStyle w:val="Hyperlink"/>
                </w:rPr>
                <w:t>)</w:t>
              </w:r>
            </w:hyperlink>
          </w:p>
          <w:p w14:paraId="04421565" w14:textId="77777777" w:rsidR="0062500C" w:rsidRPr="00384447" w:rsidRDefault="0062500C" w:rsidP="00FC407C">
            <w:pPr>
              <w:spacing w:line="150" w:lineRule="atLeast"/>
              <w:jc w:val="center"/>
              <w:rPr>
                <w:color w:val="0000FF"/>
              </w:rPr>
            </w:pPr>
          </w:p>
          <w:p w14:paraId="763B852D" w14:textId="77777777" w:rsidR="0062500C" w:rsidRPr="00384447" w:rsidRDefault="0062500C" w:rsidP="00FC407C">
            <w:pPr>
              <w:spacing w:line="150" w:lineRule="atLeast"/>
              <w:jc w:val="center"/>
              <w:rPr>
                <w:color w:val="0000FF"/>
              </w:rPr>
            </w:pPr>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6471061B" w14:textId="4DF062DF" w:rsidR="0062500C" w:rsidRPr="00384447" w:rsidRDefault="0062500C" w:rsidP="00FC407C">
            <w:pPr>
              <w:spacing w:line="60" w:lineRule="atLeast"/>
            </w:pPr>
            <w:r w:rsidRPr="00384447">
              <w:t xml:space="preserve">Requires that insurers provide a minimum of 60 days written notice to affected policyholders prior to a rate filing for individual health </w:t>
            </w:r>
            <w:r w:rsidR="00416ED6" w:rsidRPr="004576B2">
              <w:t>plans as defined in </w:t>
            </w:r>
            <w:hyperlink r:id="rId24" w:history="1">
              <w:r w:rsidR="00416ED6" w:rsidRPr="004576B2">
                <w:t>section 2736</w:t>
              </w:r>
            </w:hyperlink>
            <w:r w:rsidR="00416ED6" w:rsidRPr="004576B2">
              <w:t>-C</w:t>
            </w:r>
            <w:r w:rsidRPr="00384447">
              <w:t>. It specifies the requirements for the notice. See these sections for more details. Reasonable notice must be provided for other types of policies.</w:t>
            </w:r>
          </w:p>
        </w:tc>
        <w:tc>
          <w:tcPr>
            <w:tcW w:w="540" w:type="dxa"/>
            <w:tcBorders>
              <w:top w:val="single" w:sz="6" w:space="0" w:color="auto"/>
              <w:left w:val="single" w:sz="2" w:space="0" w:color="000000"/>
              <w:bottom w:val="single" w:sz="6" w:space="0" w:color="auto"/>
              <w:right w:val="single" w:sz="2" w:space="0" w:color="000000"/>
            </w:tcBorders>
          </w:tcPr>
          <w:p w14:paraId="5F043643" w14:textId="77777777" w:rsidR="0062500C" w:rsidRPr="00384447" w:rsidRDefault="0062500C" w:rsidP="00FC407C">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3FA29D3A" w14:textId="77777777" w:rsidR="0062500C" w:rsidRPr="00384447" w:rsidRDefault="0062500C" w:rsidP="00FC407C">
            <w:pPr>
              <w:rPr>
                <w:snapToGrid w:val="0"/>
                <w:color w:val="000000"/>
              </w:rPr>
            </w:pPr>
          </w:p>
        </w:tc>
      </w:tr>
      <w:tr w:rsidR="0062500C" w:rsidRPr="00384447" w14:paraId="55547559" w14:textId="77777777" w:rsidTr="00FC407C">
        <w:trPr>
          <w:trHeight w:val="606"/>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2E59EA43" w14:textId="77777777" w:rsidR="0062500C" w:rsidRDefault="0062500C" w:rsidP="00FC407C">
            <w:pPr>
              <w:spacing w:line="150" w:lineRule="atLeast"/>
            </w:pPr>
            <w:r>
              <w:t>Rates - Small Group</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4A7CDCF6" w14:textId="77777777" w:rsidR="0062500C" w:rsidRPr="00EF0C1E" w:rsidRDefault="00123D00" w:rsidP="00FC407C">
            <w:pPr>
              <w:pStyle w:val="NormalWeb"/>
              <w:spacing w:before="0" w:beforeAutospacing="0" w:after="0" w:afterAutospacing="0" w:line="150" w:lineRule="atLeast"/>
              <w:jc w:val="center"/>
              <w:rPr>
                <w:color w:val="0000FF"/>
                <w:u w:val="single"/>
              </w:rPr>
            </w:pPr>
            <w:hyperlink r:id="rId25" w:history="1">
              <w:r w:rsidR="0062500C" w:rsidRPr="007B7288">
                <w:rPr>
                  <w:rStyle w:val="Hyperlink"/>
                </w:rPr>
                <w:t>24-A M.R.S.A §2808-B (2-A)</w:t>
              </w:r>
            </w:hyperlink>
            <w:r w:rsidR="0062500C">
              <w:rPr>
                <w:color w:val="0000FF"/>
                <w:u w:val="single"/>
              </w:rPr>
              <w:t xml:space="preserve"> </w:t>
            </w:r>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3335B44A" w14:textId="49A49EE8" w:rsidR="0062500C" w:rsidRPr="007B7288" w:rsidRDefault="0062500C" w:rsidP="00FC407C">
            <w:pPr>
              <w:shd w:val="clear" w:color="auto" w:fill="F5F4EF"/>
              <w:jc w:val="both"/>
            </w:pPr>
            <w:r w:rsidRPr="007B7288">
              <w:t>A carrier offering</w:t>
            </w:r>
            <w:r w:rsidR="00866BA6">
              <w:t xml:space="preserve"> a</w:t>
            </w:r>
            <w:r w:rsidRPr="007B7288">
              <w:t xml:space="preserve"> small group health </w:t>
            </w:r>
            <w:r w:rsidR="006D3F02" w:rsidRPr="004576B2">
              <w:t>plan</w:t>
            </w:r>
            <w:r w:rsidR="00866BA6">
              <w:t>,</w:t>
            </w:r>
            <w:r w:rsidR="006D3F02" w:rsidRPr="004576B2">
              <w:t> as defined in </w:t>
            </w:r>
            <w:hyperlink r:id="rId26" w:history="1">
              <w:r w:rsidR="006D3F02" w:rsidRPr="004576B2">
                <w:t>section 2736</w:t>
              </w:r>
            </w:hyperlink>
            <w:r w:rsidR="006D3F02" w:rsidRPr="004576B2">
              <w:t>-C</w:t>
            </w:r>
            <w:r w:rsidR="00866BA6">
              <w:t>,</w:t>
            </w:r>
            <w:r w:rsidRPr="007B7288">
              <w:t xml:space="preserve"> shall file with the superintendent the community rates for each plan and every rate, rating formula and classification of risks and every modification of any formula or classification that it proposes to use. </w:t>
            </w:r>
          </w:p>
          <w:p w14:paraId="2E525C71" w14:textId="77777777" w:rsidR="0062500C" w:rsidRDefault="0062500C" w:rsidP="00FC407C">
            <w:pPr>
              <w:shd w:val="clear" w:color="auto" w:fill="F5F4EF"/>
              <w:ind w:firstLine="480"/>
              <w:jc w:val="both"/>
            </w:pPr>
          </w:p>
          <w:p w14:paraId="28B1218F" w14:textId="77777777" w:rsidR="0062500C" w:rsidRDefault="0062500C" w:rsidP="00FC407C">
            <w:pPr>
              <w:shd w:val="clear" w:color="auto" w:fill="F5F4EF"/>
              <w:jc w:val="both"/>
              <w:rPr>
                <w:rFonts w:ascii="Courier New" w:hAnsi="Courier New" w:cs="Courier New"/>
                <w:sz w:val="20"/>
                <w:szCs w:val="20"/>
              </w:rPr>
            </w:pPr>
            <w:r w:rsidRPr="007B7288">
              <w:t>A. Every filing must state the effective date of the filing. Every filing must be made not less than 60 days in advance of the stated effective date, unless the 60-day requirement is waived by the superintendent. The effective date may be suspended by the superintendent for a period of time not to exceed 30 days.</w:t>
            </w:r>
            <w:r w:rsidRPr="007B7288">
              <w:rPr>
                <w:rFonts w:ascii="Courier New" w:hAnsi="Courier New" w:cs="Courier New"/>
                <w:sz w:val="20"/>
                <w:szCs w:val="20"/>
              </w:rPr>
              <w:t xml:space="preserve"> </w:t>
            </w:r>
          </w:p>
          <w:p w14:paraId="2E6141DE" w14:textId="77777777" w:rsidR="0062500C" w:rsidRDefault="0062500C" w:rsidP="00FC407C">
            <w:pPr>
              <w:shd w:val="clear" w:color="auto" w:fill="F5F4EF"/>
              <w:jc w:val="both"/>
              <w:rPr>
                <w:rFonts w:ascii="Courier New" w:hAnsi="Courier New" w:cs="Courier New"/>
                <w:sz w:val="20"/>
                <w:szCs w:val="20"/>
              </w:rPr>
            </w:pPr>
          </w:p>
          <w:p w14:paraId="6428B019" w14:textId="77777777" w:rsidR="0062500C" w:rsidRDefault="0062500C" w:rsidP="00FC407C">
            <w:pPr>
              <w:shd w:val="clear" w:color="auto" w:fill="F5F4EF"/>
              <w:jc w:val="both"/>
              <w:rPr>
                <w:rFonts w:ascii="Courier New" w:hAnsi="Courier New" w:cs="Courier New"/>
                <w:sz w:val="20"/>
                <w:szCs w:val="20"/>
              </w:rPr>
            </w:pPr>
            <w:r w:rsidRPr="007B7288">
              <w:t>B. A filing and all supporting information, except for protected health information required to be kept confidential by state or federal statute and except for descriptions of the amount and terms or conditions or reimbursement in a contract between an insurer and a 3rd party, are public records notwithstanding Title 1, section 402, subsection 3, paragraph B and become part of the official record of any hearing held pursuant to subsection 2-B, paragraph B or F.</w:t>
            </w:r>
            <w:r w:rsidRPr="007B7288">
              <w:rPr>
                <w:rFonts w:ascii="Courier New" w:hAnsi="Courier New" w:cs="Courier New"/>
                <w:sz w:val="20"/>
                <w:szCs w:val="20"/>
              </w:rPr>
              <w:t xml:space="preserve"> </w:t>
            </w:r>
          </w:p>
          <w:p w14:paraId="07F88FBE" w14:textId="77777777" w:rsidR="0062500C" w:rsidRDefault="0062500C" w:rsidP="00FC407C">
            <w:pPr>
              <w:shd w:val="clear" w:color="auto" w:fill="F5F4EF"/>
              <w:jc w:val="both"/>
              <w:rPr>
                <w:rFonts w:ascii="Courier New" w:hAnsi="Courier New" w:cs="Courier New"/>
                <w:sz w:val="20"/>
                <w:szCs w:val="20"/>
              </w:rPr>
            </w:pPr>
          </w:p>
          <w:p w14:paraId="65AF2BA3" w14:textId="77777777" w:rsidR="0062500C" w:rsidRDefault="0062500C" w:rsidP="00FC407C">
            <w:pPr>
              <w:shd w:val="clear" w:color="auto" w:fill="F5F4EF"/>
              <w:jc w:val="both"/>
            </w:pPr>
            <w:r w:rsidRPr="007B7288">
              <w:t xml:space="preserve">C. Rates for small group health plans must be filed in accordance with this section and subsections 2-B and 2-C for premium rates effective on or after July 1, 2004, except that the filing of rates for small group health </w:t>
            </w:r>
            <w:r w:rsidRPr="007B7288">
              <w:lastRenderedPageBreak/>
              <w:t>plans are not required to account for any payment or any recovery of that payment pursuant to subsection 2-B, paragraph D and former section 6913 for rates effective before July 1, 2005.</w:t>
            </w:r>
          </w:p>
          <w:p w14:paraId="0C29EE39" w14:textId="77777777" w:rsidR="0062500C" w:rsidRDefault="0062500C" w:rsidP="00FC407C">
            <w:pPr>
              <w:shd w:val="clear" w:color="auto" w:fill="F5F4EF"/>
              <w:jc w:val="both"/>
            </w:pPr>
          </w:p>
          <w:p w14:paraId="3FA4CAA9" w14:textId="77777777" w:rsidR="0062500C" w:rsidRPr="00EF0C1E" w:rsidRDefault="0062500C" w:rsidP="00FC407C">
            <w:pPr>
              <w:shd w:val="clear" w:color="auto" w:fill="F5F4EF"/>
            </w:pPr>
            <w:r w:rsidRPr="0091791F">
              <w:rPr>
                <w:b/>
              </w:rPr>
              <w:t xml:space="preserve">PLEASE NOTE:  Rates must be filed simultaneously with the forms.  Forms </w:t>
            </w:r>
            <w:r>
              <w:rPr>
                <w:b/>
              </w:rPr>
              <w:t xml:space="preserve">submitted in advance of rates, </w:t>
            </w:r>
            <w:r w:rsidRPr="0091791F">
              <w:rPr>
                <w:b/>
              </w:rPr>
              <w:t>will not be approved until rates have been filed, reviewed and approved.  If forms are being revised and there is no effect on current rates, please indicate so in the filing cover letter.</w:t>
            </w:r>
          </w:p>
        </w:tc>
        <w:tc>
          <w:tcPr>
            <w:tcW w:w="540" w:type="dxa"/>
            <w:tcBorders>
              <w:top w:val="single" w:sz="6" w:space="0" w:color="auto"/>
              <w:left w:val="single" w:sz="2" w:space="0" w:color="000000"/>
              <w:bottom w:val="single" w:sz="6" w:space="0" w:color="auto"/>
              <w:right w:val="single" w:sz="2" w:space="0" w:color="000000"/>
            </w:tcBorders>
          </w:tcPr>
          <w:p w14:paraId="2FFF99F3" w14:textId="77777777" w:rsidR="0062500C" w:rsidRPr="00384447" w:rsidRDefault="0062500C" w:rsidP="00FC407C">
            <w:pPr>
              <w:shd w:val="clear" w:color="auto" w:fill="FFFFFF"/>
              <w:jc w:val="center"/>
              <w:rPr>
                <w:rFonts w:ascii="Arial Unicode MS" w:eastAsia="MS Mincho" w:hAnsi="Arial Unicode MS" w:cs="Arial Unicode MS"/>
              </w:rP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7BC1CFF9" w14:textId="77777777" w:rsidR="0062500C" w:rsidRPr="00384447" w:rsidRDefault="0062500C" w:rsidP="00FC407C">
            <w:pPr>
              <w:rPr>
                <w:snapToGrid w:val="0"/>
                <w:color w:val="000000"/>
              </w:rPr>
            </w:pPr>
          </w:p>
        </w:tc>
      </w:tr>
      <w:tr w:rsidR="0062500C" w:rsidRPr="00384447" w14:paraId="5A0FC553" w14:textId="77777777" w:rsidTr="00FC407C">
        <w:trPr>
          <w:trHeight w:val="606"/>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2426B4C5" w14:textId="77777777" w:rsidR="0062500C" w:rsidRDefault="0062500C" w:rsidP="00FC407C">
            <w:pPr>
              <w:spacing w:line="150" w:lineRule="atLeast"/>
            </w:pPr>
            <w:r>
              <w:t xml:space="preserve">Rates - Individual </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7BF1B072" w14:textId="77777777" w:rsidR="0062500C" w:rsidRPr="001705DD" w:rsidRDefault="00123D00" w:rsidP="00FC407C">
            <w:pPr>
              <w:pStyle w:val="NormalWeb"/>
              <w:shd w:val="clear" w:color="auto" w:fill="FFFFFF"/>
              <w:jc w:val="center"/>
              <w:rPr>
                <w:color w:val="0000FF"/>
                <w:u w:val="single"/>
              </w:rPr>
            </w:pPr>
            <w:hyperlink r:id="rId27" w:history="1">
              <w:r w:rsidR="0062500C" w:rsidRPr="0091791F">
                <w:rPr>
                  <w:rStyle w:val="Hyperlink"/>
                </w:rPr>
                <w:t>24-A M.R.S.A §2736</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020AFF2D" w14:textId="5239F6AC" w:rsidR="0062500C" w:rsidRDefault="0062500C" w:rsidP="00FC407C">
            <w:pPr>
              <w:pStyle w:val="NormalWeb"/>
              <w:shd w:val="clear" w:color="auto" w:fill="FFFFFF"/>
            </w:pPr>
            <w:r>
              <w:t>Every insurer shall file for approval by the superintendent every rate, rating formula, classification of risks and every modification of any formula or classification that it proposes to use in connection with individual health insurance policies</w:t>
            </w:r>
            <w:r w:rsidR="0039227E">
              <w:t xml:space="preserve">, </w:t>
            </w:r>
            <w:r w:rsidR="0039227E" w:rsidRPr="004576B2">
              <w:t>as defined in </w:t>
            </w:r>
            <w:hyperlink r:id="rId28" w:history="1">
              <w:r w:rsidR="0039227E" w:rsidRPr="004576B2">
                <w:t>section 2736</w:t>
              </w:r>
            </w:hyperlink>
            <w:r w:rsidR="0039227E" w:rsidRPr="004576B2">
              <w:t>-C</w:t>
            </w:r>
            <w:r w:rsidR="0039227E">
              <w:t>,</w:t>
            </w:r>
            <w:r>
              <w:t xml:space="preserve"> and certain group policies specified in section 2701. If the filing applies to individual health plans as defined in section 2736-C, the insurer shall simultaneously file a copy with the Attorney General. Every such filing must state the effective date of the filing. Every such filing must be made not less than 60 days in advance of the stated effective date, unless the 60-day requirement is waived by the superintendent, and the effective date may be suspended by the superintendent for a period of time not to exceed 30 days. A filing required under this section must be made electronically in a format required by the superintendent unless exempted by rule adopted by the superintendent.</w:t>
            </w:r>
          </w:p>
          <w:p w14:paraId="7AEC1B44" w14:textId="77777777" w:rsidR="0062500C" w:rsidRPr="0091791F" w:rsidRDefault="0062500C" w:rsidP="00FC407C">
            <w:pPr>
              <w:pStyle w:val="NormalWeb"/>
              <w:shd w:val="clear" w:color="auto" w:fill="FFFFFF"/>
              <w:rPr>
                <w:b/>
              </w:rPr>
            </w:pPr>
            <w:r w:rsidRPr="0091791F">
              <w:rPr>
                <w:b/>
              </w:rPr>
              <w:t xml:space="preserve">PLEASE NOTE:  Rates must be filed simultaneously with the forms.  Forms </w:t>
            </w:r>
            <w:r>
              <w:rPr>
                <w:b/>
              </w:rPr>
              <w:t xml:space="preserve">submitted in advance of rates, </w:t>
            </w:r>
            <w:r w:rsidRPr="0091791F">
              <w:rPr>
                <w:b/>
              </w:rPr>
              <w:t>will not be approved until rates have been filed, reviewed and approved.  If forms are being revised and there is no effect on current rates, please indicate so in the filing cover letter.</w:t>
            </w:r>
          </w:p>
        </w:tc>
        <w:tc>
          <w:tcPr>
            <w:tcW w:w="540" w:type="dxa"/>
            <w:tcBorders>
              <w:top w:val="single" w:sz="6" w:space="0" w:color="auto"/>
              <w:left w:val="single" w:sz="2" w:space="0" w:color="000000"/>
              <w:bottom w:val="single" w:sz="6" w:space="0" w:color="auto"/>
              <w:right w:val="single" w:sz="2" w:space="0" w:color="000000"/>
            </w:tcBorders>
          </w:tcPr>
          <w:p w14:paraId="4EDEE934" w14:textId="77777777" w:rsidR="0062500C" w:rsidRPr="00384447" w:rsidRDefault="0062500C" w:rsidP="00FC407C">
            <w:pPr>
              <w:shd w:val="clear" w:color="auto" w:fill="FFFFFF"/>
              <w:jc w:val="center"/>
              <w:rPr>
                <w:rFonts w:ascii="Arial Unicode MS" w:eastAsia="MS Mincho" w:hAnsi="Arial Unicode MS" w:cs="Arial Unicode MS"/>
              </w:rP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58A55737" w14:textId="77777777" w:rsidR="0062500C" w:rsidRPr="00384447" w:rsidRDefault="0062500C" w:rsidP="00FC407C">
            <w:pPr>
              <w:rPr>
                <w:snapToGrid w:val="0"/>
                <w:color w:val="000000"/>
              </w:rPr>
            </w:pPr>
          </w:p>
        </w:tc>
      </w:tr>
      <w:tr w:rsidR="0062500C" w:rsidRPr="00384447" w14:paraId="510BD990" w14:textId="77777777" w:rsidTr="00FC407C">
        <w:trPr>
          <w:trHeight w:val="606"/>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2A11F405" w14:textId="77777777" w:rsidR="0062500C" w:rsidRPr="00384447" w:rsidRDefault="0062500C" w:rsidP="00FC407C">
            <w:pPr>
              <w:spacing w:line="150" w:lineRule="atLeast"/>
            </w:pPr>
            <w:r>
              <w:t>Renewal of policy</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0DCB28C1" w14:textId="77777777" w:rsidR="0062500C" w:rsidRPr="00384447" w:rsidRDefault="00123D00" w:rsidP="00FC407C">
            <w:pPr>
              <w:spacing w:line="150" w:lineRule="atLeast"/>
              <w:jc w:val="center"/>
              <w:rPr>
                <w:color w:val="0000FF"/>
              </w:rPr>
            </w:pPr>
            <w:hyperlink r:id="rId29" w:history="1">
              <w:r w:rsidR="0062500C" w:rsidRPr="00384447">
                <w:rPr>
                  <w:rStyle w:val="Hyperlink"/>
                </w:rPr>
                <w:t>24-A M.R.S.A. §4207</w:t>
              </w:r>
            </w:hyperlink>
          </w:p>
          <w:p w14:paraId="45E72BC9" w14:textId="77777777" w:rsidR="0062500C" w:rsidRDefault="0062500C" w:rsidP="00FC407C">
            <w:pPr>
              <w:spacing w:line="150" w:lineRule="atLeast"/>
              <w:jc w:val="center"/>
            </w:pPr>
          </w:p>
          <w:p w14:paraId="50879649" w14:textId="4D265CF5" w:rsidR="0062500C" w:rsidRDefault="00123D00" w:rsidP="00FC407C">
            <w:pPr>
              <w:spacing w:line="150" w:lineRule="atLeast"/>
              <w:jc w:val="center"/>
              <w:rPr>
                <w:rStyle w:val="Hyperlink"/>
              </w:rPr>
            </w:pPr>
            <w:hyperlink r:id="rId30" w:history="1">
              <w:r w:rsidR="0062500C" w:rsidRPr="00384447">
                <w:rPr>
                  <w:rStyle w:val="Hyperlink"/>
                </w:rPr>
                <w:t>Rule 191</w:t>
              </w:r>
              <w:r w:rsidR="0039227E">
                <w:rPr>
                  <w:rStyle w:val="Hyperlink"/>
                </w:rPr>
                <w:t xml:space="preserve"> §</w:t>
              </w:r>
              <w:r w:rsidR="0062500C" w:rsidRPr="00384447">
                <w:rPr>
                  <w:rStyle w:val="Hyperlink"/>
                </w:rPr>
                <w:t>9</w:t>
              </w:r>
              <w:r w:rsidR="0039227E">
                <w:rPr>
                  <w:rStyle w:val="Hyperlink"/>
                </w:rPr>
                <w:t>(G</w:t>
              </w:r>
              <w:r w:rsidR="0062500C" w:rsidRPr="00384447">
                <w:rPr>
                  <w:rStyle w:val="Hyperlink"/>
                </w:rPr>
                <w:t>)</w:t>
              </w:r>
            </w:hyperlink>
          </w:p>
          <w:p w14:paraId="7C9D474E" w14:textId="77777777" w:rsidR="0062500C" w:rsidRDefault="0062500C" w:rsidP="00FC407C">
            <w:pPr>
              <w:spacing w:line="150" w:lineRule="atLeast"/>
              <w:jc w:val="center"/>
              <w:rPr>
                <w:color w:val="0000FF"/>
              </w:rPr>
            </w:pPr>
          </w:p>
          <w:p w14:paraId="6089DD67" w14:textId="77777777" w:rsidR="0062500C" w:rsidRDefault="00123D00" w:rsidP="00FC407C">
            <w:pPr>
              <w:spacing w:line="150" w:lineRule="atLeast"/>
              <w:jc w:val="center"/>
              <w:rPr>
                <w:rStyle w:val="Hyperlink"/>
              </w:rPr>
            </w:pPr>
            <w:hyperlink r:id="rId31" w:history="1">
              <w:r w:rsidR="0062500C" w:rsidRPr="00EF0C1E">
                <w:rPr>
                  <w:rStyle w:val="Hyperlink"/>
                </w:rPr>
                <w:t>§2820</w:t>
              </w:r>
            </w:hyperlink>
          </w:p>
          <w:p w14:paraId="23DC0320" w14:textId="77777777" w:rsidR="004F2EEA" w:rsidRDefault="004F2EEA" w:rsidP="00FC407C">
            <w:pPr>
              <w:spacing w:line="150" w:lineRule="atLeast"/>
              <w:jc w:val="center"/>
              <w:rPr>
                <w:rStyle w:val="Hyperlink"/>
              </w:rPr>
            </w:pPr>
          </w:p>
          <w:p w14:paraId="38C584E8" w14:textId="6CD738F9" w:rsidR="004F2EEA" w:rsidRPr="00384447" w:rsidRDefault="004F2EEA" w:rsidP="00FC407C">
            <w:pPr>
              <w:spacing w:line="150" w:lineRule="atLeast"/>
              <w:jc w:val="center"/>
            </w:pPr>
            <w:r>
              <w:rPr>
                <w:rStyle w:val="Hyperlink"/>
              </w:rPr>
              <w:t>§2738</w:t>
            </w:r>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0C887EA4" w14:textId="77777777" w:rsidR="0062500C" w:rsidRPr="00384447" w:rsidRDefault="0062500C" w:rsidP="00FC407C">
            <w:pPr>
              <w:spacing w:line="150" w:lineRule="atLeast"/>
            </w:pPr>
            <w:r w:rsidRPr="00384447">
              <w:t>There shall be a provision stating the conditions for renewal.</w:t>
            </w:r>
          </w:p>
        </w:tc>
        <w:tc>
          <w:tcPr>
            <w:tcW w:w="540" w:type="dxa"/>
            <w:tcBorders>
              <w:top w:val="single" w:sz="6" w:space="0" w:color="auto"/>
              <w:left w:val="single" w:sz="2" w:space="0" w:color="000000"/>
              <w:bottom w:val="single" w:sz="6" w:space="0" w:color="auto"/>
              <w:right w:val="single" w:sz="2" w:space="0" w:color="000000"/>
            </w:tcBorders>
          </w:tcPr>
          <w:p w14:paraId="6B6F228E" w14:textId="77777777" w:rsidR="0062500C" w:rsidRPr="00384447" w:rsidRDefault="0062500C" w:rsidP="00FC407C">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218D9EA5" w14:textId="77777777" w:rsidR="0062500C" w:rsidRPr="00384447" w:rsidRDefault="0062500C" w:rsidP="00FC407C">
            <w:pPr>
              <w:rPr>
                <w:snapToGrid w:val="0"/>
                <w:color w:val="000000"/>
              </w:rPr>
            </w:pPr>
          </w:p>
        </w:tc>
      </w:tr>
      <w:tr w:rsidR="0062500C" w:rsidRPr="00384447" w14:paraId="39010A3B" w14:textId="77777777" w:rsidTr="00FC407C">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4EA636F0" w14:textId="04D8A0EA" w:rsidR="0062500C" w:rsidRPr="00603E77" w:rsidRDefault="0062500C" w:rsidP="00FC407C">
            <w:pPr>
              <w:pStyle w:val="NormalWeb"/>
              <w:spacing w:line="180" w:lineRule="atLeast"/>
            </w:pPr>
            <w:r w:rsidRPr="00603E77">
              <w:lastRenderedPageBreak/>
              <w:t>Representations in Applications</w:t>
            </w:r>
            <w:r w:rsidR="004F2EEA">
              <w:t xml:space="preserve"> - Group</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599675EB" w14:textId="77777777" w:rsidR="0062500C" w:rsidRPr="00603E77" w:rsidRDefault="0062500C" w:rsidP="00FC407C">
            <w:pPr>
              <w:pStyle w:val="NormalWeb"/>
              <w:spacing w:line="180" w:lineRule="atLeast"/>
              <w:jc w:val="center"/>
              <w:rPr>
                <w:u w:val="single"/>
              </w:rPr>
            </w:pPr>
            <w:r w:rsidRPr="00603E77">
              <w:rPr>
                <w:color w:val="0000FF"/>
                <w:u w:val="single"/>
              </w:rPr>
              <w:t xml:space="preserve">24-A M.R.S.A. </w:t>
            </w:r>
            <w:hyperlink r:id="rId32" w:history="1">
              <w:r w:rsidRPr="00603E77">
                <w:rPr>
                  <w:rStyle w:val="Hyperlink"/>
                </w:rPr>
                <w:t>§2818</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7C36A550" w14:textId="77777777" w:rsidR="0062500C" w:rsidRPr="00603E77" w:rsidRDefault="0062500C" w:rsidP="00326948">
            <w:pPr>
              <w:pStyle w:val="NormalWeb"/>
              <w:spacing w:line="180" w:lineRule="atLeast"/>
            </w:pPr>
            <w:r w:rsidRPr="00603E77">
              <w:t>There shall be a provision that all statements contained in any such application for insurance shall be deemed representations and not warranties</w:t>
            </w:r>
            <w:r w:rsidR="00326948">
              <w:t>.</w:t>
            </w:r>
          </w:p>
        </w:tc>
        <w:tc>
          <w:tcPr>
            <w:tcW w:w="540" w:type="dxa"/>
            <w:tcBorders>
              <w:top w:val="single" w:sz="6" w:space="0" w:color="auto"/>
              <w:left w:val="single" w:sz="2" w:space="0" w:color="000000"/>
              <w:bottom w:val="single" w:sz="6" w:space="0" w:color="auto"/>
              <w:right w:val="single" w:sz="2" w:space="0" w:color="000000"/>
            </w:tcBorders>
          </w:tcPr>
          <w:p w14:paraId="5770F24F" w14:textId="77777777" w:rsidR="0062500C" w:rsidRPr="00603E77" w:rsidRDefault="0062500C" w:rsidP="00FC407C">
            <w:pPr>
              <w:shd w:val="clear" w:color="auto" w:fill="FFFFFF"/>
              <w:jc w:val="center"/>
            </w:pPr>
            <w:r w:rsidRPr="00603E7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230CB178" w14:textId="77777777" w:rsidR="0062500C" w:rsidRPr="00603E77" w:rsidRDefault="0062500C" w:rsidP="00FC407C">
            <w:pPr>
              <w:rPr>
                <w:snapToGrid w:val="0"/>
                <w:color w:val="000000"/>
              </w:rPr>
            </w:pPr>
          </w:p>
        </w:tc>
      </w:tr>
      <w:tr w:rsidR="0062500C" w:rsidRPr="00384447" w14:paraId="79FCA958" w14:textId="77777777" w:rsidTr="00FC407C">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77F257C4" w14:textId="77777777" w:rsidR="0062500C" w:rsidRPr="00603E77" w:rsidRDefault="0062500C" w:rsidP="00FC407C">
            <w:pPr>
              <w:pStyle w:val="NormalWeb"/>
              <w:spacing w:line="150" w:lineRule="atLeast"/>
            </w:pPr>
            <w:r w:rsidRPr="00603E77">
              <w:t>Third Party Notice, Cancellation and Reinstatement</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271DEE58" w14:textId="77777777" w:rsidR="0062500C" w:rsidRDefault="00123D00" w:rsidP="00FC407C">
            <w:pPr>
              <w:pStyle w:val="NormalWeb"/>
              <w:jc w:val="center"/>
              <w:rPr>
                <w:rStyle w:val="Hyperlink"/>
              </w:rPr>
            </w:pPr>
            <w:hyperlink r:id="rId33" w:history="1">
              <w:r w:rsidR="0062500C" w:rsidRPr="00603E77">
                <w:rPr>
                  <w:rStyle w:val="Hyperlink"/>
                </w:rPr>
                <w:t>24-A M.R.S.A.</w:t>
              </w:r>
              <w:r w:rsidR="0062500C" w:rsidRPr="00603E77">
                <w:rPr>
                  <w:rStyle w:val="Hyperlink"/>
                </w:rPr>
                <w:br/>
                <w:t>§2847-C</w:t>
              </w:r>
            </w:hyperlink>
          </w:p>
          <w:p w14:paraId="424D6E6D" w14:textId="77777777" w:rsidR="00734E28" w:rsidRPr="001705DD" w:rsidRDefault="00734E28" w:rsidP="00734E28">
            <w:pPr>
              <w:pStyle w:val="NormalWeb"/>
              <w:shd w:val="clear" w:color="auto" w:fill="FFFFFF"/>
              <w:jc w:val="center"/>
              <w:rPr>
                <w:color w:val="0000FF"/>
              </w:rPr>
            </w:pPr>
            <w:r w:rsidRPr="001705DD">
              <w:rPr>
                <w:color w:val="0000FF"/>
                <w:u w:val="single"/>
              </w:rPr>
              <w:t xml:space="preserve">24-A M.R.S.A. </w:t>
            </w:r>
            <w:hyperlink r:id="rId34" w:history="1">
              <w:r w:rsidRPr="001705DD">
                <w:rPr>
                  <w:rStyle w:val="Hyperlink"/>
                </w:rPr>
                <w:t>§2707-A</w:t>
              </w:r>
            </w:hyperlink>
            <w:r w:rsidRPr="001705DD">
              <w:rPr>
                <w:color w:val="0000FF"/>
              </w:rPr>
              <w:t>,</w:t>
            </w:r>
          </w:p>
          <w:p w14:paraId="2F9217E0" w14:textId="77777777" w:rsidR="0062500C" w:rsidRPr="00603E77" w:rsidRDefault="00123D00" w:rsidP="00FC407C">
            <w:pPr>
              <w:pStyle w:val="NormalWeb"/>
              <w:spacing w:line="150" w:lineRule="atLeast"/>
              <w:jc w:val="center"/>
              <w:rPr>
                <w:color w:val="0000FF"/>
              </w:rPr>
            </w:pPr>
            <w:hyperlink r:id="rId35" w:history="1">
              <w:r w:rsidR="0062500C" w:rsidRPr="00603E77">
                <w:rPr>
                  <w:rStyle w:val="Hyperlink"/>
                </w:rPr>
                <w:t>Rule580</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12AAC2C5" w14:textId="77777777" w:rsidR="0062500C" w:rsidRPr="00603E77" w:rsidRDefault="00734E28" w:rsidP="00734E28">
            <w:pPr>
              <w:pStyle w:val="NormalWeb"/>
              <w:spacing w:line="150" w:lineRule="atLeast"/>
            </w:pPr>
            <w:r>
              <w:t>Must provide third party notice 10 days prior to</w:t>
            </w:r>
            <w:r w:rsidR="0062500C" w:rsidRPr="00603E77">
              <w:t xml:space="preserve"> cancellation and reinstatement for cognitive impair</w:t>
            </w:r>
            <w:r>
              <w:t>ment or functional incapacity.</w:t>
            </w:r>
          </w:p>
        </w:tc>
        <w:tc>
          <w:tcPr>
            <w:tcW w:w="540" w:type="dxa"/>
            <w:tcBorders>
              <w:top w:val="single" w:sz="6" w:space="0" w:color="auto"/>
              <w:left w:val="single" w:sz="2" w:space="0" w:color="000000"/>
              <w:bottom w:val="single" w:sz="6" w:space="0" w:color="auto"/>
              <w:right w:val="single" w:sz="2" w:space="0" w:color="000000"/>
            </w:tcBorders>
          </w:tcPr>
          <w:p w14:paraId="3BFEC39A" w14:textId="77777777" w:rsidR="0062500C" w:rsidRPr="00603E77" w:rsidRDefault="0062500C" w:rsidP="00FC407C">
            <w:pPr>
              <w:shd w:val="clear" w:color="auto" w:fill="FFFFFF"/>
              <w:jc w:val="center"/>
            </w:pPr>
            <w:r w:rsidRPr="00603E7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37A2C216" w14:textId="77777777" w:rsidR="0062500C" w:rsidRPr="00603E77" w:rsidRDefault="0062500C" w:rsidP="00FC407C">
            <w:pPr>
              <w:rPr>
                <w:snapToGrid w:val="0"/>
                <w:color w:val="000000"/>
              </w:rPr>
            </w:pPr>
          </w:p>
        </w:tc>
      </w:tr>
      <w:tr w:rsidR="0062500C" w:rsidRPr="00384447" w14:paraId="363D2F4F" w14:textId="77777777" w:rsidTr="00FC407C">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6CF98FA0" w14:textId="36AA696C" w:rsidR="0062500C" w:rsidRPr="00603E77" w:rsidRDefault="0062500C" w:rsidP="00FC407C">
            <w:pPr>
              <w:pStyle w:val="NormalWeb"/>
              <w:shd w:val="clear" w:color="auto" w:fill="FFFFFF"/>
              <w:spacing w:line="150" w:lineRule="atLeast"/>
              <w:rPr>
                <w:color w:val="000000"/>
              </w:rPr>
            </w:pPr>
            <w:r w:rsidRPr="00603E77">
              <w:rPr>
                <w:color w:val="000000"/>
              </w:rPr>
              <w:t>Time for suits</w:t>
            </w:r>
            <w:r w:rsidR="004F2EEA">
              <w:rPr>
                <w:color w:val="000000"/>
              </w:rPr>
              <w:t xml:space="preserve"> - Group</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3D07D44D" w14:textId="77777777" w:rsidR="0062500C" w:rsidRPr="00603E77" w:rsidRDefault="00123D00" w:rsidP="00FC407C">
            <w:pPr>
              <w:pStyle w:val="NormalWeb"/>
              <w:shd w:val="clear" w:color="auto" w:fill="FFFFFF"/>
              <w:spacing w:line="150" w:lineRule="atLeast"/>
              <w:jc w:val="center"/>
              <w:rPr>
                <w:color w:val="0000FF"/>
              </w:rPr>
            </w:pPr>
            <w:hyperlink r:id="rId36" w:history="1">
              <w:r w:rsidR="0062500C" w:rsidRPr="00603E77">
                <w:rPr>
                  <w:rStyle w:val="Hyperlink"/>
                </w:rPr>
                <w:t>24-A M.R.S.A. §2828</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70686C74" w14:textId="77777777" w:rsidR="0062500C" w:rsidRPr="00603E77" w:rsidRDefault="0062500C" w:rsidP="00326948">
            <w:pPr>
              <w:pStyle w:val="NormalWeb"/>
              <w:shd w:val="clear" w:color="auto" w:fill="FFFFFF"/>
              <w:spacing w:line="150" w:lineRule="atLeast"/>
              <w:rPr>
                <w:color w:val="000000"/>
              </w:rPr>
            </w:pPr>
            <w:r w:rsidRPr="00603E77">
              <w:rPr>
                <w:color w:val="000000"/>
              </w:rPr>
              <w:t>There shall be a provision that from the date of issue of a policy no misstatements, except fraudulent misstatements, made by the applicant in the application for such policy shall be used to void the policy or to deny a claim for loss incurred or disability, as defined in the policy, commencing after the expiration of such 3-year period.</w:t>
            </w:r>
            <w:r>
              <w:rPr>
                <w:color w:val="000000"/>
              </w:rPr>
              <w:t xml:space="preserve"> </w:t>
            </w:r>
          </w:p>
        </w:tc>
        <w:tc>
          <w:tcPr>
            <w:tcW w:w="540" w:type="dxa"/>
            <w:tcBorders>
              <w:top w:val="single" w:sz="6" w:space="0" w:color="auto"/>
              <w:left w:val="single" w:sz="2" w:space="0" w:color="000000"/>
              <w:bottom w:val="single" w:sz="6" w:space="0" w:color="auto"/>
              <w:right w:val="single" w:sz="2" w:space="0" w:color="000000"/>
            </w:tcBorders>
          </w:tcPr>
          <w:p w14:paraId="7115A037" w14:textId="77777777" w:rsidR="0062500C" w:rsidRPr="00603E77" w:rsidRDefault="0062500C" w:rsidP="00FC407C">
            <w:pPr>
              <w:shd w:val="clear" w:color="auto" w:fill="FFFFFF"/>
              <w:jc w:val="center"/>
            </w:pPr>
            <w:r w:rsidRPr="00603E7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65B04468" w14:textId="77777777" w:rsidR="0062500C" w:rsidRPr="00603E77" w:rsidRDefault="0062500C" w:rsidP="00FC407C">
            <w:pPr>
              <w:rPr>
                <w:snapToGrid w:val="0"/>
                <w:color w:val="000000"/>
              </w:rPr>
            </w:pPr>
          </w:p>
        </w:tc>
      </w:tr>
      <w:tr w:rsidR="0062500C" w:rsidRPr="00184794" w14:paraId="70AB6EA8" w14:textId="77777777" w:rsidTr="00FC407C">
        <w:trPr>
          <w:trHeight w:val="194"/>
        </w:trPr>
        <w:tc>
          <w:tcPr>
            <w:tcW w:w="14670" w:type="dxa"/>
            <w:gridSpan w:val="5"/>
            <w:tcBorders>
              <w:top w:val="single" w:sz="6" w:space="0" w:color="auto"/>
              <w:left w:val="single" w:sz="6" w:space="0" w:color="auto"/>
              <w:bottom w:val="single" w:sz="6" w:space="0" w:color="auto"/>
              <w:right w:val="single" w:sz="2" w:space="0" w:color="000000"/>
            </w:tcBorders>
            <w:shd w:val="clear" w:color="auto" w:fill="BFBFBF"/>
          </w:tcPr>
          <w:p w14:paraId="644CC842" w14:textId="77777777" w:rsidR="0062500C" w:rsidRPr="00184794" w:rsidRDefault="0062500C" w:rsidP="00FC407C">
            <w:pPr>
              <w:tabs>
                <w:tab w:val="left" w:pos="5298"/>
              </w:tabs>
              <w:spacing w:before="240" w:after="240"/>
              <w:rPr>
                <w:b/>
                <w:snapToGrid w:val="0"/>
                <w:color w:val="000000"/>
              </w:rPr>
            </w:pPr>
            <w:r w:rsidRPr="00184794">
              <w:rPr>
                <w:b/>
                <w:caps/>
              </w:rPr>
              <w:t>Prescription Drugs</w:t>
            </w:r>
            <w:r w:rsidRPr="00184794">
              <w:rPr>
                <w:b/>
                <w:caps/>
              </w:rPr>
              <w:tab/>
            </w:r>
          </w:p>
        </w:tc>
      </w:tr>
      <w:tr w:rsidR="00441CF3" w14:paraId="6139F491" w14:textId="77777777" w:rsidTr="00DC53E8">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713BDCA0" w14:textId="77777777" w:rsidR="00441CF3" w:rsidRPr="00EF0C1E" w:rsidRDefault="00441CF3" w:rsidP="00441CF3">
            <w:pPr>
              <w:pStyle w:val="NormalWeb"/>
              <w:spacing w:line="150" w:lineRule="atLeast"/>
            </w:pPr>
            <w:r w:rsidRPr="00EF0C1E">
              <w:t xml:space="preserve">Diabetes supplies </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3E34CA3C" w14:textId="77777777" w:rsidR="00441CF3" w:rsidRDefault="00441CF3" w:rsidP="00441CF3">
            <w:pPr>
              <w:pStyle w:val="NormalWeb"/>
              <w:spacing w:line="150" w:lineRule="atLeast"/>
              <w:jc w:val="center"/>
              <w:rPr>
                <w:rStyle w:val="Hyperlink"/>
              </w:rPr>
            </w:pPr>
            <w:r w:rsidRPr="00EF0C1E">
              <w:rPr>
                <w:color w:val="0000FF"/>
                <w:u w:val="single"/>
              </w:rPr>
              <w:t xml:space="preserve">24-A M.R.S.A. </w:t>
            </w:r>
            <w:hyperlink r:id="rId37" w:history="1">
              <w:r w:rsidRPr="00EF0C1E">
                <w:rPr>
                  <w:rStyle w:val="Hyperlink"/>
                </w:rPr>
                <w:t>§2847-E</w:t>
              </w:r>
            </w:hyperlink>
          </w:p>
          <w:p w14:paraId="654B2009" w14:textId="77777777" w:rsidR="00B50FC8" w:rsidRDefault="00B50FC8" w:rsidP="00441CF3">
            <w:pPr>
              <w:pStyle w:val="NormalWeb"/>
              <w:spacing w:line="150" w:lineRule="atLeast"/>
              <w:jc w:val="center"/>
              <w:rPr>
                <w:rStyle w:val="Hyperlink"/>
              </w:rPr>
            </w:pPr>
            <w:r>
              <w:rPr>
                <w:rStyle w:val="Hyperlink"/>
              </w:rPr>
              <w:t>§</w:t>
            </w:r>
            <w:r w:rsidR="007A2F31">
              <w:rPr>
                <w:rStyle w:val="Hyperlink"/>
              </w:rPr>
              <w:t>2754</w:t>
            </w:r>
          </w:p>
          <w:p w14:paraId="208BC9B6" w14:textId="4E7DE4D3" w:rsidR="007A2F31" w:rsidRPr="00EF0C1E" w:rsidRDefault="007A2F31" w:rsidP="00441CF3">
            <w:pPr>
              <w:pStyle w:val="NormalWeb"/>
              <w:spacing w:line="150" w:lineRule="atLeast"/>
              <w:jc w:val="center"/>
            </w:pPr>
            <w:r>
              <w:rPr>
                <w:rStyle w:val="Hyperlink"/>
              </w:rPr>
              <w:t>§4240</w:t>
            </w: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2DC5FE98" w14:textId="77777777" w:rsidR="00441CF3" w:rsidRPr="00EF0C1E" w:rsidRDefault="00441CF3" w:rsidP="00441CF3">
            <w:pPr>
              <w:pStyle w:val="NormalWeb"/>
              <w:spacing w:line="150" w:lineRule="atLeast"/>
            </w:pPr>
            <w:r w:rsidRPr="00EF0C1E">
              <w:t>Benefits must be provided for medically necessary equipment and supplies used to treat diabetes (insulin, oral hypoglycemic agents, monitors, test strips, syringes and lancets) and approved self-man</w:t>
            </w:r>
            <w:r>
              <w:t>agement and education training authorized by the State's Diabetes Control Project within the Maine Bureau of Health.</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FC4DEE5" w14:textId="77777777" w:rsidR="00441CF3" w:rsidRPr="00EF0C1E" w:rsidRDefault="00441CF3" w:rsidP="00441CF3">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EA7AA37" w14:textId="77777777" w:rsidR="00441CF3" w:rsidRDefault="00441CF3" w:rsidP="00441CF3">
            <w:pPr>
              <w:rPr>
                <w:b/>
                <w:snapToGrid w:val="0"/>
                <w:color w:val="000000"/>
                <w:sz w:val="18"/>
              </w:rPr>
            </w:pPr>
          </w:p>
        </w:tc>
      </w:tr>
      <w:tr w:rsidR="00441CF3" w:rsidRPr="001705DD" w14:paraId="3C3BEA1C" w14:textId="77777777" w:rsidTr="00DC53E8">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19787C62" w14:textId="77777777" w:rsidR="00441CF3" w:rsidRPr="00EF0C1E" w:rsidRDefault="00441CF3" w:rsidP="00441CF3">
            <w:pPr>
              <w:pStyle w:val="NormalWeb"/>
              <w:spacing w:line="150" w:lineRule="atLeast"/>
            </w:pPr>
            <w:r w:rsidRPr="00EF0C1E">
              <w:t xml:space="preserve">Off-label use of prescription drugs for cancer and HIV or AIDS </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3E487286" w14:textId="77777777" w:rsidR="00441CF3" w:rsidRPr="00EF0C1E" w:rsidRDefault="00441CF3" w:rsidP="00441CF3">
            <w:pPr>
              <w:pStyle w:val="NormalWeb"/>
              <w:spacing w:line="150" w:lineRule="atLeast"/>
              <w:jc w:val="center"/>
              <w:rPr>
                <w:color w:val="0000FF"/>
              </w:rPr>
            </w:pPr>
            <w:r w:rsidRPr="00EF0C1E">
              <w:rPr>
                <w:color w:val="0000FF"/>
                <w:u w:val="single"/>
              </w:rPr>
              <w:t>24-A M.R.S.A.</w:t>
            </w:r>
            <w:r w:rsidRPr="00EF0C1E">
              <w:rPr>
                <w:color w:val="0000FF"/>
                <w:u w:val="single"/>
              </w:rPr>
              <w:br/>
            </w:r>
            <w:hyperlink r:id="rId38" w:history="1">
              <w:r w:rsidRPr="00EF0C1E">
                <w:rPr>
                  <w:rStyle w:val="Hyperlink"/>
                </w:rPr>
                <w:t>§2837-F</w:t>
              </w:r>
            </w:hyperlink>
          </w:p>
          <w:p w14:paraId="44823595" w14:textId="77777777" w:rsidR="00441CF3" w:rsidRDefault="00123D00" w:rsidP="00441CF3">
            <w:pPr>
              <w:pStyle w:val="NormalWeb"/>
              <w:spacing w:after="0" w:afterAutospacing="0" w:line="150" w:lineRule="atLeast"/>
              <w:jc w:val="center"/>
              <w:rPr>
                <w:rStyle w:val="Hyperlink"/>
              </w:rPr>
            </w:pPr>
            <w:hyperlink r:id="rId39" w:history="1">
              <w:r w:rsidR="00441CF3" w:rsidRPr="00EF0C1E">
                <w:rPr>
                  <w:rStyle w:val="Hyperlink"/>
                </w:rPr>
                <w:t>§2837-G</w:t>
              </w:r>
            </w:hyperlink>
          </w:p>
          <w:p w14:paraId="4F0BCDBE" w14:textId="77777777" w:rsidR="007A2F31" w:rsidRDefault="007A2F31" w:rsidP="00441CF3">
            <w:pPr>
              <w:pStyle w:val="NormalWeb"/>
              <w:spacing w:after="0" w:afterAutospacing="0" w:line="150" w:lineRule="atLeast"/>
              <w:jc w:val="center"/>
              <w:rPr>
                <w:rStyle w:val="Hyperlink"/>
              </w:rPr>
            </w:pPr>
            <w:r>
              <w:rPr>
                <w:rStyle w:val="Hyperlink"/>
              </w:rPr>
              <w:t>§2745-E</w:t>
            </w:r>
          </w:p>
          <w:p w14:paraId="046991B0" w14:textId="77777777" w:rsidR="007A2F31" w:rsidRDefault="007A2F31" w:rsidP="00441CF3">
            <w:pPr>
              <w:pStyle w:val="NormalWeb"/>
              <w:spacing w:after="0" w:afterAutospacing="0" w:line="150" w:lineRule="atLeast"/>
              <w:jc w:val="center"/>
              <w:rPr>
                <w:rStyle w:val="Hyperlink"/>
              </w:rPr>
            </w:pPr>
            <w:r>
              <w:rPr>
                <w:rStyle w:val="Hyperlink"/>
              </w:rPr>
              <w:t>§2745-F</w:t>
            </w:r>
          </w:p>
          <w:p w14:paraId="512C9819" w14:textId="77777777" w:rsidR="007A2F31" w:rsidRDefault="007A2F31" w:rsidP="00441CF3">
            <w:pPr>
              <w:pStyle w:val="NormalWeb"/>
              <w:spacing w:after="0" w:afterAutospacing="0" w:line="150" w:lineRule="atLeast"/>
              <w:jc w:val="center"/>
              <w:rPr>
                <w:rStyle w:val="Hyperlink"/>
              </w:rPr>
            </w:pPr>
            <w:r>
              <w:rPr>
                <w:rStyle w:val="Hyperlink"/>
              </w:rPr>
              <w:t>§4234-D</w:t>
            </w:r>
          </w:p>
          <w:p w14:paraId="0B85CCB6" w14:textId="77777777" w:rsidR="007A2F31" w:rsidRDefault="007A2F31" w:rsidP="00441CF3">
            <w:pPr>
              <w:pStyle w:val="NormalWeb"/>
              <w:spacing w:after="0" w:afterAutospacing="0" w:line="150" w:lineRule="atLeast"/>
              <w:jc w:val="center"/>
              <w:rPr>
                <w:rStyle w:val="Hyperlink"/>
              </w:rPr>
            </w:pPr>
            <w:r>
              <w:rPr>
                <w:rStyle w:val="Hyperlink"/>
              </w:rPr>
              <w:t>§</w:t>
            </w:r>
            <w:r w:rsidR="00AB2ED3">
              <w:rPr>
                <w:rStyle w:val="Hyperlink"/>
              </w:rPr>
              <w:t>4234-E</w:t>
            </w:r>
          </w:p>
          <w:p w14:paraId="7C5E5DFC" w14:textId="7AB84D98" w:rsidR="0038060C" w:rsidRPr="00EF0C1E" w:rsidRDefault="0038060C" w:rsidP="00441CF3">
            <w:pPr>
              <w:pStyle w:val="NormalWeb"/>
              <w:spacing w:after="0" w:afterAutospacing="0" w:line="150" w:lineRule="atLeast"/>
              <w:jc w:val="cente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4B488E8C" w14:textId="77777777" w:rsidR="00441CF3" w:rsidRPr="00EF0C1E" w:rsidRDefault="00441CF3" w:rsidP="00441CF3">
            <w:pPr>
              <w:pStyle w:val="NormalWeb"/>
              <w:spacing w:line="150" w:lineRule="atLeast"/>
            </w:pPr>
            <w:r w:rsidRPr="00EF0C1E">
              <w:t>Coverage required for off-label use of prescription drugs for treatment of cancer, HIV, or AIDS.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9917065" w14:textId="77777777" w:rsidR="00441CF3" w:rsidRPr="00EF0C1E" w:rsidRDefault="00441CF3" w:rsidP="00441CF3">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B919CDF" w14:textId="77777777" w:rsidR="00441CF3" w:rsidRPr="001705DD" w:rsidRDefault="00441CF3" w:rsidP="00441CF3">
            <w:pPr>
              <w:shd w:val="clear" w:color="auto" w:fill="FFFFFF"/>
              <w:rPr>
                <w:bCs/>
              </w:rPr>
            </w:pPr>
          </w:p>
        </w:tc>
      </w:tr>
      <w:tr w:rsidR="00441CF3" w:rsidRPr="001705DD" w14:paraId="1A69251E" w14:textId="77777777" w:rsidTr="00DC53E8">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18D9BEF8" w14:textId="01F841B9" w:rsidR="00441CF3" w:rsidRPr="006F72DA" w:rsidRDefault="00441CF3" w:rsidP="00441CF3">
            <w:pPr>
              <w:spacing w:line="150" w:lineRule="atLeast"/>
            </w:pPr>
            <w:r w:rsidRPr="006F72DA">
              <w:rPr>
                <w:bCs/>
                <w:color w:val="000000"/>
              </w:rPr>
              <w:lastRenderedPageBreak/>
              <w:t>Prescription synchronization</w:t>
            </w:r>
            <w:r w:rsidR="0038060C">
              <w:rPr>
                <w:bCs/>
                <w:color w:val="000000"/>
              </w:rPr>
              <w:t xml:space="preserve"> - Individual</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747FED28" w14:textId="77777777" w:rsidR="00441CF3" w:rsidRPr="006F72DA" w:rsidRDefault="00123D00" w:rsidP="00441CF3">
            <w:pPr>
              <w:spacing w:line="150" w:lineRule="atLeast"/>
              <w:jc w:val="center"/>
            </w:pPr>
            <w:hyperlink r:id="rId40" w:history="1">
              <w:r w:rsidR="00441CF3" w:rsidRPr="009E58BF">
                <w:rPr>
                  <w:rStyle w:val="Hyperlink"/>
                </w:rPr>
                <w:t>24-A M.R.S.A. §2769</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6ABA1928" w14:textId="77777777" w:rsidR="00441CF3" w:rsidRPr="006F72DA" w:rsidRDefault="00441CF3" w:rsidP="00441CF3">
            <w:pPr>
              <w:widowControl w:val="0"/>
              <w:autoSpaceDE w:val="0"/>
              <w:autoSpaceDN w:val="0"/>
              <w:adjustRightInd w:val="0"/>
            </w:pPr>
            <w:r w:rsidRPr="006F72DA">
              <w:rPr>
                <w:color w:val="000000"/>
              </w:rPr>
              <w:t>If a health plan provides coverage for prescription drugs, a carrier:</w:t>
            </w:r>
          </w:p>
          <w:p w14:paraId="0063F6AA" w14:textId="77777777" w:rsidR="00441CF3" w:rsidRPr="006F72DA" w:rsidRDefault="00441CF3" w:rsidP="00441CF3">
            <w:pPr>
              <w:widowControl w:val="0"/>
              <w:autoSpaceDE w:val="0"/>
              <w:autoSpaceDN w:val="0"/>
              <w:adjustRightInd w:val="0"/>
            </w:pPr>
            <w:r w:rsidRPr="006F72DA">
              <w:rPr>
                <w:color w:val="000000"/>
              </w:rPr>
              <w:t> </w:t>
            </w:r>
          </w:p>
          <w:p w14:paraId="15FA9726" w14:textId="77777777" w:rsidR="00441CF3" w:rsidRPr="006F72DA" w:rsidRDefault="00441CF3" w:rsidP="00441CF3">
            <w:pPr>
              <w:widowControl w:val="0"/>
              <w:autoSpaceDE w:val="0"/>
              <w:autoSpaceDN w:val="0"/>
              <w:adjustRightInd w:val="0"/>
            </w:pPr>
            <w:r w:rsidRPr="006F72DA">
              <w:rPr>
                <w:color w:val="000000"/>
              </w:rPr>
              <w:t>A.  Shall permit and apply a prorated daily cost-sharing rate to a prescription that is dispensed by a pharmacist in the carrier's network for less than a 30-day supply if the prescriber or pharmacist determines that filling or refilling the prescription for less than a 30-day supply is in the best interest of the patient and the patient requests or agrees to less than a 30-day supply in order to synchronize the refilling of that prescription with the patient's other prescriptions;</w:t>
            </w:r>
          </w:p>
          <w:p w14:paraId="498559E8" w14:textId="77777777" w:rsidR="00441CF3" w:rsidRPr="006F72DA" w:rsidRDefault="00441CF3" w:rsidP="00441CF3">
            <w:pPr>
              <w:widowControl w:val="0"/>
              <w:autoSpaceDE w:val="0"/>
              <w:autoSpaceDN w:val="0"/>
              <w:adjustRightInd w:val="0"/>
            </w:pPr>
            <w:r w:rsidRPr="006F72DA">
              <w:rPr>
                <w:color w:val="000000"/>
              </w:rPr>
              <w:t> </w:t>
            </w:r>
          </w:p>
          <w:p w14:paraId="1BD6FDF8" w14:textId="77777777" w:rsidR="00441CF3" w:rsidRPr="006F72DA" w:rsidRDefault="00441CF3" w:rsidP="00441CF3">
            <w:pPr>
              <w:widowControl w:val="0"/>
              <w:autoSpaceDE w:val="0"/>
              <w:autoSpaceDN w:val="0"/>
              <w:adjustRightInd w:val="0"/>
            </w:pPr>
            <w:r w:rsidRPr="006F72DA">
              <w:rPr>
                <w:color w:val="000000"/>
              </w:rPr>
              <w:t>B.  May not deny coverage for the dispensing of a medication prescribed for the treatment of a chronic illness that is made in accordance with a plan developed by the carrier, the insured, the prescriber and a pharmacist to synchronize the filling or refilling of multiple prescriptions for the insured. The carrier shall allow a pharmacy to override any denial codes indicating that a prescription is being refilled too soon in order to synchronize the patient's prescriptions; and</w:t>
            </w:r>
          </w:p>
          <w:p w14:paraId="21D9D33C" w14:textId="77777777" w:rsidR="00441CF3" w:rsidRPr="006F72DA" w:rsidRDefault="00441CF3" w:rsidP="00441CF3">
            <w:pPr>
              <w:widowControl w:val="0"/>
              <w:autoSpaceDE w:val="0"/>
              <w:autoSpaceDN w:val="0"/>
              <w:adjustRightInd w:val="0"/>
            </w:pPr>
            <w:r w:rsidRPr="006F72DA">
              <w:rPr>
                <w:color w:val="000000"/>
              </w:rPr>
              <w:t> </w:t>
            </w:r>
          </w:p>
          <w:p w14:paraId="3C896ADB" w14:textId="77777777" w:rsidR="00441CF3" w:rsidRPr="006F72DA" w:rsidRDefault="00441CF3" w:rsidP="00441CF3">
            <w:pPr>
              <w:widowControl w:val="0"/>
              <w:autoSpaceDE w:val="0"/>
              <w:autoSpaceDN w:val="0"/>
              <w:adjustRightInd w:val="0"/>
            </w:pPr>
            <w:r w:rsidRPr="006F72DA">
              <w:rPr>
                <w:color w:val="000000"/>
              </w:rPr>
              <w:t>C.  May not use payment structures incorporating prorated dispensing fees. Dispensing fees for partially filled or refilled prescriptions must be paid in full for each prescription dispensed, regardless of any prorated copay for the insured or fee paid for alignment services.</w:t>
            </w:r>
          </w:p>
          <w:p w14:paraId="7ED52706" w14:textId="77777777" w:rsidR="00441CF3" w:rsidRPr="006F72DA" w:rsidRDefault="00441CF3" w:rsidP="00441CF3">
            <w:pPr>
              <w:widowControl w:val="0"/>
              <w:autoSpaceDE w:val="0"/>
              <w:autoSpaceDN w:val="0"/>
              <w:adjustRightInd w:val="0"/>
            </w:pPr>
            <w:r w:rsidRPr="006F72DA">
              <w:rPr>
                <w:color w:val="000000"/>
              </w:rPr>
              <w:t> </w:t>
            </w:r>
          </w:p>
          <w:p w14:paraId="52471EB8" w14:textId="77777777" w:rsidR="00441CF3" w:rsidRPr="006F72DA" w:rsidRDefault="00441CF3" w:rsidP="00441CF3">
            <w:pPr>
              <w:widowControl w:val="0"/>
              <w:autoSpaceDE w:val="0"/>
              <w:autoSpaceDN w:val="0"/>
              <w:adjustRightInd w:val="0"/>
            </w:pPr>
            <w:r w:rsidRPr="006F72DA">
              <w:rPr>
                <w:bCs/>
                <w:color w:val="000000"/>
              </w:rPr>
              <w:t>2.  Application; exclusion.</w:t>
            </w:r>
            <w:r w:rsidRPr="006F72DA">
              <w:rPr>
                <w:b/>
                <w:bCs/>
                <w:color w:val="000000"/>
              </w:rPr>
              <w:t xml:space="preserve"> </w:t>
            </w:r>
            <w:r>
              <w:rPr>
                <w:color w:val="000000"/>
              </w:rPr>
              <w:t xml:space="preserve">  T</w:t>
            </w:r>
            <w:r w:rsidRPr="006F72DA">
              <w:rPr>
                <w:color w:val="000000"/>
              </w:rPr>
              <w:t>he requirements of this section do not apply to a prescription for:</w:t>
            </w:r>
          </w:p>
          <w:p w14:paraId="0D725755" w14:textId="77777777" w:rsidR="00441CF3" w:rsidRPr="006F72DA" w:rsidRDefault="00441CF3" w:rsidP="00441CF3">
            <w:pPr>
              <w:widowControl w:val="0"/>
              <w:autoSpaceDE w:val="0"/>
              <w:autoSpaceDN w:val="0"/>
              <w:adjustRightInd w:val="0"/>
            </w:pPr>
            <w:r w:rsidRPr="006F72DA">
              <w:rPr>
                <w:color w:val="000000"/>
              </w:rPr>
              <w:t> </w:t>
            </w:r>
          </w:p>
          <w:p w14:paraId="768D0D3A" w14:textId="77777777" w:rsidR="00441CF3" w:rsidRPr="006F72DA" w:rsidRDefault="00441CF3" w:rsidP="00441CF3">
            <w:pPr>
              <w:widowControl w:val="0"/>
              <w:autoSpaceDE w:val="0"/>
              <w:autoSpaceDN w:val="0"/>
              <w:adjustRightInd w:val="0"/>
            </w:pPr>
            <w:r w:rsidRPr="006F72DA">
              <w:rPr>
                <w:color w:val="000000"/>
              </w:rPr>
              <w:t>A.  Solid oral doses of antibiotics; or</w:t>
            </w:r>
          </w:p>
          <w:p w14:paraId="1C415080" w14:textId="77777777" w:rsidR="00441CF3" w:rsidRPr="006F72DA" w:rsidRDefault="00441CF3" w:rsidP="00441CF3">
            <w:pPr>
              <w:widowControl w:val="0"/>
              <w:autoSpaceDE w:val="0"/>
              <w:autoSpaceDN w:val="0"/>
              <w:adjustRightInd w:val="0"/>
            </w:pPr>
            <w:r w:rsidRPr="006F72DA">
              <w:rPr>
                <w:color w:val="000000"/>
              </w:rPr>
              <w:t> </w:t>
            </w:r>
          </w:p>
          <w:p w14:paraId="10B9FDAB" w14:textId="77777777" w:rsidR="00441CF3" w:rsidRPr="006F72DA" w:rsidRDefault="00441CF3" w:rsidP="00441CF3">
            <w:pPr>
              <w:widowControl w:val="0"/>
              <w:autoSpaceDE w:val="0"/>
              <w:autoSpaceDN w:val="0"/>
              <w:adjustRightInd w:val="0"/>
            </w:pPr>
            <w:r w:rsidRPr="006F72DA">
              <w:rPr>
                <w:color w:val="000000"/>
              </w:rPr>
              <w:t>B.  Solid oral doses that are dispensed in their original container as indicated in the federal Food and Drug Administration Prescribing Information or are customarily dispensed in their original packaging to assist a patient with compliance.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A454151" w14:textId="77777777" w:rsidR="00441CF3" w:rsidRPr="00B82DFC" w:rsidRDefault="00441CF3" w:rsidP="00441CF3">
            <w:pPr>
              <w:jc w:val="center"/>
              <w:rPr>
                <w:b/>
                <w:snapToGrid w:val="0"/>
                <w:color w:val="000000"/>
                <w:sz w:val="18"/>
                <w:highlight w:val="cyan"/>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DE7A31B" w14:textId="77777777" w:rsidR="00441CF3" w:rsidRPr="001705DD" w:rsidRDefault="00441CF3" w:rsidP="00441CF3">
            <w:pPr>
              <w:shd w:val="clear" w:color="auto" w:fill="FFFFFF"/>
              <w:rPr>
                <w:bCs/>
              </w:rPr>
            </w:pPr>
          </w:p>
        </w:tc>
      </w:tr>
    </w:tbl>
    <w:p w14:paraId="3CF82168" w14:textId="77777777" w:rsidR="00CF1B7A" w:rsidRDefault="00CF1B7A"/>
    <w:sectPr w:rsidR="00CF1B7A" w:rsidSect="000445C2">
      <w:pgSz w:w="15840" w:h="12240" w:orient="landscape" w:code="1"/>
      <w:pgMar w:top="720" w:right="1440" w:bottom="720" w:left="1440" w:header="432" w:footer="432" w:gutter="0"/>
      <w:paperSrc w:first="1258" w:other="1258"/>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24E"/>
    <w:multiLevelType w:val="hybridMultilevel"/>
    <w:tmpl w:val="8DA4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379AB"/>
    <w:multiLevelType w:val="hybridMultilevel"/>
    <w:tmpl w:val="0FC67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E10790"/>
    <w:multiLevelType w:val="hybridMultilevel"/>
    <w:tmpl w:val="294A59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39B4C1C"/>
    <w:multiLevelType w:val="hybridMultilevel"/>
    <w:tmpl w:val="0F92A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0C"/>
    <w:rsid w:val="000445C2"/>
    <w:rsid w:val="000C61BC"/>
    <w:rsid w:val="00123D00"/>
    <w:rsid w:val="001959B0"/>
    <w:rsid w:val="001959E3"/>
    <w:rsid w:val="00201834"/>
    <w:rsid w:val="002413B8"/>
    <w:rsid w:val="00291381"/>
    <w:rsid w:val="00326948"/>
    <w:rsid w:val="00362C01"/>
    <w:rsid w:val="00373CAD"/>
    <w:rsid w:val="00377ED9"/>
    <w:rsid w:val="0038060C"/>
    <w:rsid w:val="0039227E"/>
    <w:rsid w:val="003A0DB7"/>
    <w:rsid w:val="003A4263"/>
    <w:rsid w:val="00416ED6"/>
    <w:rsid w:val="0041772F"/>
    <w:rsid w:val="00441CF3"/>
    <w:rsid w:val="00487432"/>
    <w:rsid w:val="004F2EEA"/>
    <w:rsid w:val="005264AA"/>
    <w:rsid w:val="00576734"/>
    <w:rsid w:val="005B614C"/>
    <w:rsid w:val="0062500C"/>
    <w:rsid w:val="00634133"/>
    <w:rsid w:val="006535DE"/>
    <w:rsid w:val="006A096E"/>
    <w:rsid w:val="006B3962"/>
    <w:rsid w:val="006D3F02"/>
    <w:rsid w:val="00734E28"/>
    <w:rsid w:val="0075592E"/>
    <w:rsid w:val="007668EA"/>
    <w:rsid w:val="00770812"/>
    <w:rsid w:val="007A2F31"/>
    <w:rsid w:val="00863FC7"/>
    <w:rsid w:val="00866BA6"/>
    <w:rsid w:val="008C1854"/>
    <w:rsid w:val="00982E4C"/>
    <w:rsid w:val="009A59CF"/>
    <w:rsid w:val="009F142E"/>
    <w:rsid w:val="00AB0E88"/>
    <w:rsid w:val="00AB2ED3"/>
    <w:rsid w:val="00B37497"/>
    <w:rsid w:val="00B50FC8"/>
    <w:rsid w:val="00C401BC"/>
    <w:rsid w:val="00CF1B7A"/>
    <w:rsid w:val="00D10D13"/>
    <w:rsid w:val="00D435B6"/>
    <w:rsid w:val="00D63C68"/>
    <w:rsid w:val="00D71CC0"/>
    <w:rsid w:val="00E84BA1"/>
    <w:rsid w:val="00EE0387"/>
    <w:rsid w:val="00F04B85"/>
    <w:rsid w:val="00F301F7"/>
    <w:rsid w:val="00F3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3DEC"/>
  <w15:docId w15:val="{3137DEC9-BF95-4A32-8BDE-C4A157E4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00C"/>
    <w:pPr>
      <w:spacing w:after="0" w:line="240" w:lineRule="auto"/>
    </w:pPr>
    <w:rPr>
      <w:rFonts w:eastAsia="Times New Roman" w:cs="Times New Roman"/>
      <w:szCs w:val="24"/>
    </w:rPr>
  </w:style>
  <w:style w:type="paragraph" w:styleId="Heading3">
    <w:name w:val="heading 3"/>
    <w:basedOn w:val="Normal"/>
    <w:next w:val="Normal"/>
    <w:link w:val="Heading3Char"/>
    <w:qFormat/>
    <w:rsid w:val="0062500C"/>
    <w:pPr>
      <w:keepNext/>
      <w:jc w:val="center"/>
      <w:outlineLvl w:val="2"/>
    </w:pPr>
    <w:rPr>
      <w:rFonts w:ascii="Arial" w:hAnsi="Arial"/>
      <w:b/>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2500C"/>
    <w:rPr>
      <w:color w:val="0000FF"/>
      <w:u w:val="single"/>
    </w:rPr>
  </w:style>
  <w:style w:type="paragraph" w:styleId="NormalWeb">
    <w:name w:val="Normal (Web)"/>
    <w:basedOn w:val="Normal"/>
    <w:uiPriority w:val="99"/>
    <w:rsid w:val="0062500C"/>
    <w:pPr>
      <w:spacing w:before="100" w:beforeAutospacing="1" w:after="100" w:afterAutospacing="1"/>
    </w:pPr>
  </w:style>
  <w:style w:type="paragraph" w:styleId="NoSpacing">
    <w:name w:val="No Spacing"/>
    <w:qFormat/>
    <w:rsid w:val="0062500C"/>
    <w:pPr>
      <w:spacing w:after="0" w:line="240" w:lineRule="auto"/>
    </w:pPr>
    <w:rPr>
      <w:rFonts w:ascii="Calibri" w:eastAsia="Calibri" w:hAnsi="Calibri" w:cs="Times New Roman"/>
      <w:sz w:val="22"/>
    </w:rPr>
  </w:style>
  <w:style w:type="character" w:customStyle="1" w:styleId="Heading3Char">
    <w:name w:val="Heading 3 Char"/>
    <w:basedOn w:val="DefaultParagraphFont"/>
    <w:link w:val="Heading3"/>
    <w:rsid w:val="0062500C"/>
    <w:rPr>
      <w:rFonts w:ascii="Arial" w:eastAsia="Times New Roman" w:hAnsi="Arial" w:cs="Times New Roman"/>
      <w:b/>
      <w:snapToGrid w:val="0"/>
      <w:color w:val="000000"/>
      <w:sz w:val="18"/>
      <w:szCs w:val="24"/>
    </w:rPr>
  </w:style>
  <w:style w:type="character" w:styleId="FollowedHyperlink">
    <w:name w:val="FollowedHyperlink"/>
    <w:rsid w:val="0062500C"/>
    <w:rPr>
      <w:color w:val="800080"/>
      <w:u w:val="single"/>
    </w:rPr>
  </w:style>
  <w:style w:type="paragraph" w:styleId="ListParagraph">
    <w:name w:val="List Paragraph"/>
    <w:basedOn w:val="Normal"/>
    <w:uiPriority w:val="34"/>
    <w:qFormat/>
    <w:rsid w:val="0062500C"/>
    <w:pPr>
      <w:spacing w:after="200" w:line="276" w:lineRule="auto"/>
      <w:ind w:left="720"/>
      <w:contextualSpacing/>
    </w:pPr>
    <w:rPr>
      <w:rFonts w:ascii="Calibri" w:eastAsia="Calibri" w:hAnsi="Calibri"/>
      <w:sz w:val="22"/>
      <w:szCs w:val="22"/>
    </w:rPr>
  </w:style>
  <w:style w:type="character" w:styleId="Strong">
    <w:name w:val="Strong"/>
    <w:uiPriority w:val="22"/>
    <w:qFormat/>
    <w:rsid w:val="0062500C"/>
    <w:rPr>
      <w:b/>
      <w:bCs/>
    </w:rPr>
  </w:style>
  <w:style w:type="paragraph" w:styleId="BalloonText">
    <w:name w:val="Balloon Text"/>
    <w:basedOn w:val="Normal"/>
    <w:link w:val="BalloonTextChar"/>
    <w:uiPriority w:val="99"/>
    <w:semiHidden/>
    <w:unhideWhenUsed/>
    <w:rsid w:val="00576734"/>
    <w:rPr>
      <w:rFonts w:ascii="Tahoma" w:hAnsi="Tahoma" w:cs="Tahoma"/>
      <w:sz w:val="16"/>
      <w:szCs w:val="16"/>
    </w:rPr>
  </w:style>
  <w:style w:type="character" w:customStyle="1" w:styleId="BalloonTextChar">
    <w:name w:val="Balloon Text Char"/>
    <w:basedOn w:val="DefaultParagraphFont"/>
    <w:link w:val="BalloonText"/>
    <w:uiPriority w:val="99"/>
    <w:semiHidden/>
    <w:rsid w:val="005767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legislature.org/legis/statutes/24-A/title24-Asec2412.html" TargetMode="External"/><Relationship Id="rId13" Type="http://schemas.openxmlformats.org/officeDocument/2006/relationships/hyperlink" Target="http://legislature.maine.gov/statutes/24-A/title24-Asec2441.html" TargetMode="External"/><Relationship Id="rId18" Type="http://schemas.openxmlformats.org/officeDocument/2006/relationships/hyperlink" Target="http://www.maine.gov/sos/cec/rules/02/031/031c755.doc" TargetMode="External"/><Relationship Id="rId26" Type="http://schemas.openxmlformats.org/officeDocument/2006/relationships/hyperlink" Target="http://legislature.maine.gov/statutes/24-A/title24-Asec2736.html" TargetMode="External"/><Relationship Id="rId39" Type="http://schemas.openxmlformats.org/officeDocument/2006/relationships/hyperlink" Target="http://legislature.maine.gov/statutes/24-A/title24-Asec2837-G.html" TargetMode="External"/><Relationship Id="rId3" Type="http://schemas.openxmlformats.org/officeDocument/2006/relationships/customXml" Target="../customXml/item3.xml"/><Relationship Id="rId21" Type="http://schemas.openxmlformats.org/officeDocument/2006/relationships/hyperlink" Target="https://www.maine.gov/pfr/insurance/themes/insurance/pdf/288.pdf" TargetMode="External"/><Relationship Id="rId34" Type="http://schemas.openxmlformats.org/officeDocument/2006/relationships/hyperlink" Target="http://legislature.maine.gov/statutes/24-A/title24-Asec2707-A.html"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legislature.maine.gov/statutes/24-A/title24-Asec2413.html" TargetMode="External"/><Relationship Id="rId17" Type="http://schemas.openxmlformats.org/officeDocument/2006/relationships/hyperlink" Target="http://www.mainelegislature.org/legis/statutes/24-A/title24-Asec2694.html" TargetMode="External"/><Relationship Id="rId25" Type="http://schemas.openxmlformats.org/officeDocument/2006/relationships/hyperlink" Target="http://www.mainelegislature.org/legis/statutes/24-A/title24-Asec2808-B.html" TargetMode="External"/><Relationship Id="rId33" Type="http://schemas.openxmlformats.org/officeDocument/2006/relationships/hyperlink" Target="http://www.mainelegislature.org/legis/statutes/24-A/title24-Asec2847-C.html" TargetMode="External"/><Relationship Id="rId38" Type="http://schemas.openxmlformats.org/officeDocument/2006/relationships/hyperlink" Target="http://legislature.maine.gov/statutes/24-A/title24-Asec2837-F.html" TargetMode="External"/><Relationship Id="rId2" Type="http://schemas.openxmlformats.org/officeDocument/2006/relationships/customXml" Target="../customXml/item2.xml"/><Relationship Id="rId16" Type="http://schemas.openxmlformats.org/officeDocument/2006/relationships/hyperlink" Target="http://legislature.maine.gov/statutes/24-A/title24-Asec2817.html" TargetMode="External"/><Relationship Id="rId20" Type="http://schemas.openxmlformats.org/officeDocument/2006/relationships/hyperlink" Target="http://legislature.maine.gov/statutes/24-A/title24-Asec4209.html" TargetMode="External"/><Relationship Id="rId29" Type="http://schemas.openxmlformats.org/officeDocument/2006/relationships/hyperlink" Target="http://www.mainelegislature.org/legis/statutes/24-A/title24-Asec4207.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egislature.maine.gov/statutes/24-A/title24-Asec601.html" TargetMode="External"/><Relationship Id="rId24" Type="http://schemas.openxmlformats.org/officeDocument/2006/relationships/hyperlink" Target="http://legislature.maine.gov/statutes/24-A/title24-Asec2736.html" TargetMode="External"/><Relationship Id="rId32" Type="http://schemas.openxmlformats.org/officeDocument/2006/relationships/hyperlink" Target="http://legislature.maine.gov/statutes/24-A/title24-Asec2818.html" TargetMode="External"/><Relationship Id="rId37" Type="http://schemas.openxmlformats.org/officeDocument/2006/relationships/hyperlink" Target="http://legislature.maine.gov/statutes/24-A/title24-Asec2847-E.html" TargetMode="External"/><Relationship Id="rId40" Type="http://schemas.openxmlformats.org/officeDocument/2006/relationships/hyperlink" Target="http://www.mainelegislature.org/legis/statutes/24-A/title24-Asec2769.html" TargetMode="External"/><Relationship Id="rId5" Type="http://schemas.openxmlformats.org/officeDocument/2006/relationships/styles" Target="styles.xml"/><Relationship Id="rId15" Type="http://schemas.openxmlformats.org/officeDocument/2006/relationships/hyperlink" Target="http://legislature.maine.gov/statutes/24-A/title24-Asec2413.html" TargetMode="External"/><Relationship Id="rId23" Type="http://schemas.openxmlformats.org/officeDocument/2006/relationships/hyperlink" Target="http://legislature.maine.gov/statutes/24-A/title24-Asec4222-B.html" TargetMode="External"/><Relationship Id="rId28" Type="http://schemas.openxmlformats.org/officeDocument/2006/relationships/hyperlink" Target="http://legislature.maine.gov/statutes/24-A/title24-Asec2736.html" TargetMode="External"/><Relationship Id="rId36" Type="http://schemas.openxmlformats.org/officeDocument/2006/relationships/hyperlink" Target="http://www.mainelegislature.org/legis/statutes/24-A/title24-Asec2828.html" TargetMode="External"/><Relationship Id="rId10" Type="http://schemas.openxmlformats.org/officeDocument/2006/relationships/hyperlink" Target="http://www.serff.com" TargetMode="External"/><Relationship Id="rId19" Type="http://schemas.openxmlformats.org/officeDocument/2006/relationships/hyperlink" Target="http://www.mainelegislature.org/legis/statutes/24-A/title24-Asec2413.html" TargetMode="External"/><Relationship Id="rId31" Type="http://schemas.openxmlformats.org/officeDocument/2006/relationships/hyperlink" Target="http://legislature.maine.gov/statutes/24-A/title24-Asec2820.html" TargetMode="External"/><Relationship Id="rId4" Type="http://schemas.openxmlformats.org/officeDocument/2006/relationships/numbering" Target="numbering.xml"/><Relationship Id="rId9" Type="http://schemas.openxmlformats.org/officeDocument/2006/relationships/hyperlink" Target="http://www.maine.gov/pfr/insurance/sites/maine.gov.pfr.insurance/files/inline-files/360_0.pdf" TargetMode="External"/><Relationship Id="rId14" Type="http://schemas.openxmlformats.org/officeDocument/2006/relationships/hyperlink" Target="http://legislature.maine.gov/statutes/24-A/title24-Asec2412.html" TargetMode="External"/><Relationship Id="rId22" Type="http://schemas.openxmlformats.org/officeDocument/2006/relationships/hyperlink" Target="http://www.mainelegislature.org/legis/statutes/24-A/title24-Asec2850-B.html" TargetMode="External"/><Relationship Id="rId27" Type="http://schemas.openxmlformats.org/officeDocument/2006/relationships/hyperlink" Target="http://www.mainelegislature.org/legis/statutes/24-A/title24-Asec2736.html" TargetMode="External"/><Relationship Id="rId30" Type="http://schemas.openxmlformats.org/officeDocument/2006/relationships/hyperlink" Target="http://www.maine.gov/sos/cec/rules/02/031/031c191.doc" TargetMode="External"/><Relationship Id="rId35" Type="http://schemas.openxmlformats.org/officeDocument/2006/relationships/hyperlink" Target="http://www.maine.gov/sos/cec/rules/02/031/031c58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D52D09048DBB49B7B277286074B570" ma:contentTypeVersion="11" ma:contentTypeDescription="Create a new document." ma:contentTypeScope="" ma:versionID="7cb8c9cacc8171b74fea040e5828cabc">
  <xsd:schema xmlns:xsd="http://www.w3.org/2001/XMLSchema" xmlns:xs="http://www.w3.org/2001/XMLSchema" xmlns:p="http://schemas.microsoft.com/office/2006/metadata/properties" xmlns:ns3="98cd1880-1e64-4a37-a63e-612db5b12ee6" xmlns:ns4="bd5fdee6-2fc1-4a20-8484-be5f0423234e" targetNamespace="http://schemas.microsoft.com/office/2006/metadata/properties" ma:root="true" ma:fieldsID="ad54c88ef7646d886b66735fd10e7c3a" ns3:_="" ns4:_="">
    <xsd:import namespace="98cd1880-1e64-4a37-a63e-612db5b12ee6"/>
    <xsd:import namespace="bd5fdee6-2fc1-4a20-8484-be5f042323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d1880-1e64-4a37-a63e-612db5b12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fdee6-2fc1-4a20-8484-be5f042323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A5D4C-7D90-4607-BAE2-1C5B7AC3E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d1880-1e64-4a37-a63e-612db5b12ee6"/>
    <ds:schemaRef ds:uri="bd5fdee6-2fc1-4a20-8484-be5f04232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86793-AA7E-446A-A971-AAE2C55DA7B3}">
  <ds:schemaRefs>
    <ds:schemaRef ds:uri="http://schemas.microsoft.com/sharepoint/v3/contenttype/forms"/>
  </ds:schemaRefs>
</ds:datastoreItem>
</file>

<file path=customXml/itemProps3.xml><?xml version="1.0" encoding="utf-8"?>
<ds:datastoreItem xmlns:ds="http://schemas.openxmlformats.org/officeDocument/2006/customXml" ds:itemID="{527B2A93-BD3C-4829-B900-02191A2E22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Lisa A</dc:creator>
  <cp:lastModifiedBy>Maley-Alley, Amanda</cp:lastModifiedBy>
  <cp:revision>4</cp:revision>
  <cp:lastPrinted>2016-01-20T20:42:00Z</cp:lastPrinted>
  <dcterms:created xsi:type="dcterms:W3CDTF">2021-09-09T18:23:00Z</dcterms:created>
  <dcterms:modified xsi:type="dcterms:W3CDTF">2022-01-25T21:30:00Z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0x01010054D52D09048DBB49B7B277286074B570</vt:lpwstr>
  </property>
</Properties>
</file>