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C72321" w:rsidRPr="00C72321" w14:paraId="39D91EF1" w14:textId="77777777" w:rsidTr="00C72321">
        <w:tblPrEx>
          <w:tblCellMar>
            <w:top w:w="0" w:type="dxa"/>
            <w:bottom w:w="0" w:type="dxa"/>
          </w:tblCellMar>
        </w:tblPrEx>
        <w:trPr>
          <w:cantSplit/>
        </w:trPr>
        <w:tc>
          <w:tcPr>
            <w:tcW w:w="13000" w:type="dxa"/>
            <w:tcBorders>
              <w:top w:val="single" w:sz="4" w:space="0" w:color="auto"/>
              <w:bottom w:val="nil"/>
            </w:tcBorders>
            <w:shd w:val="clear" w:color="auto" w:fill="D9D9D9"/>
          </w:tcPr>
          <w:p w14:paraId="3E6EC06E" w14:textId="4F6615F5" w:rsidR="00C72321" w:rsidRPr="00C72321" w:rsidRDefault="00C72321" w:rsidP="00C72321">
            <w:pPr>
              <w:spacing w:after="0" w:line="240" w:lineRule="auto"/>
              <w:rPr>
                <w:b/>
                <w:sz w:val="28"/>
              </w:rPr>
            </w:pPr>
            <w:r w:rsidRPr="00C72321">
              <w:rPr>
                <w:b/>
                <w:sz w:val="28"/>
              </w:rPr>
              <w:t>Maine Bureau of Insurance</w:t>
            </w:r>
          </w:p>
        </w:tc>
      </w:tr>
      <w:tr w:rsidR="00C72321" w14:paraId="58E07A7E" w14:textId="77777777" w:rsidTr="00C72321">
        <w:tblPrEx>
          <w:tblCellMar>
            <w:top w:w="0" w:type="dxa"/>
            <w:bottom w:w="0" w:type="dxa"/>
          </w:tblCellMar>
        </w:tblPrEx>
        <w:trPr>
          <w:cantSplit/>
        </w:trPr>
        <w:tc>
          <w:tcPr>
            <w:tcW w:w="13000" w:type="dxa"/>
            <w:tcBorders>
              <w:top w:val="nil"/>
            </w:tcBorders>
            <w:shd w:val="clear" w:color="auto" w:fill="auto"/>
          </w:tcPr>
          <w:p w14:paraId="5984DB5E" w14:textId="1A6526E8" w:rsidR="00C72321" w:rsidRDefault="00C72321" w:rsidP="00C72321">
            <w:pPr>
              <w:spacing w:after="0" w:line="240" w:lineRule="auto"/>
            </w:pPr>
            <w:r>
              <w:t>Form Filing Review Requirements Checklist</w:t>
            </w:r>
          </w:p>
        </w:tc>
      </w:tr>
      <w:tr w:rsidR="00C72321" w14:paraId="331B3914" w14:textId="77777777" w:rsidTr="00C72321">
        <w:tblPrEx>
          <w:tblCellMar>
            <w:top w:w="0" w:type="dxa"/>
            <w:bottom w:w="0" w:type="dxa"/>
          </w:tblCellMar>
        </w:tblPrEx>
        <w:trPr>
          <w:cantSplit/>
        </w:trPr>
        <w:tc>
          <w:tcPr>
            <w:tcW w:w="13000" w:type="dxa"/>
            <w:shd w:val="clear" w:color="auto" w:fill="auto"/>
          </w:tcPr>
          <w:p w14:paraId="36C80958" w14:textId="35925006" w:rsidR="00C72321" w:rsidRDefault="00C72321" w:rsidP="00C72321">
            <w:pPr>
              <w:spacing w:after="0" w:line="240" w:lineRule="auto"/>
            </w:pPr>
            <w:r>
              <w:t>TOI - H17G, H17I</w:t>
            </w:r>
          </w:p>
        </w:tc>
      </w:tr>
      <w:tr w:rsidR="00C72321" w14:paraId="0B214C1D" w14:textId="77777777" w:rsidTr="00C72321">
        <w:tblPrEx>
          <w:tblCellMar>
            <w:top w:w="0" w:type="dxa"/>
            <w:bottom w:w="0" w:type="dxa"/>
          </w:tblCellMar>
        </w:tblPrEx>
        <w:trPr>
          <w:cantSplit/>
        </w:trPr>
        <w:tc>
          <w:tcPr>
            <w:tcW w:w="13000" w:type="dxa"/>
            <w:shd w:val="clear" w:color="auto" w:fill="auto"/>
          </w:tcPr>
          <w:p w14:paraId="36699260" w14:textId="4914C36E" w:rsidR="00C72321" w:rsidRDefault="00C72321" w:rsidP="00C72321">
            <w:pPr>
              <w:spacing w:after="0" w:line="240" w:lineRule="auto"/>
            </w:pPr>
            <w:r>
              <w:t>Prescription Drug Coverage Only</w:t>
            </w:r>
          </w:p>
        </w:tc>
      </w:tr>
      <w:tr w:rsidR="00C72321" w14:paraId="7D80F5AF" w14:textId="77777777" w:rsidTr="00C72321">
        <w:tblPrEx>
          <w:tblCellMar>
            <w:top w:w="0" w:type="dxa"/>
            <w:bottom w:w="0" w:type="dxa"/>
          </w:tblCellMar>
        </w:tblPrEx>
        <w:trPr>
          <w:cantSplit/>
        </w:trPr>
        <w:tc>
          <w:tcPr>
            <w:tcW w:w="13000" w:type="dxa"/>
            <w:shd w:val="clear" w:color="auto" w:fill="auto"/>
          </w:tcPr>
          <w:p w14:paraId="1771A2D8" w14:textId="3C9A3737" w:rsidR="00C72321" w:rsidRDefault="00C72321" w:rsidP="00C72321">
            <w:pPr>
              <w:spacing w:after="0" w:line="240" w:lineRule="auto"/>
            </w:pPr>
            <w:r>
              <w:t>Revised – 9/9/2021</w:t>
            </w:r>
          </w:p>
        </w:tc>
      </w:tr>
      <w:tr w:rsidR="00C72321" w14:paraId="518F3DAB" w14:textId="77777777" w:rsidTr="00C72321">
        <w:tblPrEx>
          <w:tblCellMar>
            <w:top w:w="0" w:type="dxa"/>
            <w:bottom w:w="0" w:type="dxa"/>
          </w:tblCellMar>
        </w:tblPrEx>
        <w:trPr>
          <w:cantSplit/>
        </w:trPr>
        <w:tc>
          <w:tcPr>
            <w:tcW w:w="13000" w:type="dxa"/>
            <w:shd w:val="clear" w:color="auto" w:fill="auto"/>
          </w:tcPr>
          <w:p w14:paraId="575E23C6" w14:textId="0345142C" w:rsidR="00C72321" w:rsidRDefault="00C72321" w:rsidP="00C72321">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C72321" w14:paraId="7A70AB3C" w14:textId="77777777" w:rsidTr="00C72321">
        <w:tblPrEx>
          <w:tblCellMar>
            <w:top w:w="0" w:type="dxa"/>
            <w:bottom w:w="0" w:type="dxa"/>
          </w:tblCellMar>
        </w:tblPrEx>
        <w:trPr>
          <w:cantSplit/>
        </w:trPr>
        <w:tc>
          <w:tcPr>
            <w:tcW w:w="13000" w:type="dxa"/>
            <w:shd w:val="clear" w:color="auto" w:fill="auto"/>
          </w:tcPr>
          <w:p w14:paraId="7F3DA1AF" w14:textId="0C2391A3" w:rsidR="00C72321" w:rsidRDefault="00C72321" w:rsidP="00C72321">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7CFD83C3"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C72321" w:rsidRPr="00C72321" w14:paraId="693F7FA8" w14:textId="77777777" w:rsidTr="00C72321">
        <w:tblPrEx>
          <w:tblCellMar>
            <w:top w:w="0" w:type="dxa"/>
            <w:bottom w:w="0" w:type="dxa"/>
          </w:tblCellMar>
        </w:tblPrEx>
        <w:trPr>
          <w:cantSplit/>
        </w:trPr>
        <w:tc>
          <w:tcPr>
            <w:tcW w:w="2000" w:type="dxa"/>
            <w:tcBorders>
              <w:bottom w:val="single" w:sz="4" w:space="0" w:color="auto"/>
            </w:tcBorders>
            <w:shd w:val="clear" w:color="auto" w:fill="D9D9D9"/>
          </w:tcPr>
          <w:p w14:paraId="7CE2BDF1" w14:textId="455D18A1" w:rsidR="00C72321" w:rsidRPr="00C72321" w:rsidRDefault="00C72321" w:rsidP="00C72321">
            <w:pPr>
              <w:spacing w:after="0" w:line="240" w:lineRule="auto"/>
              <w:jc w:val="center"/>
              <w:rPr>
                <w:b/>
                <w:sz w:val="24"/>
              </w:rPr>
            </w:pPr>
            <w:r w:rsidRPr="00C72321">
              <w:rPr>
                <w:b/>
                <w:sz w:val="24"/>
              </w:rPr>
              <w:t>REVIEW REQUIREMENTS</w:t>
            </w:r>
          </w:p>
        </w:tc>
        <w:tc>
          <w:tcPr>
            <w:tcW w:w="2000" w:type="dxa"/>
            <w:tcBorders>
              <w:bottom w:val="single" w:sz="4" w:space="0" w:color="auto"/>
            </w:tcBorders>
            <w:shd w:val="clear" w:color="auto" w:fill="D9D9D9"/>
          </w:tcPr>
          <w:p w14:paraId="219DCF13" w14:textId="1F869F73" w:rsidR="00C72321" w:rsidRPr="00C72321" w:rsidRDefault="00C72321" w:rsidP="00C72321">
            <w:pPr>
              <w:spacing w:after="0" w:line="240" w:lineRule="auto"/>
              <w:jc w:val="center"/>
              <w:rPr>
                <w:b/>
                <w:sz w:val="24"/>
              </w:rPr>
            </w:pPr>
            <w:r w:rsidRPr="00C72321">
              <w:rPr>
                <w:b/>
                <w:sz w:val="24"/>
              </w:rPr>
              <w:t>REFERENCES</w:t>
            </w:r>
          </w:p>
        </w:tc>
        <w:tc>
          <w:tcPr>
            <w:tcW w:w="9000" w:type="dxa"/>
            <w:tcBorders>
              <w:bottom w:val="single" w:sz="4" w:space="0" w:color="auto"/>
            </w:tcBorders>
            <w:shd w:val="clear" w:color="auto" w:fill="D9D9D9"/>
          </w:tcPr>
          <w:p w14:paraId="3E1DBD95" w14:textId="77777777" w:rsidR="00C72321" w:rsidRPr="00C72321" w:rsidRDefault="00C72321" w:rsidP="00C72321">
            <w:pPr>
              <w:spacing w:after="0" w:line="240" w:lineRule="auto"/>
              <w:jc w:val="center"/>
              <w:rPr>
                <w:b/>
                <w:sz w:val="24"/>
              </w:rPr>
            </w:pPr>
          </w:p>
        </w:tc>
        <w:tc>
          <w:tcPr>
            <w:tcW w:w="2000" w:type="dxa"/>
            <w:tcBorders>
              <w:bottom w:val="single" w:sz="4" w:space="0" w:color="auto"/>
            </w:tcBorders>
            <w:shd w:val="clear" w:color="auto" w:fill="D9D9D9"/>
          </w:tcPr>
          <w:p w14:paraId="15FEC104" w14:textId="0A9FB2C8" w:rsidR="00C72321" w:rsidRPr="00C72321" w:rsidRDefault="00C72321" w:rsidP="00C72321">
            <w:pPr>
              <w:spacing w:after="0" w:line="240" w:lineRule="auto"/>
              <w:jc w:val="center"/>
              <w:rPr>
                <w:b/>
                <w:sz w:val="24"/>
              </w:rPr>
            </w:pPr>
            <w:r w:rsidRPr="00C72321">
              <w:rPr>
                <w:b/>
                <w:sz w:val="24"/>
              </w:rPr>
              <w:t>COMPLIANCE</w:t>
            </w:r>
          </w:p>
        </w:tc>
      </w:tr>
      <w:tr w:rsidR="00C72321" w:rsidRPr="00C72321" w14:paraId="50779935" w14:textId="77777777" w:rsidTr="00C72321">
        <w:tblPrEx>
          <w:tblCellMar>
            <w:top w:w="0" w:type="dxa"/>
            <w:bottom w:w="0" w:type="dxa"/>
          </w:tblCellMar>
        </w:tblPrEx>
        <w:trPr>
          <w:cantSplit/>
        </w:trPr>
        <w:tc>
          <w:tcPr>
            <w:tcW w:w="2000" w:type="dxa"/>
            <w:shd w:val="clear" w:color="auto" w:fill="D9D9D9"/>
          </w:tcPr>
          <w:p w14:paraId="44113BA1" w14:textId="2B9A5862" w:rsidR="00C72321" w:rsidRPr="00C72321" w:rsidRDefault="00C72321" w:rsidP="00C72321">
            <w:pPr>
              <w:spacing w:after="0" w:line="240" w:lineRule="auto"/>
              <w:jc w:val="center"/>
              <w:rPr>
                <w:b/>
                <w:sz w:val="24"/>
              </w:rPr>
            </w:pPr>
            <w:r w:rsidRPr="00C72321">
              <w:rPr>
                <w:b/>
                <w:sz w:val="24"/>
              </w:rPr>
              <w:t>GENERAL SUBMISSION REQUIREMENTS</w:t>
            </w:r>
          </w:p>
        </w:tc>
        <w:tc>
          <w:tcPr>
            <w:tcW w:w="2000" w:type="dxa"/>
            <w:shd w:val="clear" w:color="auto" w:fill="D9D9D9"/>
          </w:tcPr>
          <w:p w14:paraId="64296308" w14:textId="77777777" w:rsidR="00C72321" w:rsidRPr="00C72321" w:rsidRDefault="00C72321" w:rsidP="00C72321">
            <w:pPr>
              <w:spacing w:after="0" w:line="240" w:lineRule="auto"/>
              <w:jc w:val="center"/>
              <w:rPr>
                <w:b/>
                <w:sz w:val="24"/>
              </w:rPr>
            </w:pPr>
          </w:p>
        </w:tc>
        <w:tc>
          <w:tcPr>
            <w:tcW w:w="9000" w:type="dxa"/>
            <w:shd w:val="clear" w:color="auto" w:fill="D9D9D9"/>
          </w:tcPr>
          <w:p w14:paraId="22C9180E" w14:textId="77777777" w:rsidR="00C72321" w:rsidRPr="00C72321" w:rsidRDefault="00C72321" w:rsidP="00C72321">
            <w:pPr>
              <w:spacing w:after="0" w:line="240" w:lineRule="auto"/>
              <w:jc w:val="center"/>
              <w:rPr>
                <w:b/>
                <w:sz w:val="24"/>
              </w:rPr>
            </w:pPr>
          </w:p>
        </w:tc>
        <w:tc>
          <w:tcPr>
            <w:tcW w:w="2000" w:type="dxa"/>
            <w:shd w:val="clear" w:color="auto" w:fill="D9D9D9"/>
          </w:tcPr>
          <w:p w14:paraId="17AC8504" w14:textId="77777777" w:rsidR="00C72321" w:rsidRPr="00C72321" w:rsidRDefault="00C72321" w:rsidP="00C72321">
            <w:pPr>
              <w:spacing w:after="0" w:line="240" w:lineRule="auto"/>
              <w:jc w:val="center"/>
              <w:rPr>
                <w:b/>
                <w:sz w:val="24"/>
              </w:rPr>
            </w:pPr>
          </w:p>
        </w:tc>
      </w:tr>
      <w:tr w:rsidR="00C72321" w:rsidRPr="00C72321" w14:paraId="28AD7B3D" w14:textId="77777777" w:rsidTr="00C72321">
        <w:tblPrEx>
          <w:tblCellMar>
            <w:top w:w="0" w:type="dxa"/>
            <w:bottom w:w="0" w:type="dxa"/>
          </w:tblCellMar>
        </w:tblPrEx>
        <w:trPr>
          <w:cantSplit/>
        </w:trPr>
        <w:tc>
          <w:tcPr>
            <w:tcW w:w="2000" w:type="dxa"/>
            <w:shd w:val="clear" w:color="auto" w:fill="auto"/>
          </w:tcPr>
          <w:p w14:paraId="173D6D48" w14:textId="5B3D6424" w:rsidR="00C72321" w:rsidRPr="00C72321" w:rsidRDefault="00C72321" w:rsidP="00C72321">
            <w:pPr>
              <w:spacing w:after="0" w:line="240" w:lineRule="auto"/>
              <w:rPr>
                <w:sz w:val="20"/>
              </w:rPr>
            </w:pPr>
            <w:r>
              <w:rPr>
                <w:sz w:val="20"/>
              </w:rPr>
              <w:t>Electronic (SERFF) Filing Requirements:</w:t>
            </w:r>
          </w:p>
        </w:tc>
        <w:tc>
          <w:tcPr>
            <w:tcW w:w="2000" w:type="dxa"/>
            <w:shd w:val="clear" w:color="auto" w:fill="auto"/>
          </w:tcPr>
          <w:p w14:paraId="2A9633A2" w14:textId="364EDD77" w:rsidR="00C72321" w:rsidRPr="00C72321" w:rsidRDefault="00C72321" w:rsidP="00C72321">
            <w:pPr>
              <w:spacing w:after="0" w:line="240" w:lineRule="auto"/>
              <w:rPr>
                <w:sz w:val="20"/>
              </w:rPr>
            </w:pPr>
            <w:hyperlink r:id="rId6" w:history="1">
              <w:r w:rsidRPr="00C72321">
                <w:rPr>
                  <w:rStyle w:val="Hyperlink"/>
                  <w:sz w:val="20"/>
                </w:rPr>
                <w:t>Title 24-A § 2412</w:t>
              </w:r>
            </w:hyperlink>
            <w:r>
              <w:rPr>
                <w:sz w:val="20"/>
              </w:rPr>
              <w:t xml:space="preserve">(2) </w:t>
            </w:r>
            <w:hyperlink r:id="rId7" w:history="1">
              <w:r w:rsidRPr="00C72321">
                <w:rPr>
                  <w:rStyle w:val="Hyperlink"/>
                  <w:sz w:val="20"/>
                </w:rPr>
                <w:t>Bulletin 360</w:t>
              </w:r>
            </w:hyperlink>
          </w:p>
        </w:tc>
        <w:tc>
          <w:tcPr>
            <w:tcW w:w="9000" w:type="dxa"/>
            <w:shd w:val="clear" w:color="auto" w:fill="auto"/>
          </w:tcPr>
          <w:p w14:paraId="5F478479" w14:textId="3C72E059" w:rsidR="00C72321" w:rsidRPr="00C72321" w:rsidRDefault="00C72321" w:rsidP="00C72321">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5B1FFC1" w14:textId="77777777" w:rsidR="00C72321" w:rsidRPr="00C72321" w:rsidRDefault="00C72321" w:rsidP="00C72321">
            <w:pPr>
              <w:spacing w:after="0" w:line="240" w:lineRule="auto"/>
              <w:rPr>
                <w:sz w:val="20"/>
              </w:rPr>
            </w:pPr>
          </w:p>
        </w:tc>
      </w:tr>
      <w:tr w:rsidR="00C72321" w:rsidRPr="00C72321" w14:paraId="2A491412" w14:textId="77777777" w:rsidTr="00C72321">
        <w:tblPrEx>
          <w:tblCellMar>
            <w:top w:w="0" w:type="dxa"/>
            <w:bottom w:w="0" w:type="dxa"/>
          </w:tblCellMar>
        </w:tblPrEx>
        <w:trPr>
          <w:cantSplit/>
        </w:trPr>
        <w:tc>
          <w:tcPr>
            <w:tcW w:w="2000" w:type="dxa"/>
            <w:shd w:val="clear" w:color="auto" w:fill="auto"/>
          </w:tcPr>
          <w:p w14:paraId="225D8AC2" w14:textId="1E158B87" w:rsidR="00C72321" w:rsidRPr="00C72321" w:rsidRDefault="00C72321" w:rsidP="00C72321">
            <w:pPr>
              <w:spacing w:after="0" w:line="240" w:lineRule="auto"/>
              <w:rPr>
                <w:sz w:val="20"/>
              </w:rPr>
            </w:pPr>
            <w:r>
              <w:rPr>
                <w:sz w:val="20"/>
              </w:rPr>
              <w:t>FILING FEES</w:t>
            </w:r>
          </w:p>
        </w:tc>
        <w:tc>
          <w:tcPr>
            <w:tcW w:w="2000" w:type="dxa"/>
            <w:shd w:val="clear" w:color="auto" w:fill="auto"/>
          </w:tcPr>
          <w:p w14:paraId="79A105C5" w14:textId="1505F958" w:rsidR="00C72321" w:rsidRPr="00C72321" w:rsidRDefault="00C72321" w:rsidP="00C72321">
            <w:pPr>
              <w:spacing w:after="0" w:line="240" w:lineRule="auto"/>
              <w:rPr>
                <w:sz w:val="20"/>
              </w:rPr>
            </w:pPr>
            <w:hyperlink r:id="rId8" w:history="1">
              <w:r w:rsidRPr="00C72321">
                <w:rPr>
                  <w:rStyle w:val="Hyperlink"/>
                  <w:sz w:val="20"/>
                </w:rPr>
                <w:t>Title 24-A § 601</w:t>
              </w:r>
            </w:hyperlink>
            <w:r>
              <w:rPr>
                <w:sz w:val="20"/>
              </w:rPr>
              <w:t xml:space="preserve"> (17)</w:t>
            </w:r>
          </w:p>
        </w:tc>
        <w:tc>
          <w:tcPr>
            <w:tcW w:w="9000" w:type="dxa"/>
            <w:shd w:val="clear" w:color="auto" w:fill="auto"/>
          </w:tcPr>
          <w:p w14:paraId="316759D8" w14:textId="5D03FFE3" w:rsidR="00C72321" w:rsidRPr="00C72321" w:rsidRDefault="00C72321" w:rsidP="00C72321">
            <w:pPr>
              <w:spacing w:after="0" w:line="240" w:lineRule="auto"/>
              <w:rPr>
                <w:sz w:val="20"/>
              </w:rPr>
            </w:pPr>
            <w:r>
              <w:rPr>
                <w:sz w:val="20"/>
              </w:rPr>
              <w:t xml:space="preserve">$20.00 for Rate filings, rating rules filings, insurance policy, forms, riders, </w:t>
            </w:r>
            <w:proofErr w:type="gramStart"/>
            <w:r>
              <w:rPr>
                <w:sz w:val="20"/>
              </w:rPr>
              <w:t>endorsements</w:t>
            </w:r>
            <w:proofErr w:type="gramEnd"/>
            <w:r>
              <w:rPr>
                <w:sz w:val="20"/>
              </w:rPr>
              <w:t xml:space="preserve"> and certificates. See </w:t>
            </w:r>
            <w:proofErr w:type="gramStart"/>
            <w:r>
              <w:rPr>
                <w:sz w:val="20"/>
              </w:rPr>
              <w:t>General</w:t>
            </w:r>
            <w:proofErr w:type="gramEnd"/>
            <w:r>
              <w:rPr>
                <w:sz w:val="20"/>
              </w:rPr>
              <w:t xml:space="preserve">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64EE6FEF" w14:textId="77777777" w:rsidR="00C72321" w:rsidRPr="00C72321" w:rsidRDefault="00C72321" w:rsidP="00C72321">
            <w:pPr>
              <w:spacing w:after="0" w:line="240" w:lineRule="auto"/>
              <w:rPr>
                <w:sz w:val="20"/>
              </w:rPr>
            </w:pPr>
          </w:p>
        </w:tc>
      </w:tr>
      <w:tr w:rsidR="00C72321" w:rsidRPr="00C72321" w14:paraId="4033C86A" w14:textId="77777777" w:rsidTr="00C72321">
        <w:tblPrEx>
          <w:tblCellMar>
            <w:top w:w="0" w:type="dxa"/>
            <w:bottom w:w="0" w:type="dxa"/>
          </w:tblCellMar>
        </w:tblPrEx>
        <w:trPr>
          <w:cantSplit/>
        </w:trPr>
        <w:tc>
          <w:tcPr>
            <w:tcW w:w="2000" w:type="dxa"/>
            <w:shd w:val="clear" w:color="auto" w:fill="auto"/>
          </w:tcPr>
          <w:p w14:paraId="5093ADC3" w14:textId="7D7C8DBD" w:rsidR="00C72321" w:rsidRPr="00C72321" w:rsidRDefault="00C72321" w:rsidP="00C72321">
            <w:pPr>
              <w:spacing w:after="0" w:line="240" w:lineRule="auto"/>
              <w:rPr>
                <w:sz w:val="20"/>
              </w:rPr>
            </w:pPr>
            <w:r>
              <w:rPr>
                <w:sz w:val="20"/>
              </w:rPr>
              <w:t>Grounds for disapproval</w:t>
            </w:r>
          </w:p>
        </w:tc>
        <w:tc>
          <w:tcPr>
            <w:tcW w:w="2000" w:type="dxa"/>
            <w:shd w:val="clear" w:color="auto" w:fill="auto"/>
          </w:tcPr>
          <w:p w14:paraId="4C7DE6A9" w14:textId="1CE70F6B" w:rsidR="00C72321" w:rsidRPr="00C72321" w:rsidRDefault="00C72321" w:rsidP="00C72321">
            <w:pPr>
              <w:spacing w:after="0" w:line="240" w:lineRule="auto"/>
              <w:rPr>
                <w:sz w:val="20"/>
              </w:rPr>
            </w:pPr>
            <w:hyperlink r:id="rId9" w:history="1">
              <w:r w:rsidRPr="00C72321">
                <w:rPr>
                  <w:rStyle w:val="Hyperlink"/>
                  <w:sz w:val="20"/>
                </w:rPr>
                <w:t>Title 24-A § 2413</w:t>
              </w:r>
            </w:hyperlink>
          </w:p>
        </w:tc>
        <w:tc>
          <w:tcPr>
            <w:tcW w:w="9000" w:type="dxa"/>
            <w:shd w:val="clear" w:color="auto" w:fill="auto"/>
          </w:tcPr>
          <w:p w14:paraId="1506AC8D" w14:textId="48E752F7" w:rsidR="00C72321" w:rsidRPr="00C72321" w:rsidRDefault="00C72321" w:rsidP="00C72321">
            <w:pPr>
              <w:spacing w:after="0" w:line="240" w:lineRule="auto"/>
              <w:rPr>
                <w:sz w:val="20"/>
              </w:rPr>
            </w:pPr>
            <w:r>
              <w:rPr>
                <w:sz w:val="20"/>
              </w:rPr>
              <w:t>Seven categories of the grounds for disapproving a filing.</w:t>
            </w:r>
          </w:p>
        </w:tc>
        <w:tc>
          <w:tcPr>
            <w:tcW w:w="2000" w:type="dxa"/>
            <w:shd w:val="clear" w:color="auto" w:fill="auto"/>
          </w:tcPr>
          <w:p w14:paraId="3C1657D1" w14:textId="77777777" w:rsidR="00C72321" w:rsidRPr="00C72321" w:rsidRDefault="00C72321" w:rsidP="00C72321">
            <w:pPr>
              <w:spacing w:after="0" w:line="240" w:lineRule="auto"/>
              <w:rPr>
                <w:sz w:val="20"/>
              </w:rPr>
            </w:pPr>
          </w:p>
        </w:tc>
      </w:tr>
      <w:tr w:rsidR="00C72321" w:rsidRPr="00C72321" w14:paraId="6944A866" w14:textId="77777777" w:rsidTr="00C72321">
        <w:tblPrEx>
          <w:tblCellMar>
            <w:top w:w="0" w:type="dxa"/>
            <w:bottom w:w="0" w:type="dxa"/>
          </w:tblCellMar>
        </w:tblPrEx>
        <w:trPr>
          <w:cantSplit/>
        </w:trPr>
        <w:tc>
          <w:tcPr>
            <w:tcW w:w="2000" w:type="dxa"/>
            <w:shd w:val="clear" w:color="auto" w:fill="auto"/>
          </w:tcPr>
          <w:p w14:paraId="1D9C5C08" w14:textId="6D66B3C8" w:rsidR="00C72321" w:rsidRPr="00C72321" w:rsidRDefault="00C72321" w:rsidP="00C72321">
            <w:pPr>
              <w:spacing w:after="0" w:line="240" w:lineRule="auto"/>
              <w:rPr>
                <w:sz w:val="20"/>
              </w:rPr>
            </w:pPr>
            <w:r>
              <w:rPr>
                <w:sz w:val="20"/>
              </w:rPr>
              <w:t>Readability</w:t>
            </w:r>
          </w:p>
        </w:tc>
        <w:tc>
          <w:tcPr>
            <w:tcW w:w="2000" w:type="dxa"/>
            <w:shd w:val="clear" w:color="auto" w:fill="auto"/>
          </w:tcPr>
          <w:p w14:paraId="12836A5D" w14:textId="6456E874" w:rsidR="00C72321" w:rsidRPr="00C72321" w:rsidRDefault="00C72321" w:rsidP="00C72321">
            <w:pPr>
              <w:spacing w:after="0" w:line="240" w:lineRule="auto"/>
              <w:rPr>
                <w:sz w:val="20"/>
              </w:rPr>
            </w:pPr>
            <w:hyperlink r:id="rId10" w:history="1">
              <w:r w:rsidRPr="00C72321">
                <w:rPr>
                  <w:rStyle w:val="Hyperlink"/>
                  <w:sz w:val="20"/>
                </w:rPr>
                <w:t>Title 24-A § 2441</w:t>
              </w:r>
            </w:hyperlink>
          </w:p>
        </w:tc>
        <w:tc>
          <w:tcPr>
            <w:tcW w:w="9000" w:type="dxa"/>
            <w:shd w:val="clear" w:color="auto" w:fill="auto"/>
          </w:tcPr>
          <w:p w14:paraId="569421E3" w14:textId="3B088260" w:rsidR="00C72321" w:rsidRPr="00C72321" w:rsidRDefault="00C72321" w:rsidP="00C72321">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0BE4F2D6" w14:textId="77777777" w:rsidR="00C72321" w:rsidRPr="00C72321" w:rsidRDefault="00C72321" w:rsidP="00C72321">
            <w:pPr>
              <w:spacing w:after="0" w:line="240" w:lineRule="auto"/>
              <w:rPr>
                <w:sz w:val="20"/>
              </w:rPr>
            </w:pPr>
          </w:p>
        </w:tc>
      </w:tr>
      <w:tr w:rsidR="00C72321" w:rsidRPr="00C72321" w14:paraId="5655835C" w14:textId="77777777" w:rsidTr="00C72321">
        <w:tblPrEx>
          <w:tblCellMar>
            <w:top w:w="0" w:type="dxa"/>
            <w:bottom w:w="0" w:type="dxa"/>
          </w:tblCellMar>
        </w:tblPrEx>
        <w:trPr>
          <w:cantSplit/>
        </w:trPr>
        <w:tc>
          <w:tcPr>
            <w:tcW w:w="2000" w:type="dxa"/>
            <w:tcBorders>
              <w:bottom w:val="single" w:sz="4" w:space="0" w:color="auto"/>
            </w:tcBorders>
            <w:shd w:val="clear" w:color="auto" w:fill="auto"/>
          </w:tcPr>
          <w:p w14:paraId="09FD34CA" w14:textId="507E65EE" w:rsidR="00C72321" w:rsidRPr="00C72321" w:rsidRDefault="00C72321" w:rsidP="00C72321">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0EB1360D" w14:textId="11B090C0" w:rsidR="00C72321" w:rsidRDefault="00C72321" w:rsidP="00C72321">
            <w:pPr>
              <w:spacing w:after="0" w:line="240" w:lineRule="auto"/>
              <w:rPr>
                <w:sz w:val="20"/>
              </w:rPr>
            </w:pPr>
            <w:hyperlink r:id="rId11" w:history="1">
              <w:r w:rsidRPr="00C72321">
                <w:rPr>
                  <w:rStyle w:val="Hyperlink"/>
                  <w:sz w:val="20"/>
                </w:rPr>
                <w:t>Title 24-A § 2412</w:t>
              </w:r>
            </w:hyperlink>
            <w:r>
              <w:rPr>
                <w:sz w:val="20"/>
              </w:rPr>
              <w:t xml:space="preserve">  </w:t>
            </w:r>
          </w:p>
          <w:p w14:paraId="51DED3CB" w14:textId="7BBDC964" w:rsidR="00C72321" w:rsidRPr="00C72321" w:rsidRDefault="00C72321" w:rsidP="00C72321">
            <w:pPr>
              <w:spacing w:after="0" w:line="240" w:lineRule="auto"/>
              <w:rPr>
                <w:sz w:val="20"/>
              </w:rPr>
            </w:pPr>
            <w:hyperlink r:id="rId12" w:history="1">
              <w:r w:rsidRPr="00C72321">
                <w:rPr>
                  <w:rStyle w:val="Hyperlink"/>
                  <w:sz w:val="20"/>
                </w:rPr>
                <w:t>Title 24-A § 2413</w:t>
              </w:r>
            </w:hyperlink>
          </w:p>
        </w:tc>
        <w:tc>
          <w:tcPr>
            <w:tcW w:w="9000" w:type="dxa"/>
            <w:tcBorders>
              <w:bottom w:val="single" w:sz="4" w:space="0" w:color="auto"/>
            </w:tcBorders>
            <w:shd w:val="clear" w:color="auto" w:fill="auto"/>
          </w:tcPr>
          <w:p w14:paraId="6C6FE53D" w14:textId="0F85B562" w:rsidR="00C72321" w:rsidRPr="00C72321" w:rsidRDefault="00C72321" w:rsidP="00C72321">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1BBA54D7" w14:textId="77777777" w:rsidR="00C72321" w:rsidRPr="00C72321" w:rsidRDefault="00C72321" w:rsidP="00C72321">
            <w:pPr>
              <w:spacing w:after="0" w:line="240" w:lineRule="auto"/>
              <w:rPr>
                <w:sz w:val="20"/>
              </w:rPr>
            </w:pPr>
          </w:p>
        </w:tc>
      </w:tr>
      <w:tr w:rsidR="00C72321" w:rsidRPr="00C72321" w14:paraId="5E20AD3F" w14:textId="77777777" w:rsidTr="00C72321">
        <w:tblPrEx>
          <w:tblCellMar>
            <w:top w:w="0" w:type="dxa"/>
            <w:bottom w:w="0" w:type="dxa"/>
          </w:tblCellMar>
        </w:tblPrEx>
        <w:trPr>
          <w:cantSplit/>
        </w:trPr>
        <w:tc>
          <w:tcPr>
            <w:tcW w:w="2000" w:type="dxa"/>
            <w:shd w:val="clear" w:color="auto" w:fill="D9D9D9"/>
          </w:tcPr>
          <w:p w14:paraId="299D56A9" w14:textId="178C2D85" w:rsidR="00C72321" w:rsidRPr="00C72321" w:rsidRDefault="00C72321" w:rsidP="00C72321">
            <w:pPr>
              <w:spacing w:after="0" w:line="240" w:lineRule="auto"/>
              <w:jc w:val="center"/>
              <w:rPr>
                <w:b/>
                <w:sz w:val="24"/>
              </w:rPr>
            </w:pPr>
            <w:r w:rsidRPr="00C72321">
              <w:rPr>
                <w:b/>
                <w:sz w:val="24"/>
              </w:rPr>
              <w:t>GENERAL POLICY PROVISIONS</w:t>
            </w:r>
          </w:p>
        </w:tc>
        <w:tc>
          <w:tcPr>
            <w:tcW w:w="2000" w:type="dxa"/>
            <w:shd w:val="clear" w:color="auto" w:fill="D9D9D9"/>
          </w:tcPr>
          <w:p w14:paraId="14125D00" w14:textId="77777777" w:rsidR="00C72321" w:rsidRPr="00C72321" w:rsidRDefault="00C72321" w:rsidP="00C72321">
            <w:pPr>
              <w:spacing w:after="0" w:line="240" w:lineRule="auto"/>
              <w:jc w:val="center"/>
              <w:rPr>
                <w:b/>
                <w:sz w:val="24"/>
              </w:rPr>
            </w:pPr>
          </w:p>
        </w:tc>
        <w:tc>
          <w:tcPr>
            <w:tcW w:w="9000" w:type="dxa"/>
            <w:shd w:val="clear" w:color="auto" w:fill="D9D9D9"/>
          </w:tcPr>
          <w:p w14:paraId="1F86870B" w14:textId="77777777" w:rsidR="00C72321" w:rsidRPr="00C72321" w:rsidRDefault="00C72321" w:rsidP="00C72321">
            <w:pPr>
              <w:spacing w:after="0" w:line="240" w:lineRule="auto"/>
              <w:jc w:val="center"/>
              <w:rPr>
                <w:b/>
                <w:sz w:val="24"/>
              </w:rPr>
            </w:pPr>
          </w:p>
        </w:tc>
        <w:tc>
          <w:tcPr>
            <w:tcW w:w="2000" w:type="dxa"/>
            <w:shd w:val="clear" w:color="auto" w:fill="D9D9D9"/>
          </w:tcPr>
          <w:p w14:paraId="06F773C3" w14:textId="77777777" w:rsidR="00C72321" w:rsidRPr="00C72321" w:rsidRDefault="00C72321" w:rsidP="00C72321">
            <w:pPr>
              <w:spacing w:after="0" w:line="240" w:lineRule="auto"/>
              <w:jc w:val="center"/>
              <w:rPr>
                <w:b/>
                <w:sz w:val="24"/>
              </w:rPr>
            </w:pPr>
          </w:p>
        </w:tc>
      </w:tr>
      <w:tr w:rsidR="00C72321" w:rsidRPr="00C72321" w14:paraId="0F044793" w14:textId="77777777" w:rsidTr="00C72321">
        <w:tblPrEx>
          <w:tblCellMar>
            <w:top w:w="0" w:type="dxa"/>
            <w:bottom w:w="0" w:type="dxa"/>
          </w:tblCellMar>
        </w:tblPrEx>
        <w:trPr>
          <w:cantSplit/>
        </w:trPr>
        <w:tc>
          <w:tcPr>
            <w:tcW w:w="2000" w:type="dxa"/>
            <w:shd w:val="clear" w:color="auto" w:fill="auto"/>
          </w:tcPr>
          <w:p w14:paraId="26A32693" w14:textId="77BB14A4" w:rsidR="00C72321" w:rsidRPr="00C72321" w:rsidRDefault="00C72321" w:rsidP="00C72321">
            <w:pPr>
              <w:spacing w:after="0" w:line="240" w:lineRule="auto"/>
              <w:rPr>
                <w:sz w:val="20"/>
              </w:rPr>
            </w:pPr>
            <w:r>
              <w:rPr>
                <w:sz w:val="20"/>
              </w:rPr>
              <w:t>Applicant's statements</w:t>
            </w:r>
          </w:p>
        </w:tc>
        <w:tc>
          <w:tcPr>
            <w:tcW w:w="2000" w:type="dxa"/>
            <w:shd w:val="clear" w:color="auto" w:fill="auto"/>
          </w:tcPr>
          <w:p w14:paraId="5C0BA354" w14:textId="3B2F4607" w:rsidR="00C72321" w:rsidRPr="00C72321" w:rsidRDefault="00C72321" w:rsidP="00C72321">
            <w:pPr>
              <w:spacing w:after="0" w:line="240" w:lineRule="auto"/>
              <w:rPr>
                <w:sz w:val="20"/>
              </w:rPr>
            </w:pPr>
            <w:hyperlink r:id="rId13" w:history="1">
              <w:r w:rsidRPr="00C72321">
                <w:rPr>
                  <w:rStyle w:val="Hyperlink"/>
                  <w:sz w:val="20"/>
                </w:rPr>
                <w:t>Title 24-A § 2817</w:t>
              </w:r>
            </w:hyperlink>
          </w:p>
        </w:tc>
        <w:tc>
          <w:tcPr>
            <w:tcW w:w="9000" w:type="dxa"/>
            <w:shd w:val="clear" w:color="auto" w:fill="auto"/>
          </w:tcPr>
          <w:p w14:paraId="4585A3C2" w14:textId="6BEEAF63" w:rsidR="00C72321" w:rsidRPr="00C72321" w:rsidRDefault="00C72321" w:rsidP="00C72321">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32E825F0" w14:textId="77777777" w:rsidR="00C72321" w:rsidRPr="00C72321" w:rsidRDefault="00C72321" w:rsidP="00C72321">
            <w:pPr>
              <w:spacing w:after="0" w:line="240" w:lineRule="auto"/>
              <w:rPr>
                <w:sz w:val="20"/>
              </w:rPr>
            </w:pPr>
          </w:p>
        </w:tc>
      </w:tr>
      <w:tr w:rsidR="00C72321" w:rsidRPr="00C72321" w14:paraId="7A1B908F" w14:textId="77777777" w:rsidTr="00C72321">
        <w:tblPrEx>
          <w:tblCellMar>
            <w:top w:w="0" w:type="dxa"/>
            <w:bottom w:w="0" w:type="dxa"/>
          </w:tblCellMar>
        </w:tblPrEx>
        <w:trPr>
          <w:cantSplit/>
        </w:trPr>
        <w:tc>
          <w:tcPr>
            <w:tcW w:w="2000" w:type="dxa"/>
            <w:shd w:val="clear" w:color="auto" w:fill="auto"/>
          </w:tcPr>
          <w:p w14:paraId="323A8EA5" w14:textId="3ECB639F" w:rsidR="00C72321" w:rsidRPr="00C72321" w:rsidRDefault="00C72321" w:rsidP="00C72321">
            <w:pPr>
              <w:spacing w:after="0" w:line="240" w:lineRule="auto"/>
              <w:rPr>
                <w:sz w:val="20"/>
              </w:rPr>
            </w:pPr>
            <w:r>
              <w:rPr>
                <w:sz w:val="20"/>
              </w:rPr>
              <w:lastRenderedPageBreak/>
              <w:t>Designation of Classification of Coverage</w:t>
            </w:r>
          </w:p>
        </w:tc>
        <w:tc>
          <w:tcPr>
            <w:tcW w:w="2000" w:type="dxa"/>
            <w:shd w:val="clear" w:color="auto" w:fill="auto"/>
          </w:tcPr>
          <w:p w14:paraId="3DEC2299" w14:textId="23142916" w:rsidR="00C72321" w:rsidRDefault="00C72321" w:rsidP="00C72321">
            <w:pPr>
              <w:spacing w:after="0" w:line="240" w:lineRule="auto"/>
              <w:rPr>
                <w:sz w:val="20"/>
              </w:rPr>
            </w:pPr>
            <w:hyperlink r:id="rId14" w:history="1">
              <w:r w:rsidRPr="00C72321">
                <w:rPr>
                  <w:rStyle w:val="Hyperlink"/>
                  <w:sz w:val="20"/>
                </w:rPr>
                <w:t>Title 24-A § 2694</w:t>
              </w:r>
            </w:hyperlink>
          </w:p>
          <w:p w14:paraId="0B7F2B48" w14:textId="3B7451CD" w:rsidR="00C72321" w:rsidRPr="00C72321" w:rsidRDefault="00C72321" w:rsidP="00C72321">
            <w:pPr>
              <w:spacing w:after="0" w:line="240" w:lineRule="auto"/>
              <w:rPr>
                <w:sz w:val="20"/>
              </w:rPr>
            </w:pPr>
            <w:hyperlink r:id="rId15" w:history="1">
              <w:r w:rsidRPr="00C72321">
                <w:rPr>
                  <w:rStyle w:val="Hyperlink"/>
                  <w:sz w:val="20"/>
                </w:rPr>
                <w:t>Rule 755</w:t>
              </w:r>
            </w:hyperlink>
            <w:r>
              <w:rPr>
                <w:sz w:val="20"/>
              </w:rPr>
              <w:t xml:space="preserve"> § 6</w:t>
            </w:r>
          </w:p>
        </w:tc>
        <w:tc>
          <w:tcPr>
            <w:tcW w:w="9000" w:type="dxa"/>
            <w:shd w:val="clear" w:color="auto" w:fill="auto"/>
          </w:tcPr>
          <w:p w14:paraId="28AC2CBE" w14:textId="176386B4" w:rsidR="00C72321" w:rsidRPr="00C72321" w:rsidRDefault="00C72321" w:rsidP="00C72321">
            <w:pPr>
              <w:spacing w:after="0" w:line="240" w:lineRule="auto"/>
              <w:rPr>
                <w:sz w:val="20"/>
              </w:rPr>
            </w:pPr>
            <w:r>
              <w:rPr>
                <w:sz w:val="20"/>
              </w:rPr>
              <w:t xml:space="preserve">The heading of the cover letter of any </w:t>
            </w:r>
            <w:proofErr w:type="gramStart"/>
            <w:r>
              <w:rPr>
                <w:sz w:val="20"/>
              </w:rPr>
              <w:t>form  filing</w:t>
            </w:r>
            <w:proofErr w:type="gramEnd"/>
            <w:r>
              <w:rPr>
                <w:sz w:val="20"/>
              </w:rPr>
              <w:t xml:space="preserve"> subject to this rule shall state the category of coverage set forth in 24-A M.R.S.A. §2694 that the form is intended to be in.</w:t>
            </w:r>
          </w:p>
        </w:tc>
        <w:tc>
          <w:tcPr>
            <w:tcW w:w="2000" w:type="dxa"/>
            <w:shd w:val="clear" w:color="auto" w:fill="auto"/>
          </w:tcPr>
          <w:p w14:paraId="703D48B7" w14:textId="77777777" w:rsidR="00C72321" w:rsidRPr="00C72321" w:rsidRDefault="00C72321" w:rsidP="00C72321">
            <w:pPr>
              <w:spacing w:after="0" w:line="240" w:lineRule="auto"/>
              <w:rPr>
                <w:sz w:val="20"/>
              </w:rPr>
            </w:pPr>
          </w:p>
        </w:tc>
      </w:tr>
      <w:tr w:rsidR="00C72321" w:rsidRPr="00C72321" w14:paraId="1D5B0F5E" w14:textId="77777777" w:rsidTr="00C72321">
        <w:tblPrEx>
          <w:tblCellMar>
            <w:top w:w="0" w:type="dxa"/>
            <w:bottom w:w="0" w:type="dxa"/>
          </w:tblCellMar>
        </w:tblPrEx>
        <w:trPr>
          <w:cantSplit/>
        </w:trPr>
        <w:tc>
          <w:tcPr>
            <w:tcW w:w="2000" w:type="dxa"/>
            <w:shd w:val="clear" w:color="auto" w:fill="auto"/>
          </w:tcPr>
          <w:p w14:paraId="0E85B65D" w14:textId="6033661B" w:rsidR="00C72321" w:rsidRPr="00C72321" w:rsidRDefault="00C72321" w:rsidP="00C72321">
            <w:pPr>
              <w:spacing w:after="0" w:line="240" w:lineRule="auto"/>
              <w:rPr>
                <w:sz w:val="20"/>
              </w:rPr>
            </w:pPr>
            <w:r>
              <w:rPr>
                <w:sz w:val="20"/>
              </w:rPr>
              <w:t>Grace Period</w:t>
            </w:r>
          </w:p>
        </w:tc>
        <w:tc>
          <w:tcPr>
            <w:tcW w:w="2000" w:type="dxa"/>
            <w:shd w:val="clear" w:color="auto" w:fill="auto"/>
          </w:tcPr>
          <w:p w14:paraId="0720D6C8" w14:textId="28C05E5A" w:rsidR="00C72321" w:rsidRDefault="00C72321" w:rsidP="00C72321">
            <w:pPr>
              <w:spacing w:after="0" w:line="240" w:lineRule="auto"/>
              <w:rPr>
                <w:sz w:val="20"/>
              </w:rPr>
            </w:pPr>
            <w:hyperlink r:id="rId16" w:history="1">
              <w:r w:rsidRPr="00C72321">
                <w:rPr>
                  <w:rStyle w:val="Hyperlink"/>
                  <w:sz w:val="20"/>
                </w:rPr>
                <w:t>Title 24-A § 4209</w:t>
              </w:r>
            </w:hyperlink>
            <w:r>
              <w:rPr>
                <w:sz w:val="20"/>
              </w:rPr>
              <w:t>(6)</w:t>
            </w:r>
          </w:p>
          <w:p w14:paraId="50CF014A" w14:textId="1340D2AC" w:rsidR="00C72321" w:rsidRDefault="00C72321" w:rsidP="00C72321">
            <w:pPr>
              <w:spacing w:after="0" w:line="240" w:lineRule="auto"/>
              <w:rPr>
                <w:sz w:val="20"/>
              </w:rPr>
            </w:pPr>
            <w:hyperlink r:id="rId17" w:history="1">
              <w:r w:rsidRPr="00C72321">
                <w:rPr>
                  <w:rStyle w:val="Hyperlink"/>
                  <w:sz w:val="20"/>
                </w:rPr>
                <w:t>Title 24-A § 2809</w:t>
              </w:r>
            </w:hyperlink>
            <w:r>
              <w:rPr>
                <w:sz w:val="20"/>
              </w:rPr>
              <w:t>-A</w:t>
            </w:r>
          </w:p>
          <w:p w14:paraId="0629DF19" w14:textId="6681CF89" w:rsidR="00C72321" w:rsidRDefault="00C72321" w:rsidP="00C72321">
            <w:pPr>
              <w:spacing w:after="0" w:line="240" w:lineRule="auto"/>
              <w:rPr>
                <w:sz w:val="20"/>
              </w:rPr>
            </w:pPr>
            <w:hyperlink r:id="rId18" w:history="1">
              <w:r w:rsidRPr="00C72321">
                <w:rPr>
                  <w:rStyle w:val="Hyperlink"/>
                  <w:sz w:val="20"/>
                </w:rPr>
                <w:t>Title 24-A § 2707</w:t>
              </w:r>
            </w:hyperlink>
            <w:r>
              <w:rPr>
                <w:sz w:val="20"/>
              </w:rPr>
              <w:t xml:space="preserve"> </w:t>
            </w:r>
          </w:p>
          <w:p w14:paraId="3AB1BD5E" w14:textId="3B91C847" w:rsidR="00C72321" w:rsidRPr="00C72321" w:rsidRDefault="00C72321" w:rsidP="00C72321">
            <w:pPr>
              <w:spacing w:after="0" w:line="240" w:lineRule="auto"/>
              <w:rPr>
                <w:sz w:val="20"/>
              </w:rPr>
            </w:pPr>
            <w:hyperlink r:id="rId19" w:history="1">
              <w:r w:rsidRPr="00C72321">
                <w:rPr>
                  <w:rStyle w:val="Hyperlink"/>
                  <w:sz w:val="20"/>
                </w:rPr>
                <w:t>Bulletin 288</w:t>
              </w:r>
            </w:hyperlink>
          </w:p>
        </w:tc>
        <w:tc>
          <w:tcPr>
            <w:tcW w:w="9000" w:type="dxa"/>
            <w:shd w:val="clear" w:color="auto" w:fill="auto"/>
          </w:tcPr>
          <w:p w14:paraId="4FBA7FBC" w14:textId="029EDFB8" w:rsidR="00C72321" w:rsidRPr="00C72321" w:rsidRDefault="00C72321" w:rsidP="00C72321">
            <w:pPr>
              <w:spacing w:after="0" w:line="240" w:lineRule="auto"/>
              <w:rPr>
                <w:sz w:val="20"/>
              </w:rPr>
            </w:pPr>
            <w:r>
              <w:rPr>
                <w:sz w:val="20"/>
              </w:rPr>
              <w:t>30 or 31 days.</w:t>
            </w:r>
          </w:p>
        </w:tc>
        <w:tc>
          <w:tcPr>
            <w:tcW w:w="2000" w:type="dxa"/>
            <w:shd w:val="clear" w:color="auto" w:fill="auto"/>
          </w:tcPr>
          <w:p w14:paraId="40C33F2A" w14:textId="77777777" w:rsidR="00C72321" w:rsidRPr="00C72321" w:rsidRDefault="00C72321" w:rsidP="00C72321">
            <w:pPr>
              <w:spacing w:after="0" w:line="240" w:lineRule="auto"/>
              <w:rPr>
                <w:sz w:val="20"/>
              </w:rPr>
            </w:pPr>
          </w:p>
        </w:tc>
      </w:tr>
      <w:tr w:rsidR="00C72321" w:rsidRPr="00C72321" w14:paraId="2D522A13" w14:textId="77777777" w:rsidTr="00C72321">
        <w:tblPrEx>
          <w:tblCellMar>
            <w:top w:w="0" w:type="dxa"/>
            <w:bottom w:w="0" w:type="dxa"/>
          </w:tblCellMar>
        </w:tblPrEx>
        <w:trPr>
          <w:cantSplit/>
        </w:trPr>
        <w:tc>
          <w:tcPr>
            <w:tcW w:w="2000" w:type="dxa"/>
            <w:shd w:val="clear" w:color="auto" w:fill="auto"/>
          </w:tcPr>
          <w:p w14:paraId="49694C36" w14:textId="23F95263" w:rsidR="00C72321" w:rsidRPr="00C72321" w:rsidRDefault="00C72321" w:rsidP="00C72321">
            <w:pPr>
              <w:spacing w:after="0" w:line="240" w:lineRule="auto"/>
              <w:rPr>
                <w:sz w:val="20"/>
              </w:rPr>
            </w:pPr>
            <w:r>
              <w:rPr>
                <w:sz w:val="20"/>
              </w:rPr>
              <w:t>Notice of Policy Changes and Modifications</w:t>
            </w:r>
          </w:p>
        </w:tc>
        <w:tc>
          <w:tcPr>
            <w:tcW w:w="2000" w:type="dxa"/>
            <w:shd w:val="clear" w:color="auto" w:fill="auto"/>
          </w:tcPr>
          <w:p w14:paraId="679D7CE5" w14:textId="2B72F4C4" w:rsidR="00C72321" w:rsidRPr="00C72321" w:rsidRDefault="00C72321" w:rsidP="00C72321">
            <w:pPr>
              <w:spacing w:after="0" w:line="240" w:lineRule="auto"/>
              <w:rPr>
                <w:sz w:val="20"/>
              </w:rPr>
            </w:pPr>
            <w:hyperlink r:id="rId20" w:history="1">
              <w:r w:rsidRPr="00C72321">
                <w:rPr>
                  <w:rStyle w:val="Hyperlink"/>
                  <w:sz w:val="20"/>
                </w:rPr>
                <w:t>Title 24-A § 2850</w:t>
              </w:r>
            </w:hyperlink>
            <w:r>
              <w:rPr>
                <w:sz w:val="20"/>
              </w:rPr>
              <w:t>-B (3)(1)</w:t>
            </w:r>
          </w:p>
        </w:tc>
        <w:tc>
          <w:tcPr>
            <w:tcW w:w="9000" w:type="dxa"/>
            <w:shd w:val="clear" w:color="auto" w:fill="auto"/>
          </w:tcPr>
          <w:p w14:paraId="1FCD4FC2" w14:textId="246E1B09" w:rsidR="00C72321" w:rsidRPr="00C72321" w:rsidRDefault="00C72321" w:rsidP="00C72321">
            <w:pPr>
              <w:spacing w:after="0" w:line="240" w:lineRule="auto"/>
              <w:rPr>
                <w:sz w:val="20"/>
              </w:rPr>
            </w:pPr>
            <w:r>
              <w:rPr>
                <w:sz w:val="20"/>
              </w:rPr>
              <w:t xml:space="preserve">In renewing an individual or small group policy, a carrier may make minor modifications to the coverage, </w:t>
            </w:r>
            <w:proofErr w:type="gramStart"/>
            <w:r>
              <w:rPr>
                <w:sz w:val="20"/>
              </w:rPr>
              <w:t>terms</w:t>
            </w:r>
            <w:proofErr w:type="gramEnd"/>
            <w:r>
              <w:rPr>
                <w:sz w:val="20"/>
              </w:rPr>
              <w:t xml:space="preserve"> and conditions of the policy consistent with other applicable provisions of state and federal laws as long as the modifications meet the conditions specified in this paragraph and are applied uniformly to all policyholders of the same product.</w:t>
            </w:r>
          </w:p>
        </w:tc>
        <w:tc>
          <w:tcPr>
            <w:tcW w:w="2000" w:type="dxa"/>
            <w:shd w:val="clear" w:color="auto" w:fill="auto"/>
          </w:tcPr>
          <w:p w14:paraId="227994E7" w14:textId="77777777" w:rsidR="00C72321" w:rsidRPr="00C72321" w:rsidRDefault="00C72321" w:rsidP="00C72321">
            <w:pPr>
              <w:spacing w:after="0" w:line="240" w:lineRule="auto"/>
              <w:rPr>
                <w:sz w:val="20"/>
              </w:rPr>
            </w:pPr>
          </w:p>
        </w:tc>
      </w:tr>
      <w:tr w:rsidR="00C72321" w:rsidRPr="00C72321" w14:paraId="57F611AF" w14:textId="77777777" w:rsidTr="00C72321">
        <w:tblPrEx>
          <w:tblCellMar>
            <w:top w:w="0" w:type="dxa"/>
            <w:bottom w:w="0" w:type="dxa"/>
          </w:tblCellMar>
        </w:tblPrEx>
        <w:trPr>
          <w:cantSplit/>
        </w:trPr>
        <w:tc>
          <w:tcPr>
            <w:tcW w:w="2000" w:type="dxa"/>
            <w:shd w:val="clear" w:color="auto" w:fill="auto"/>
          </w:tcPr>
          <w:p w14:paraId="4424F1AB" w14:textId="2F0FF0BA" w:rsidR="00C72321" w:rsidRPr="00C72321" w:rsidRDefault="00C72321" w:rsidP="00C72321">
            <w:pPr>
              <w:spacing w:after="0" w:line="240" w:lineRule="auto"/>
              <w:rPr>
                <w:sz w:val="20"/>
              </w:rPr>
            </w:pPr>
            <w:r>
              <w:rPr>
                <w:sz w:val="20"/>
              </w:rPr>
              <w:t>Notice of Rate Increase - Individual</w:t>
            </w:r>
          </w:p>
        </w:tc>
        <w:tc>
          <w:tcPr>
            <w:tcW w:w="2000" w:type="dxa"/>
            <w:shd w:val="clear" w:color="auto" w:fill="auto"/>
          </w:tcPr>
          <w:p w14:paraId="4A08EA39" w14:textId="36F22F85" w:rsidR="00C72321" w:rsidRDefault="00C72321" w:rsidP="00C72321">
            <w:pPr>
              <w:spacing w:after="0" w:line="240" w:lineRule="auto"/>
              <w:rPr>
                <w:sz w:val="20"/>
              </w:rPr>
            </w:pPr>
            <w:hyperlink r:id="rId21" w:history="1">
              <w:r w:rsidRPr="00C72321">
                <w:rPr>
                  <w:rStyle w:val="Hyperlink"/>
                  <w:sz w:val="20"/>
                </w:rPr>
                <w:t>Title 24-A § 2735-A</w:t>
              </w:r>
            </w:hyperlink>
            <w:r>
              <w:rPr>
                <w:sz w:val="20"/>
              </w:rPr>
              <w:t xml:space="preserve"> </w:t>
            </w:r>
          </w:p>
          <w:p w14:paraId="585813FF" w14:textId="55918F79" w:rsidR="00C72321" w:rsidRPr="00C72321" w:rsidRDefault="00C72321" w:rsidP="00C72321">
            <w:pPr>
              <w:spacing w:after="0" w:line="240" w:lineRule="auto"/>
              <w:rPr>
                <w:sz w:val="20"/>
              </w:rPr>
            </w:pPr>
            <w:hyperlink r:id="rId22" w:history="1">
              <w:r w:rsidRPr="00C72321">
                <w:rPr>
                  <w:rStyle w:val="Hyperlink"/>
                  <w:sz w:val="20"/>
                </w:rPr>
                <w:t>Title 24-A § 4222-B</w:t>
              </w:r>
            </w:hyperlink>
            <w:r>
              <w:rPr>
                <w:sz w:val="20"/>
              </w:rPr>
              <w:t xml:space="preserve"> (20)</w:t>
            </w:r>
          </w:p>
        </w:tc>
        <w:tc>
          <w:tcPr>
            <w:tcW w:w="9000" w:type="dxa"/>
            <w:shd w:val="clear" w:color="auto" w:fill="auto"/>
          </w:tcPr>
          <w:p w14:paraId="46040689" w14:textId="6CFC1DF3" w:rsidR="00C72321" w:rsidRPr="00C72321" w:rsidRDefault="00C72321" w:rsidP="00C72321">
            <w:pPr>
              <w:spacing w:after="0" w:line="240" w:lineRule="auto"/>
              <w:rPr>
                <w:sz w:val="20"/>
              </w:rPr>
            </w:pPr>
            <w:r>
              <w:rPr>
                <w:sz w:val="20"/>
              </w:rPr>
              <w:t>Requires that insurers provide a minimum of 60 days written notice to affected policyholders prior to a rate filing for individual health plans.</w:t>
            </w:r>
          </w:p>
        </w:tc>
        <w:tc>
          <w:tcPr>
            <w:tcW w:w="2000" w:type="dxa"/>
            <w:shd w:val="clear" w:color="auto" w:fill="auto"/>
          </w:tcPr>
          <w:p w14:paraId="237B9B00" w14:textId="77777777" w:rsidR="00C72321" w:rsidRPr="00C72321" w:rsidRDefault="00C72321" w:rsidP="00C72321">
            <w:pPr>
              <w:spacing w:after="0" w:line="240" w:lineRule="auto"/>
              <w:rPr>
                <w:sz w:val="20"/>
              </w:rPr>
            </w:pPr>
          </w:p>
        </w:tc>
      </w:tr>
      <w:tr w:rsidR="00C72321" w:rsidRPr="00C72321" w14:paraId="07F0E5F6" w14:textId="77777777" w:rsidTr="00C72321">
        <w:tblPrEx>
          <w:tblCellMar>
            <w:top w:w="0" w:type="dxa"/>
            <w:bottom w:w="0" w:type="dxa"/>
          </w:tblCellMar>
        </w:tblPrEx>
        <w:trPr>
          <w:cantSplit/>
        </w:trPr>
        <w:tc>
          <w:tcPr>
            <w:tcW w:w="2000" w:type="dxa"/>
            <w:shd w:val="clear" w:color="auto" w:fill="auto"/>
          </w:tcPr>
          <w:p w14:paraId="161159BE" w14:textId="1F15D6A2" w:rsidR="00C72321" w:rsidRPr="00C72321" w:rsidRDefault="00C72321" w:rsidP="00C72321">
            <w:pPr>
              <w:spacing w:after="0" w:line="240" w:lineRule="auto"/>
              <w:rPr>
                <w:sz w:val="20"/>
              </w:rPr>
            </w:pPr>
            <w:r>
              <w:rPr>
                <w:sz w:val="20"/>
              </w:rPr>
              <w:t>Rate Filing</w:t>
            </w:r>
          </w:p>
        </w:tc>
        <w:tc>
          <w:tcPr>
            <w:tcW w:w="2000" w:type="dxa"/>
            <w:shd w:val="clear" w:color="auto" w:fill="auto"/>
          </w:tcPr>
          <w:p w14:paraId="32AC8878" w14:textId="2A05E965" w:rsidR="00C72321" w:rsidRPr="00C72321" w:rsidRDefault="00C72321" w:rsidP="00C72321">
            <w:pPr>
              <w:spacing w:after="0" w:line="240" w:lineRule="auto"/>
              <w:rPr>
                <w:sz w:val="20"/>
              </w:rPr>
            </w:pPr>
            <w:hyperlink r:id="rId23" w:history="1">
              <w:r w:rsidRPr="00C72321">
                <w:rPr>
                  <w:rStyle w:val="Hyperlink"/>
                  <w:sz w:val="20"/>
                </w:rPr>
                <w:t>Title 24-A § 2736</w:t>
              </w:r>
            </w:hyperlink>
          </w:p>
        </w:tc>
        <w:tc>
          <w:tcPr>
            <w:tcW w:w="9000" w:type="dxa"/>
            <w:shd w:val="clear" w:color="auto" w:fill="auto"/>
          </w:tcPr>
          <w:p w14:paraId="1FFC3126" w14:textId="044A499C" w:rsidR="00C72321" w:rsidRPr="00C72321" w:rsidRDefault="00C72321" w:rsidP="00C72321">
            <w:pPr>
              <w:spacing w:after="0" w:line="240" w:lineRule="auto"/>
              <w:rPr>
                <w:sz w:val="20"/>
              </w:rPr>
            </w:pPr>
            <w:r>
              <w:rPr>
                <w:sz w:val="20"/>
              </w:rPr>
              <w:t xml:space="preserve">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w:t>
            </w:r>
            <w:proofErr w:type="gramStart"/>
            <w:r>
              <w:rPr>
                <w:sz w:val="20"/>
              </w:rPr>
              <w:t>a period of time</w:t>
            </w:r>
            <w:proofErr w:type="gramEnd"/>
            <w:r>
              <w:rPr>
                <w:sz w:val="20"/>
              </w:rPr>
              <w:t xml:space="preserve"> not to exceed 30 days. A filing required under this section must be made electronically in a format required by the superintendent unless exempted by rule adopted by the superintendent. PLEASE NOTE:  Rates must be filed simultaneously with the forms.  Forms submitted in advance of </w:t>
            </w:r>
            <w:proofErr w:type="gramStart"/>
            <w:r>
              <w:rPr>
                <w:sz w:val="20"/>
              </w:rPr>
              <w:t>rates,</w:t>
            </w:r>
            <w:proofErr w:type="gramEnd"/>
            <w:r>
              <w:rPr>
                <w:sz w:val="20"/>
              </w:rPr>
              <w:t xml:space="preserve"> will not be approved until rates have been filed, </w:t>
            </w:r>
            <w:proofErr w:type="gramStart"/>
            <w:r>
              <w:rPr>
                <w:sz w:val="20"/>
              </w:rPr>
              <w:t>reviewed</w:t>
            </w:r>
            <w:proofErr w:type="gramEnd"/>
            <w:r>
              <w:rPr>
                <w:sz w:val="20"/>
              </w:rPr>
              <w:t xml:space="preserve"> and approved.  If forms are being revised and there is no effect on current rates, please indicate so in the filing cover letter.</w:t>
            </w:r>
          </w:p>
        </w:tc>
        <w:tc>
          <w:tcPr>
            <w:tcW w:w="2000" w:type="dxa"/>
            <w:shd w:val="clear" w:color="auto" w:fill="auto"/>
          </w:tcPr>
          <w:p w14:paraId="28F63235" w14:textId="77777777" w:rsidR="00C72321" w:rsidRPr="00C72321" w:rsidRDefault="00C72321" w:rsidP="00C72321">
            <w:pPr>
              <w:spacing w:after="0" w:line="240" w:lineRule="auto"/>
              <w:rPr>
                <w:sz w:val="20"/>
              </w:rPr>
            </w:pPr>
          </w:p>
        </w:tc>
      </w:tr>
      <w:tr w:rsidR="00C72321" w:rsidRPr="00C72321" w14:paraId="390BB120" w14:textId="77777777" w:rsidTr="00C72321">
        <w:tblPrEx>
          <w:tblCellMar>
            <w:top w:w="0" w:type="dxa"/>
            <w:bottom w:w="0" w:type="dxa"/>
          </w:tblCellMar>
        </w:tblPrEx>
        <w:trPr>
          <w:cantSplit/>
        </w:trPr>
        <w:tc>
          <w:tcPr>
            <w:tcW w:w="2000" w:type="dxa"/>
            <w:shd w:val="clear" w:color="auto" w:fill="auto"/>
          </w:tcPr>
          <w:p w14:paraId="3FB2C584" w14:textId="30F68C69" w:rsidR="00C72321" w:rsidRPr="00C72321" w:rsidRDefault="00C72321" w:rsidP="00C72321">
            <w:pPr>
              <w:spacing w:after="0" w:line="240" w:lineRule="auto"/>
              <w:rPr>
                <w:sz w:val="20"/>
              </w:rPr>
            </w:pPr>
            <w:r>
              <w:rPr>
                <w:sz w:val="20"/>
              </w:rPr>
              <w:lastRenderedPageBreak/>
              <w:t>Rates (Small Group)</w:t>
            </w:r>
          </w:p>
        </w:tc>
        <w:tc>
          <w:tcPr>
            <w:tcW w:w="2000" w:type="dxa"/>
            <w:shd w:val="clear" w:color="auto" w:fill="auto"/>
          </w:tcPr>
          <w:p w14:paraId="485026CE" w14:textId="0E9B095C" w:rsidR="00C72321" w:rsidRPr="00C72321" w:rsidRDefault="00C72321" w:rsidP="00C72321">
            <w:pPr>
              <w:spacing w:after="0" w:line="240" w:lineRule="auto"/>
              <w:rPr>
                <w:sz w:val="20"/>
              </w:rPr>
            </w:pPr>
            <w:hyperlink r:id="rId24" w:history="1">
              <w:r w:rsidRPr="00C72321">
                <w:rPr>
                  <w:rStyle w:val="Hyperlink"/>
                  <w:sz w:val="20"/>
                </w:rPr>
                <w:t>Title 24-A § 2808</w:t>
              </w:r>
            </w:hyperlink>
            <w:r>
              <w:rPr>
                <w:sz w:val="20"/>
              </w:rPr>
              <w:t>-B (2)</w:t>
            </w:r>
          </w:p>
        </w:tc>
        <w:tc>
          <w:tcPr>
            <w:tcW w:w="9000" w:type="dxa"/>
            <w:shd w:val="clear" w:color="auto" w:fill="auto"/>
          </w:tcPr>
          <w:p w14:paraId="4448A6F2" w14:textId="77777777" w:rsidR="00C72321" w:rsidRDefault="00C72321" w:rsidP="00C72321">
            <w:pPr>
              <w:spacing w:after="0" w:line="240" w:lineRule="auto"/>
              <w:rPr>
                <w:sz w:val="20"/>
              </w:rPr>
            </w:pPr>
            <w:r>
              <w:rPr>
                <w:sz w:val="20"/>
              </w:rPr>
              <w:t xml:space="preserve">A carrier offering small group health plans shall file with the superintendent the community rates for each plan and every rate, rating formula and classification of risks and every modification of any formula or classification that it proposes to use. </w:t>
            </w:r>
          </w:p>
          <w:p w14:paraId="4EA579F7" w14:textId="77777777" w:rsidR="00C72321" w:rsidRDefault="00C72321" w:rsidP="00C72321">
            <w:pPr>
              <w:spacing w:after="0" w:line="240" w:lineRule="auto"/>
              <w:rPr>
                <w:sz w:val="20"/>
              </w:rPr>
            </w:pPr>
            <w:r>
              <w:rPr>
                <w:sz w:val="20"/>
              </w:rPr>
              <w:t xml:space="preserve">A. Every filing must state the effective date of the filing. Every filing must be made not less than 60 days in advance of the stated effective date, unless the 60-day requirement is waived by the superintendent. The effective date may be suspended by the superintendent for </w:t>
            </w:r>
            <w:proofErr w:type="gramStart"/>
            <w:r>
              <w:rPr>
                <w:sz w:val="20"/>
              </w:rPr>
              <w:t>a period of time</w:t>
            </w:r>
            <w:proofErr w:type="gramEnd"/>
            <w:r>
              <w:rPr>
                <w:sz w:val="20"/>
              </w:rPr>
              <w:t xml:space="preserve"> not to exceed 30 days. </w:t>
            </w:r>
          </w:p>
          <w:p w14:paraId="07DD1DE9" w14:textId="77777777" w:rsidR="00C72321" w:rsidRDefault="00C72321" w:rsidP="00C72321">
            <w:pPr>
              <w:spacing w:after="0" w:line="240" w:lineRule="auto"/>
              <w:rPr>
                <w:sz w:val="20"/>
              </w:rPr>
            </w:pPr>
            <w:r>
              <w:rPr>
                <w:sz w:val="20"/>
              </w:rPr>
              <w:t>B. 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Title 1, section 402, subsection 3, paragraph B and become part of the official record of any hearing held pursuant to subsection 2-B, paragraph B or F.</w:t>
            </w:r>
          </w:p>
          <w:p w14:paraId="45ED7C1C" w14:textId="50453079" w:rsidR="00C72321" w:rsidRPr="00C72321" w:rsidRDefault="00C72321" w:rsidP="00C72321">
            <w:pPr>
              <w:spacing w:after="0" w:line="240" w:lineRule="auto"/>
              <w:rPr>
                <w:sz w:val="20"/>
              </w:rPr>
            </w:pPr>
            <w:r>
              <w:rPr>
                <w:sz w:val="20"/>
              </w:rPr>
              <w:t xml:space="preserve">C. Rates for small group health plans must be filed in accordance with this section and subsections 2-B and 2-C for premium rates effective on or after July 1, 2004, except that the filing of rates for small group health plans are not required to account for any payment or any recovery of that payment pursuant to subsection 2-B, paragraph D and former section 6913 for rates effective before July 1, 2005.PLEASE NOTE:  Rates must be filed simultaneously with the forms.  Forms submitted in advance of </w:t>
            </w:r>
            <w:proofErr w:type="gramStart"/>
            <w:r>
              <w:rPr>
                <w:sz w:val="20"/>
              </w:rPr>
              <w:t>rates,</w:t>
            </w:r>
            <w:proofErr w:type="gramEnd"/>
            <w:r>
              <w:rPr>
                <w:sz w:val="20"/>
              </w:rPr>
              <w:t xml:space="preserve"> will not be approved until rates have been filed, </w:t>
            </w:r>
            <w:proofErr w:type="gramStart"/>
            <w:r>
              <w:rPr>
                <w:sz w:val="20"/>
              </w:rPr>
              <w:t>reviewed</w:t>
            </w:r>
            <w:proofErr w:type="gramEnd"/>
            <w:r>
              <w:rPr>
                <w:sz w:val="20"/>
              </w:rPr>
              <w:t xml:space="preserve"> and approved.  If forms are being revised and there is no effect on current rates, please indicate so in the filing cover letter.</w:t>
            </w:r>
          </w:p>
        </w:tc>
        <w:tc>
          <w:tcPr>
            <w:tcW w:w="2000" w:type="dxa"/>
            <w:shd w:val="clear" w:color="auto" w:fill="auto"/>
          </w:tcPr>
          <w:p w14:paraId="42BF1EC1" w14:textId="77777777" w:rsidR="00C72321" w:rsidRPr="00C72321" w:rsidRDefault="00C72321" w:rsidP="00C72321">
            <w:pPr>
              <w:spacing w:after="0" w:line="240" w:lineRule="auto"/>
              <w:rPr>
                <w:sz w:val="20"/>
              </w:rPr>
            </w:pPr>
          </w:p>
        </w:tc>
      </w:tr>
      <w:tr w:rsidR="00C72321" w:rsidRPr="00C72321" w14:paraId="16D95E71" w14:textId="77777777" w:rsidTr="00C72321">
        <w:tblPrEx>
          <w:tblCellMar>
            <w:top w:w="0" w:type="dxa"/>
            <w:bottom w:w="0" w:type="dxa"/>
          </w:tblCellMar>
        </w:tblPrEx>
        <w:trPr>
          <w:cantSplit/>
        </w:trPr>
        <w:tc>
          <w:tcPr>
            <w:tcW w:w="2000" w:type="dxa"/>
            <w:shd w:val="clear" w:color="auto" w:fill="auto"/>
          </w:tcPr>
          <w:p w14:paraId="1096D864" w14:textId="09616162" w:rsidR="00C72321" w:rsidRPr="00C72321" w:rsidRDefault="00C72321" w:rsidP="00C72321">
            <w:pPr>
              <w:spacing w:after="0" w:line="240" w:lineRule="auto"/>
              <w:rPr>
                <w:sz w:val="20"/>
              </w:rPr>
            </w:pPr>
            <w:r>
              <w:rPr>
                <w:sz w:val="20"/>
              </w:rPr>
              <w:t>Renewal of policy</w:t>
            </w:r>
          </w:p>
        </w:tc>
        <w:tc>
          <w:tcPr>
            <w:tcW w:w="2000" w:type="dxa"/>
            <w:shd w:val="clear" w:color="auto" w:fill="auto"/>
          </w:tcPr>
          <w:p w14:paraId="28E04D3F" w14:textId="15972C38" w:rsidR="00C72321" w:rsidRDefault="00C72321" w:rsidP="00C72321">
            <w:pPr>
              <w:spacing w:after="0" w:line="240" w:lineRule="auto"/>
              <w:rPr>
                <w:sz w:val="20"/>
              </w:rPr>
            </w:pPr>
            <w:hyperlink r:id="rId25" w:history="1">
              <w:r w:rsidRPr="00C72321">
                <w:rPr>
                  <w:rStyle w:val="Hyperlink"/>
                  <w:sz w:val="20"/>
                </w:rPr>
                <w:t>Title 24-A § 2820</w:t>
              </w:r>
            </w:hyperlink>
          </w:p>
          <w:p w14:paraId="616D33B2" w14:textId="0D70D291" w:rsidR="00C72321" w:rsidRDefault="00C72321" w:rsidP="00C72321">
            <w:pPr>
              <w:spacing w:after="0" w:line="240" w:lineRule="auto"/>
              <w:rPr>
                <w:sz w:val="20"/>
              </w:rPr>
            </w:pPr>
            <w:hyperlink r:id="rId26" w:history="1">
              <w:r w:rsidRPr="00C72321">
                <w:rPr>
                  <w:rStyle w:val="Hyperlink"/>
                  <w:sz w:val="20"/>
                </w:rPr>
                <w:t>Title 24-A § 4207</w:t>
              </w:r>
            </w:hyperlink>
          </w:p>
          <w:p w14:paraId="05F83DE9" w14:textId="6A26621E" w:rsidR="00C72321" w:rsidRPr="00C72321" w:rsidRDefault="00C72321" w:rsidP="00C72321">
            <w:pPr>
              <w:spacing w:after="0" w:line="240" w:lineRule="auto"/>
              <w:rPr>
                <w:sz w:val="20"/>
              </w:rPr>
            </w:pPr>
            <w:hyperlink r:id="rId27" w:history="1">
              <w:r w:rsidRPr="00C72321">
                <w:rPr>
                  <w:rStyle w:val="Hyperlink"/>
                  <w:sz w:val="20"/>
                </w:rPr>
                <w:t>Rule 191</w:t>
              </w:r>
            </w:hyperlink>
            <w:r>
              <w:rPr>
                <w:sz w:val="20"/>
              </w:rPr>
              <w:t>(9)(G)</w:t>
            </w:r>
          </w:p>
        </w:tc>
        <w:tc>
          <w:tcPr>
            <w:tcW w:w="9000" w:type="dxa"/>
            <w:shd w:val="clear" w:color="auto" w:fill="auto"/>
          </w:tcPr>
          <w:p w14:paraId="1F6BD55C" w14:textId="013C9A1C" w:rsidR="00C72321" w:rsidRPr="00C72321" w:rsidRDefault="00C72321" w:rsidP="00C72321">
            <w:pPr>
              <w:spacing w:after="0" w:line="240" w:lineRule="auto"/>
              <w:rPr>
                <w:sz w:val="20"/>
              </w:rPr>
            </w:pPr>
            <w:r>
              <w:rPr>
                <w:sz w:val="20"/>
              </w:rPr>
              <w:t>There shall be a provision stating the conditions for renewal.</w:t>
            </w:r>
          </w:p>
        </w:tc>
        <w:tc>
          <w:tcPr>
            <w:tcW w:w="2000" w:type="dxa"/>
            <w:shd w:val="clear" w:color="auto" w:fill="auto"/>
          </w:tcPr>
          <w:p w14:paraId="06E4E95E" w14:textId="77777777" w:rsidR="00C72321" w:rsidRPr="00C72321" w:rsidRDefault="00C72321" w:rsidP="00C72321">
            <w:pPr>
              <w:spacing w:after="0" w:line="240" w:lineRule="auto"/>
              <w:rPr>
                <w:sz w:val="20"/>
              </w:rPr>
            </w:pPr>
          </w:p>
        </w:tc>
      </w:tr>
      <w:tr w:rsidR="00C72321" w:rsidRPr="00C72321" w14:paraId="6C5C6B56" w14:textId="77777777" w:rsidTr="00C72321">
        <w:tblPrEx>
          <w:tblCellMar>
            <w:top w:w="0" w:type="dxa"/>
            <w:bottom w:w="0" w:type="dxa"/>
          </w:tblCellMar>
        </w:tblPrEx>
        <w:trPr>
          <w:cantSplit/>
        </w:trPr>
        <w:tc>
          <w:tcPr>
            <w:tcW w:w="2000" w:type="dxa"/>
            <w:shd w:val="clear" w:color="auto" w:fill="auto"/>
          </w:tcPr>
          <w:p w14:paraId="2C08DDBC" w14:textId="0CF0C392" w:rsidR="00C72321" w:rsidRPr="00C72321" w:rsidRDefault="00C72321" w:rsidP="00C72321">
            <w:pPr>
              <w:spacing w:after="0" w:line="240" w:lineRule="auto"/>
              <w:rPr>
                <w:sz w:val="20"/>
              </w:rPr>
            </w:pPr>
            <w:r>
              <w:rPr>
                <w:sz w:val="20"/>
              </w:rPr>
              <w:t>Statements In Application</w:t>
            </w:r>
          </w:p>
        </w:tc>
        <w:tc>
          <w:tcPr>
            <w:tcW w:w="2000" w:type="dxa"/>
            <w:shd w:val="clear" w:color="auto" w:fill="auto"/>
          </w:tcPr>
          <w:p w14:paraId="6B2F301D" w14:textId="6BCDE363" w:rsidR="00C72321" w:rsidRPr="00C72321" w:rsidRDefault="00C72321" w:rsidP="00C72321">
            <w:pPr>
              <w:spacing w:after="0" w:line="240" w:lineRule="auto"/>
              <w:rPr>
                <w:sz w:val="20"/>
              </w:rPr>
            </w:pPr>
            <w:hyperlink r:id="rId28" w:history="1">
              <w:r w:rsidRPr="00C72321">
                <w:rPr>
                  <w:rStyle w:val="Hyperlink"/>
                  <w:sz w:val="20"/>
                </w:rPr>
                <w:t>Title 24-A § 2818</w:t>
              </w:r>
            </w:hyperlink>
          </w:p>
        </w:tc>
        <w:tc>
          <w:tcPr>
            <w:tcW w:w="9000" w:type="dxa"/>
            <w:shd w:val="clear" w:color="auto" w:fill="auto"/>
          </w:tcPr>
          <w:p w14:paraId="0C55B8EE" w14:textId="7F469D03" w:rsidR="00C72321" w:rsidRPr="00C72321" w:rsidRDefault="00C72321" w:rsidP="00C72321">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4FA4479E" w14:textId="77777777" w:rsidR="00C72321" w:rsidRPr="00C72321" w:rsidRDefault="00C72321" w:rsidP="00C72321">
            <w:pPr>
              <w:spacing w:after="0" w:line="240" w:lineRule="auto"/>
              <w:rPr>
                <w:sz w:val="20"/>
              </w:rPr>
            </w:pPr>
          </w:p>
        </w:tc>
      </w:tr>
      <w:tr w:rsidR="00C72321" w:rsidRPr="00C72321" w14:paraId="1ECCC157" w14:textId="77777777" w:rsidTr="00C72321">
        <w:tblPrEx>
          <w:tblCellMar>
            <w:top w:w="0" w:type="dxa"/>
            <w:bottom w:w="0" w:type="dxa"/>
          </w:tblCellMar>
        </w:tblPrEx>
        <w:trPr>
          <w:cantSplit/>
        </w:trPr>
        <w:tc>
          <w:tcPr>
            <w:tcW w:w="2000" w:type="dxa"/>
            <w:shd w:val="clear" w:color="auto" w:fill="auto"/>
          </w:tcPr>
          <w:p w14:paraId="308EB482" w14:textId="530267A6" w:rsidR="00C72321" w:rsidRPr="00C72321" w:rsidRDefault="00C72321" w:rsidP="00C72321">
            <w:pPr>
              <w:spacing w:after="0" w:line="240" w:lineRule="auto"/>
              <w:rPr>
                <w:sz w:val="20"/>
              </w:rPr>
            </w:pPr>
            <w:r>
              <w:rPr>
                <w:sz w:val="20"/>
              </w:rPr>
              <w:t>Third Party Notice, Cancellation and Reinstatement</w:t>
            </w:r>
          </w:p>
        </w:tc>
        <w:tc>
          <w:tcPr>
            <w:tcW w:w="2000" w:type="dxa"/>
            <w:shd w:val="clear" w:color="auto" w:fill="auto"/>
          </w:tcPr>
          <w:p w14:paraId="5EBAFDD1" w14:textId="34910362" w:rsidR="00C72321" w:rsidRDefault="00C72321" w:rsidP="00C72321">
            <w:pPr>
              <w:spacing w:after="0" w:line="240" w:lineRule="auto"/>
              <w:rPr>
                <w:sz w:val="20"/>
              </w:rPr>
            </w:pPr>
            <w:hyperlink r:id="rId29" w:history="1">
              <w:r w:rsidRPr="00C72321">
                <w:rPr>
                  <w:rStyle w:val="Hyperlink"/>
                  <w:sz w:val="20"/>
                </w:rPr>
                <w:t>Title 24-A § 2707</w:t>
              </w:r>
            </w:hyperlink>
            <w:r>
              <w:rPr>
                <w:sz w:val="20"/>
              </w:rPr>
              <w:t>-A</w:t>
            </w:r>
          </w:p>
          <w:p w14:paraId="3BCC56DF" w14:textId="2B97F084" w:rsidR="00C72321" w:rsidRDefault="00C72321" w:rsidP="00C72321">
            <w:pPr>
              <w:spacing w:after="0" w:line="240" w:lineRule="auto"/>
              <w:rPr>
                <w:sz w:val="20"/>
              </w:rPr>
            </w:pPr>
            <w:hyperlink r:id="rId30" w:history="1">
              <w:r w:rsidRPr="00C72321">
                <w:rPr>
                  <w:rStyle w:val="Hyperlink"/>
                  <w:sz w:val="20"/>
                </w:rPr>
                <w:t>Title 24-A § 2847</w:t>
              </w:r>
            </w:hyperlink>
            <w:r>
              <w:rPr>
                <w:sz w:val="20"/>
              </w:rPr>
              <w:t>-C</w:t>
            </w:r>
          </w:p>
          <w:p w14:paraId="52637278" w14:textId="3CCCC5DF" w:rsidR="00C72321" w:rsidRDefault="00C72321" w:rsidP="00C72321">
            <w:pPr>
              <w:spacing w:after="0" w:line="240" w:lineRule="auto"/>
              <w:rPr>
                <w:sz w:val="20"/>
              </w:rPr>
            </w:pPr>
            <w:hyperlink r:id="rId31" w:history="1">
              <w:r w:rsidRPr="00C72321">
                <w:rPr>
                  <w:rStyle w:val="Hyperlink"/>
                  <w:sz w:val="20"/>
                </w:rPr>
                <w:t>Title 24-A § 5016</w:t>
              </w:r>
            </w:hyperlink>
          </w:p>
          <w:p w14:paraId="6DAFB937" w14:textId="4A7997BF" w:rsidR="00C72321" w:rsidRPr="00C72321" w:rsidRDefault="00C72321" w:rsidP="00C72321">
            <w:pPr>
              <w:spacing w:after="0" w:line="240" w:lineRule="auto"/>
              <w:rPr>
                <w:sz w:val="20"/>
              </w:rPr>
            </w:pPr>
            <w:hyperlink r:id="rId32" w:history="1">
              <w:r w:rsidRPr="00C72321">
                <w:rPr>
                  <w:rStyle w:val="Hyperlink"/>
                  <w:sz w:val="20"/>
                </w:rPr>
                <w:t>Rule 580</w:t>
              </w:r>
            </w:hyperlink>
          </w:p>
        </w:tc>
        <w:tc>
          <w:tcPr>
            <w:tcW w:w="9000" w:type="dxa"/>
            <w:shd w:val="clear" w:color="auto" w:fill="auto"/>
          </w:tcPr>
          <w:p w14:paraId="09615298" w14:textId="341BC0C1" w:rsidR="00C72321" w:rsidRPr="00C72321" w:rsidRDefault="00C72321" w:rsidP="00C72321">
            <w:pPr>
              <w:spacing w:after="0" w:line="240" w:lineRule="auto"/>
              <w:rPr>
                <w:sz w:val="20"/>
              </w:rPr>
            </w:pPr>
            <w:r>
              <w:rPr>
                <w:sz w:val="20"/>
              </w:rPr>
              <w:t>Third party notice of cancellation and reinstatement for cognitive impairment or functional incapacity.</w:t>
            </w:r>
          </w:p>
        </w:tc>
        <w:tc>
          <w:tcPr>
            <w:tcW w:w="2000" w:type="dxa"/>
            <w:shd w:val="clear" w:color="auto" w:fill="auto"/>
          </w:tcPr>
          <w:p w14:paraId="75AA3C00" w14:textId="77777777" w:rsidR="00C72321" w:rsidRPr="00C72321" w:rsidRDefault="00C72321" w:rsidP="00C72321">
            <w:pPr>
              <w:spacing w:after="0" w:line="240" w:lineRule="auto"/>
              <w:rPr>
                <w:sz w:val="20"/>
              </w:rPr>
            </w:pPr>
          </w:p>
        </w:tc>
      </w:tr>
      <w:tr w:rsidR="00C72321" w:rsidRPr="00C72321" w14:paraId="5198FA73" w14:textId="77777777" w:rsidTr="00C72321">
        <w:tblPrEx>
          <w:tblCellMar>
            <w:top w:w="0" w:type="dxa"/>
            <w:bottom w:w="0" w:type="dxa"/>
          </w:tblCellMar>
        </w:tblPrEx>
        <w:trPr>
          <w:cantSplit/>
        </w:trPr>
        <w:tc>
          <w:tcPr>
            <w:tcW w:w="2000" w:type="dxa"/>
            <w:shd w:val="clear" w:color="auto" w:fill="auto"/>
          </w:tcPr>
          <w:p w14:paraId="3021EB77" w14:textId="27BE7339" w:rsidR="00C72321" w:rsidRPr="00C72321" w:rsidRDefault="00C72321" w:rsidP="00C72321">
            <w:pPr>
              <w:spacing w:after="0" w:line="240" w:lineRule="auto"/>
              <w:rPr>
                <w:sz w:val="20"/>
              </w:rPr>
            </w:pPr>
            <w:r>
              <w:rPr>
                <w:sz w:val="20"/>
              </w:rPr>
              <w:t>Time for Suits</w:t>
            </w:r>
          </w:p>
        </w:tc>
        <w:tc>
          <w:tcPr>
            <w:tcW w:w="2000" w:type="dxa"/>
            <w:shd w:val="clear" w:color="auto" w:fill="auto"/>
          </w:tcPr>
          <w:p w14:paraId="20530B4D" w14:textId="23240609" w:rsidR="00C72321" w:rsidRPr="00C72321" w:rsidRDefault="00C72321" w:rsidP="00C72321">
            <w:pPr>
              <w:spacing w:after="0" w:line="240" w:lineRule="auto"/>
              <w:rPr>
                <w:sz w:val="20"/>
              </w:rPr>
            </w:pPr>
            <w:hyperlink r:id="rId33" w:history="1">
              <w:r w:rsidRPr="00C72321">
                <w:rPr>
                  <w:rStyle w:val="Hyperlink"/>
                  <w:sz w:val="20"/>
                </w:rPr>
                <w:t>Title 24-A § 2828</w:t>
              </w:r>
            </w:hyperlink>
          </w:p>
        </w:tc>
        <w:tc>
          <w:tcPr>
            <w:tcW w:w="9000" w:type="dxa"/>
            <w:shd w:val="clear" w:color="auto" w:fill="auto"/>
          </w:tcPr>
          <w:p w14:paraId="2CE53EFF" w14:textId="152226AD" w:rsidR="00C72321" w:rsidRPr="00C72321" w:rsidRDefault="00C72321" w:rsidP="00C72321">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71AE950D" w14:textId="77777777" w:rsidR="00C72321" w:rsidRPr="00C72321" w:rsidRDefault="00C72321" w:rsidP="00C72321">
            <w:pPr>
              <w:spacing w:after="0" w:line="240" w:lineRule="auto"/>
              <w:rPr>
                <w:sz w:val="20"/>
              </w:rPr>
            </w:pPr>
          </w:p>
        </w:tc>
      </w:tr>
      <w:tr w:rsidR="00C72321" w:rsidRPr="00C72321" w14:paraId="462B223F" w14:textId="77777777" w:rsidTr="00C72321">
        <w:tblPrEx>
          <w:tblCellMar>
            <w:top w:w="0" w:type="dxa"/>
            <w:bottom w:w="0" w:type="dxa"/>
          </w:tblCellMar>
        </w:tblPrEx>
        <w:trPr>
          <w:cantSplit/>
        </w:trPr>
        <w:tc>
          <w:tcPr>
            <w:tcW w:w="2000" w:type="dxa"/>
            <w:tcBorders>
              <w:bottom w:val="single" w:sz="4" w:space="0" w:color="auto"/>
            </w:tcBorders>
            <w:shd w:val="clear" w:color="auto" w:fill="auto"/>
          </w:tcPr>
          <w:p w14:paraId="74CCE8D0" w14:textId="5A3284A7" w:rsidR="00C72321" w:rsidRPr="00C72321" w:rsidRDefault="00C72321" w:rsidP="00C72321">
            <w:pPr>
              <w:spacing w:after="0" w:line="240" w:lineRule="auto"/>
              <w:rPr>
                <w:sz w:val="20"/>
              </w:rPr>
            </w:pPr>
            <w:r>
              <w:rPr>
                <w:sz w:val="20"/>
              </w:rPr>
              <w:t>Explanations Regarding Deductibles</w:t>
            </w:r>
          </w:p>
        </w:tc>
        <w:tc>
          <w:tcPr>
            <w:tcW w:w="2000" w:type="dxa"/>
            <w:tcBorders>
              <w:bottom w:val="single" w:sz="4" w:space="0" w:color="auto"/>
            </w:tcBorders>
            <w:shd w:val="clear" w:color="auto" w:fill="auto"/>
          </w:tcPr>
          <w:p w14:paraId="740C6800" w14:textId="0F23636F" w:rsidR="00C72321" w:rsidRPr="00C72321" w:rsidRDefault="00C72321" w:rsidP="00C72321">
            <w:pPr>
              <w:spacing w:after="0" w:line="240" w:lineRule="auto"/>
              <w:rPr>
                <w:sz w:val="20"/>
              </w:rPr>
            </w:pPr>
            <w:hyperlink r:id="rId34" w:history="1">
              <w:r w:rsidRPr="00C72321">
                <w:rPr>
                  <w:rStyle w:val="Hyperlink"/>
                  <w:sz w:val="20"/>
                </w:rPr>
                <w:t>Title 24-A § 2413</w:t>
              </w:r>
            </w:hyperlink>
          </w:p>
        </w:tc>
        <w:tc>
          <w:tcPr>
            <w:tcW w:w="9000" w:type="dxa"/>
            <w:tcBorders>
              <w:bottom w:val="single" w:sz="4" w:space="0" w:color="auto"/>
            </w:tcBorders>
            <w:shd w:val="clear" w:color="auto" w:fill="auto"/>
          </w:tcPr>
          <w:p w14:paraId="1AFEAC55" w14:textId="289897A6" w:rsidR="00C72321" w:rsidRPr="00C72321" w:rsidRDefault="00C72321" w:rsidP="00C72321">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 Whether it is a calendar or policy year deductible. Clearly advise whether non-covered expenses apply to the deductible. Clearly advise whether it is a per person or family deductible or both.</w:t>
            </w:r>
          </w:p>
        </w:tc>
        <w:tc>
          <w:tcPr>
            <w:tcW w:w="2000" w:type="dxa"/>
            <w:tcBorders>
              <w:bottom w:val="single" w:sz="4" w:space="0" w:color="auto"/>
            </w:tcBorders>
            <w:shd w:val="clear" w:color="auto" w:fill="auto"/>
          </w:tcPr>
          <w:p w14:paraId="3725F4BF" w14:textId="77777777" w:rsidR="00C72321" w:rsidRPr="00C72321" w:rsidRDefault="00C72321" w:rsidP="00C72321">
            <w:pPr>
              <w:spacing w:after="0" w:line="240" w:lineRule="auto"/>
              <w:rPr>
                <w:sz w:val="20"/>
              </w:rPr>
            </w:pPr>
          </w:p>
        </w:tc>
      </w:tr>
      <w:tr w:rsidR="00C72321" w:rsidRPr="00C72321" w14:paraId="06EC1E6F" w14:textId="77777777" w:rsidTr="00C72321">
        <w:tblPrEx>
          <w:tblCellMar>
            <w:top w:w="0" w:type="dxa"/>
            <w:bottom w:w="0" w:type="dxa"/>
          </w:tblCellMar>
        </w:tblPrEx>
        <w:trPr>
          <w:cantSplit/>
        </w:trPr>
        <w:tc>
          <w:tcPr>
            <w:tcW w:w="2000" w:type="dxa"/>
            <w:shd w:val="clear" w:color="auto" w:fill="D9D9D9"/>
          </w:tcPr>
          <w:p w14:paraId="7FCDA313" w14:textId="00FE796D" w:rsidR="00C72321" w:rsidRPr="00C72321" w:rsidRDefault="00C72321" w:rsidP="00C72321">
            <w:pPr>
              <w:spacing w:after="0" w:line="240" w:lineRule="auto"/>
              <w:jc w:val="center"/>
              <w:rPr>
                <w:b/>
                <w:sz w:val="24"/>
              </w:rPr>
            </w:pPr>
            <w:r w:rsidRPr="00C72321">
              <w:rPr>
                <w:b/>
                <w:sz w:val="24"/>
              </w:rPr>
              <w:t>PRESCRIPTION DRUGS</w:t>
            </w:r>
          </w:p>
        </w:tc>
        <w:tc>
          <w:tcPr>
            <w:tcW w:w="2000" w:type="dxa"/>
            <w:shd w:val="clear" w:color="auto" w:fill="D9D9D9"/>
          </w:tcPr>
          <w:p w14:paraId="0EF60817" w14:textId="77777777" w:rsidR="00C72321" w:rsidRPr="00C72321" w:rsidRDefault="00C72321" w:rsidP="00C72321">
            <w:pPr>
              <w:spacing w:after="0" w:line="240" w:lineRule="auto"/>
              <w:jc w:val="center"/>
              <w:rPr>
                <w:b/>
                <w:sz w:val="24"/>
              </w:rPr>
            </w:pPr>
          </w:p>
        </w:tc>
        <w:tc>
          <w:tcPr>
            <w:tcW w:w="9000" w:type="dxa"/>
            <w:shd w:val="clear" w:color="auto" w:fill="D9D9D9"/>
          </w:tcPr>
          <w:p w14:paraId="0FA11B52" w14:textId="77777777" w:rsidR="00C72321" w:rsidRPr="00C72321" w:rsidRDefault="00C72321" w:rsidP="00C72321">
            <w:pPr>
              <w:spacing w:after="0" w:line="240" w:lineRule="auto"/>
              <w:jc w:val="center"/>
              <w:rPr>
                <w:b/>
                <w:sz w:val="24"/>
              </w:rPr>
            </w:pPr>
          </w:p>
        </w:tc>
        <w:tc>
          <w:tcPr>
            <w:tcW w:w="2000" w:type="dxa"/>
            <w:shd w:val="clear" w:color="auto" w:fill="D9D9D9"/>
          </w:tcPr>
          <w:p w14:paraId="32A1DEC6" w14:textId="77777777" w:rsidR="00C72321" w:rsidRPr="00C72321" w:rsidRDefault="00C72321" w:rsidP="00C72321">
            <w:pPr>
              <w:spacing w:after="0" w:line="240" w:lineRule="auto"/>
              <w:jc w:val="center"/>
              <w:rPr>
                <w:b/>
                <w:sz w:val="24"/>
              </w:rPr>
            </w:pPr>
          </w:p>
        </w:tc>
      </w:tr>
      <w:tr w:rsidR="00C72321" w:rsidRPr="00C72321" w14:paraId="23F660DB" w14:textId="77777777" w:rsidTr="00C72321">
        <w:tblPrEx>
          <w:tblCellMar>
            <w:top w:w="0" w:type="dxa"/>
            <w:bottom w:w="0" w:type="dxa"/>
          </w:tblCellMar>
        </w:tblPrEx>
        <w:trPr>
          <w:cantSplit/>
        </w:trPr>
        <w:tc>
          <w:tcPr>
            <w:tcW w:w="2000" w:type="dxa"/>
            <w:shd w:val="clear" w:color="auto" w:fill="auto"/>
          </w:tcPr>
          <w:p w14:paraId="2B584D43" w14:textId="3D84EDF7" w:rsidR="00C72321" w:rsidRPr="00C72321" w:rsidRDefault="00C72321" w:rsidP="00C72321">
            <w:pPr>
              <w:spacing w:after="0" w:line="240" w:lineRule="auto"/>
              <w:rPr>
                <w:sz w:val="20"/>
              </w:rPr>
            </w:pPr>
            <w:r>
              <w:rPr>
                <w:sz w:val="20"/>
              </w:rPr>
              <w:t>Diabetes Supplies</w:t>
            </w:r>
          </w:p>
        </w:tc>
        <w:tc>
          <w:tcPr>
            <w:tcW w:w="2000" w:type="dxa"/>
            <w:shd w:val="clear" w:color="auto" w:fill="auto"/>
          </w:tcPr>
          <w:p w14:paraId="24DE2DC4" w14:textId="60662A06" w:rsidR="00C72321" w:rsidRDefault="00C72321" w:rsidP="00C72321">
            <w:pPr>
              <w:spacing w:after="0" w:line="240" w:lineRule="auto"/>
              <w:rPr>
                <w:sz w:val="20"/>
              </w:rPr>
            </w:pPr>
            <w:hyperlink r:id="rId35" w:history="1">
              <w:r w:rsidRPr="00C72321">
                <w:rPr>
                  <w:rStyle w:val="Hyperlink"/>
                  <w:sz w:val="20"/>
                </w:rPr>
                <w:t>Title 24-A § 2847</w:t>
              </w:r>
            </w:hyperlink>
            <w:r>
              <w:rPr>
                <w:sz w:val="20"/>
              </w:rPr>
              <w:t>-E</w:t>
            </w:r>
          </w:p>
          <w:p w14:paraId="4701CA26" w14:textId="30B3B8C3" w:rsidR="00C72321" w:rsidRDefault="00C72321" w:rsidP="00C72321">
            <w:pPr>
              <w:spacing w:after="0" w:line="240" w:lineRule="auto"/>
              <w:rPr>
                <w:sz w:val="20"/>
              </w:rPr>
            </w:pPr>
            <w:hyperlink r:id="rId36" w:history="1">
              <w:r w:rsidRPr="00C72321">
                <w:rPr>
                  <w:rStyle w:val="Hyperlink"/>
                  <w:sz w:val="20"/>
                </w:rPr>
                <w:t>Title 24-A § 2754</w:t>
              </w:r>
            </w:hyperlink>
          </w:p>
          <w:p w14:paraId="7598BB02" w14:textId="02E2FE5C" w:rsidR="00C72321" w:rsidRPr="00C72321" w:rsidRDefault="00C72321" w:rsidP="00C72321">
            <w:pPr>
              <w:spacing w:after="0" w:line="240" w:lineRule="auto"/>
              <w:rPr>
                <w:sz w:val="20"/>
              </w:rPr>
            </w:pPr>
            <w:hyperlink r:id="rId37" w:history="1">
              <w:r w:rsidRPr="00C72321">
                <w:rPr>
                  <w:rStyle w:val="Hyperlink"/>
                  <w:sz w:val="20"/>
                </w:rPr>
                <w:t>Title 24-A § 4240</w:t>
              </w:r>
            </w:hyperlink>
          </w:p>
        </w:tc>
        <w:tc>
          <w:tcPr>
            <w:tcW w:w="9000" w:type="dxa"/>
            <w:shd w:val="clear" w:color="auto" w:fill="auto"/>
          </w:tcPr>
          <w:p w14:paraId="7F4B3A5A" w14:textId="2DFB0E13" w:rsidR="00C72321" w:rsidRPr="00C72321" w:rsidRDefault="00C72321" w:rsidP="00C72321">
            <w:pPr>
              <w:spacing w:after="0" w:line="240" w:lineRule="auto"/>
              <w:rPr>
                <w:sz w:val="20"/>
              </w:rPr>
            </w:pPr>
            <w:r>
              <w:rPr>
                <w:sz w:val="20"/>
              </w:rPr>
              <w:t xml:space="preserve">Benefits must be provided for medically necessary equipment and supplies used to treat diabetes (insulin, oral hypoglycemic agents, monitors, test strips, </w:t>
            </w:r>
            <w:proofErr w:type="gramStart"/>
            <w:r>
              <w:rPr>
                <w:sz w:val="20"/>
              </w:rPr>
              <w:t>syringes</w:t>
            </w:r>
            <w:proofErr w:type="gramEnd"/>
            <w:r>
              <w:rPr>
                <w:sz w:val="20"/>
              </w:rPr>
              <w:t xml:space="preserve"> and lancets) and approved self-management and education training authorized by the State's Diabetes Control Project within the Maine Bureau of Health.</w:t>
            </w:r>
          </w:p>
        </w:tc>
        <w:tc>
          <w:tcPr>
            <w:tcW w:w="2000" w:type="dxa"/>
            <w:shd w:val="clear" w:color="auto" w:fill="auto"/>
          </w:tcPr>
          <w:p w14:paraId="040A8E01" w14:textId="77777777" w:rsidR="00C72321" w:rsidRPr="00C72321" w:rsidRDefault="00C72321" w:rsidP="00C72321">
            <w:pPr>
              <w:spacing w:after="0" w:line="240" w:lineRule="auto"/>
              <w:rPr>
                <w:sz w:val="20"/>
              </w:rPr>
            </w:pPr>
          </w:p>
        </w:tc>
      </w:tr>
      <w:tr w:rsidR="00C72321" w:rsidRPr="00C72321" w14:paraId="2DE12C26" w14:textId="77777777" w:rsidTr="00C72321">
        <w:tblPrEx>
          <w:tblCellMar>
            <w:top w:w="0" w:type="dxa"/>
            <w:bottom w:w="0" w:type="dxa"/>
          </w:tblCellMar>
        </w:tblPrEx>
        <w:trPr>
          <w:cantSplit/>
        </w:trPr>
        <w:tc>
          <w:tcPr>
            <w:tcW w:w="2000" w:type="dxa"/>
            <w:shd w:val="clear" w:color="auto" w:fill="auto"/>
          </w:tcPr>
          <w:p w14:paraId="3DEE76A5" w14:textId="1357BFC1" w:rsidR="00C72321" w:rsidRPr="00C72321" w:rsidRDefault="00C72321" w:rsidP="00C72321">
            <w:pPr>
              <w:spacing w:after="0" w:line="240" w:lineRule="auto"/>
              <w:rPr>
                <w:sz w:val="20"/>
              </w:rPr>
            </w:pPr>
            <w:r>
              <w:rPr>
                <w:sz w:val="20"/>
              </w:rPr>
              <w:lastRenderedPageBreak/>
              <w:t>Off-label use of prescription drugs for cancer and HIV or AIDS</w:t>
            </w:r>
          </w:p>
        </w:tc>
        <w:tc>
          <w:tcPr>
            <w:tcW w:w="2000" w:type="dxa"/>
            <w:shd w:val="clear" w:color="auto" w:fill="auto"/>
          </w:tcPr>
          <w:p w14:paraId="1FB5CD2D" w14:textId="5D024755" w:rsidR="00C72321" w:rsidRDefault="00C72321" w:rsidP="00C72321">
            <w:pPr>
              <w:spacing w:after="0" w:line="240" w:lineRule="auto"/>
              <w:rPr>
                <w:sz w:val="20"/>
              </w:rPr>
            </w:pPr>
            <w:hyperlink r:id="rId38" w:history="1">
              <w:r w:rsidRPr="00C72321">
                <w:rPr>
                  <w:rStyle w:val="Hyperlink"/>
                  <w:sz w:val="20"/>
                </w:rPr>
                <w:t>Title 24-A § 2837</w:t>
              </w:r>
            </w:hyperlink>
            <w:r>
              <w:rPr>
                <w:sz w:val="20"/>
              </w:rPr>
              <w:t>-F</w:t>
            </w:r>
          </w:p>
          <w:p w14:paraId="681EAF89" w14:textId="5DBA3293" w:rsidR="00C72321" w:rsidRDefault="00C72321" w:rsidP="00C72321">
            <w:pPr>
              <w:spacing w:after="0" w:line="240" w:lineRule="auto"/>
              <w:rPr>
                <w:sz w:val="20"/>
              </w:rPr>
            </w:pPr>
            <w:hyperlink r:id="rId39" w:history="1">
              <w:r w:rsidRPr="00C72321">
                <w:rPr>
                  <w:rStyle w:val="Hyperlink"/>
                  <w:sz w:val="20"/>
                </w:rPr>
                <w:t>Title 24-A § 2837</w:t>
              </w:r>
            </w:hyperlink>
            <w:r>
              <w:rPr>
                <w:sz w:val="20"/>
              </w:rPr>
              <w:t>-G</w:t>
            </w:r>
          </w:p>
          <w:p w14:paraId="637BF043" w14:textId="0E448462" w:rsidR="00C72321" w:rsidRDefault="00C72321" w:rsidP="00C72321">
            <w:pPr>
              <w:spacing w:after="0" w:line="240" w:lineRule="auto"/>
              <w:rPr>
                <w:sz w:val="20"/>
              </w:rPr>
            </w:pPr>
            <w:hyperlink r:id="rId40" w:history="1">
              <w:r w:rsidRPr="00C72321">
                <w:rPr>
                  <w:rStyle w:val="Hyperlink"/>
                  <w:sz w:val="20"/>
                </w:rPr>
                <w:t>Title 24-A § 2745</w:t>
              </w:r>
            </w:hyperlink>
            <w:r>
              <w:rPr>
                <w:sz w:val="20"/>
              </w:rPr>
              <w:t>-E</w:t>
            </w:r>
          </w:p>
          <w:p w14:paraId="0A257C0D" w14:textId="7ED1DA1C" w:rsidR="00C72321" w:rsidRDefault="00C72321" w:rsidP="00C72321">
            <w:pPr>
              <w:spacing w:after="0" w:line="240" w:lineRule="auto"/>
              <w:rPr>
                <w:sz w:val="20"/>
              </w:rPr>
            </w:pPr>
            <w:hyperlink r:id="rId41" w:history="1">
              <w:r w:rsidRPr="00C72321">
                <w:rPr>
                  <w:rStyle w:val="Hyperlink"/>
                  <w:sz w:val="20"/>
                </w:rPr>
                <w:t>Title 24-A § 2745</w:t>
              </w:r>
            </w:hyperlink>
            <w:r>
              <w:rPr>
                <w:sz w:val="20"/>
              </w:rPr>
              <w:t>-F</w:t>
            </w:r>
          </w:p>
          <w:p w14:paraId="453B923B" w14:textId="15382E4D" w:rsidR="00C72321" w:rsidRDefault="00C72321" w:rsidP="00C72321">
            <w:pPr>
              <w:spacing w:after="0" w:line="240" w:lineRule="auto"/>
              <w:rPr>
                <w:sz w:val="20"/>
              </w:rPr>
            </w:pPr>
            <w:hyperlink r:id="rId42" w:history="1">
              <w:r w:rsidRPr="00C72321">
                <w:rPr>
                  <w:rStyle w:val="Hyperlink"/>
                  <w:sz w:val="20"/>
                </w:rPr>
                <w:t>Title 24-A § 4234</w:t>
              </w:r>
            </w:hyperlink>
            <w:r>
              <w:rPr>
                <w:sz w:val="20"/>
              </w:rPr>
              <w:t>-D</w:t>
            </w:r>
          </w:p>
          <w:p w14:paraId="004A5D8E" w14:textId="09D7C431" w:rsidR="00C72321" w:rsidRPr="00C72321" w:rsidRDefault="00C72321" w:rsidP="00C72321">
            <w:pPr>
              <w:spacing w:after="0" w:line="240" w:lineRule="auto"/>
              <w:rPr>
                <w:sz w:val="20"/>
              </w:rPr>
            </w:pPr>
            <w:hyperlink r:id="rId43" w:history="1">
              <w:r w:rsidRPr="00C72321">
                <w:rPr>
                  <w:rStyle w:val="Hyperlink"/>
                  <w:sz w:val="20"/>
                </w:rPr>
                <w:t>Title 24-A § 4234</w:t>
              </w:r>
            </w:hyperlink>
            <w:r>
              <w:rPr>
                <w:sz w:val="20"/>
              </w:rPr>
              <w:t>-E</w:t>
            </w:r>
          </w:p>
        </w:tc>
        <w:tc>
          <w:tcPr>
            <w:tcW w:w="9000" w:type="dxa"/>
            <w:shd w:val="clear" w:color="auto" w:fill="auto"/>
          </w:tcPr>
          <w:p w14:paraId="3FF3BA3F" w14:textId="7107647E" w:rsidR="00C72321" w:rsidRPr="00C72321" w:rsidRDefault="00C72321" w:rsidP="00C72321">
            <w:pPr>
              <w:spacing w:after="0" w:line="240" w:lineRule="auto"/>
              <w:rPr>
                <w:sz w:val="20"/>
              </w:rPr>
            </w:pPr>
            <w:r>
              <w:rPr>
                <w:sz w:val="20"/>
              </w:rPr>
              <w:t>Coverage required for off-label use of prescription drugs for treatment of cancer, HIV, or AIDS.</w:t>
            </w:r>
          </w:p>
        </w:tc>
        <w:tc>
          <w:tcPr>
            <w:tcW w:w="2000" w:type="dxa"/>
            <w:shd w:val="clear" w:color="auto" w:fill="auto"/>
          </w:tcPr>
          <w:p w14:paraId="043CDC6E" w14:textId="77777777" w:rsidR="00C72321" w:rsidRPr="00C72321" w:rsidRDefault="00C72321" w:rsidP="00C72321">
            <w:pPr>
              <w:spacing w:after="0" w:line="240" w:lineRule="auto"/>
              <w:rPr>
                <w:sz w:val="20"/>
              </w:rPr>
            </w:pPr>
          </w:p>
        </w:tc>
      </w:tr>
      <w:tr w:rsidR="00C72321" w:rsidRPr="00C72321" w14:paraId="4E1CE3D4" w14:textId="77777777" w:rsidTr="00C72321">
        <w:tblPrEx>
          <w:tblCellMar>
            <w:top w:w="0" w:type="dxa"/>
            <w:bottom w:w="0" w:type="dxa"/>
          </w:tblCellMar>
        </w:tblPrEx>
        <w:trPr>
          <w:cantSplit/>
        </w:trPr>
        <w:tc>
          <w:tcPr>
            <w:tcW w:w="2000" w:type="dxa"/>
            <w:shd w:val="clear" w:color="auto" w:fill="auto"/>
          </w:tcPr>
          <w:p w14:paraId="32676C85" w14:textId="43A72B30" w:rsidR="00C72321" w:rsidRPr="00C72321" w:rsidRDefault="00C72321" w:rsidP="00C72321">
            <w:pPr>
              <w:spacing w:after="0" w:line="240" w:lineRule="auto"/>
              <w:rPr>
                <w:sz w:val="20"/>
              </w:rPr>
            </w:pPr>
            <w:r>
              <w:rPr>
                <w:sz w:val="20"/>
              </w:rPr>
              <w:t>Prescription synchronization</w:t>
            </w:r>
          </w:p>
        </w:tc>
        <w:tc>
          <w:tcPr>
            <w:tcW w:w="2000" w:type="dxa"/>
            <w:shd w:val="clear" w:color="auto" w:fill="auto"/>
          </w:tcPr>
          <w:p w14:paraId="44BB056E" w14:textId="7FE485E2" w:rsidR="00C72321" w:rsidRPr="00C72321" w:rsidRDefault="00C72321" w:rsidP="00C72321">
            <w:pPr>
              <w:spacing w:after="0" w:line="240" w:lineRule="auto"/>
              <w:rPr>
                <w:sz w:val="20"/>
              </w:rPr>
            </w:pPr>
            <w:hyperlink r:id="rId44" w:history="1">
              <w:r w:rsidRPr="00C72321">
                <w:rPr>
                  <w:rStyle w:val="Hyperlink"/>
                  <w:sz w:val="20"/>
                </w:rPr>
                <w:t>Title 24-A § 2769</w:t>
              </w:r>
            </w:hyperlink>
          </w:p>
        </w:tc>
        <w:tc>
          <w:tcPr>
            <w:tcW w:w="9000" w:type="dxa"/>
            <w:shd w:val="clear" w:color="auto" w:fill="auto"/>
          </w:tcPr>
          <w:p w14:paraId="55CC2201" w14:textId="41439693" w:rsidR="00C72321" w:rsidRPr="00C72321" w:rsidRDefault="00C72321" w:rsidP="00C72321">
            <w:pPr>
              <w:spacing w:after="0" w:line="240" w:lineRule="auto"/>
              <w:rPr>
                <w:sz w:val="20"/>
              </w:rPr>
            </w:pPr>
            <w:r>
              <w:rPr>
                <w:sz w:val="20"/>
              </w:rPr>
              <w:t xml:space="preserve">If a health plan provides coverage for prescription drugs, a carrier: A.  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 B.  May not deny coverage for the dispensing of a medication prescribed for the treatment of a chronic illness that is made in accordance with a plan developed by the carrier, the insured, the </w:t>
            </w:r>
            <w:proofErr w:type="gramStart"/>
            <w:r>
              <w:rPr>
                <w:sz w:val="20"/>
              </w:rPr>
              <w:t>prescriber</w:t>
            </w:r>
            <w:proofErr w:type="gramEnd"/>
            <w:r>
              <w:rPr>
                <w:sz w:val="20"/>
              </w:rPr>
              <w:t xml:space="preserve"> and a pharmacist to synchronize the filling or refilling of multiple prescriptions for the insured. The carrier shall allow a pharmacy to override any denial codes indicating that a prescription is being refilled too soon in order to synchronize the patient's </w:t>
            </w:r>
            <w:proofErr w:type="gramStart"/>
            <w:r>
              <w:rPr>
                <w:sz w:val="20"/>
              </w:rPr>
              <w:t>prescriptions;</w:t>
            </w:r>
            <w:proofErr w:type="gramEnd"/>
            <w:r>
              <w:rPr>
                <w:sz w:val="20"/>
              </w:rPr>
              <w:t xml:space="preserve"> and C.  May not use payment structures incorporating prorated dispensing fees. Dispensing fees for partially filled or refilled prescriptions must be paid in full for each prescription dispensed, regardless of any prorated copay for the insured or fee paid for alignment services. 2.  Application; exclusion.   The requirements of this section do not apply to a prescription for: A.  Solid oral doses of antibiotics; or B.  Solid oral doses that are dispensed in their original container as indicated in the federal Food and Drug Administration Prescribing Information or are customarily dispensed in their original packaging to assist a patient with compliance.</w:t>
            </w:r>
          </w:p>
        </w:tc>
        <w:tc>
          <w:tcPr>
            <w:tcW w:w="2000" w:type="dxa"/>
            <w:shd w:val="clear" w:color="auto" w:fill="auto"/>
          </w:tcPr>
          <w:p w14:paraId="1341606D" w14:textId="77777777" w:rsidR="00C72321" w:rsidRPr="00C72321" w:rsidRDefault="00C72321" w:rsidP="00C72321">
            <w:pPr>
              <w:spacing w:after="0" w:line="240" w:lineRule="auto"/>
              <w:rPr>
                <w:sz w:val="20"/>
              </w:rPr>
            </w:pPr>
          </w:p>
        </w:tc>
      </w:tr>
    </w:tbl>
    <w:p w14:paraId="60C3921C" w14:textId="77777777" w:rsidR="00C72321" w:rsidRDefault="00C72321"/>
    <w:sectPr w:rsidR="00C72321" w:rsidSect="00C72321">
      <w:footerReference w:type="default" r:id="rId45"/>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DE9FC" w14:textId="77777777" w:rsidR="00C72321" w:rsidRDefault="00C72321" w:rsidP="00C72321">
      <w:pPr>
        <w:spacing w:after="0" w:line="240" w:lineRule="auto"/>
      </w:pPr>
      <w:r>
        <w:separator/>
      </w:r>
    </w:p>
  </w:endnote>
  <w:endnote w:type="continuationSeparator" w:id="0">
    <w:p w14:paraId="0AC022D6" w14:textId="77777777" w:rsidR="00C72321" w:rsidRDefault="00C72321" w:rsidP="00C7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AEEB" w14:textId="512AD965" w:rsidR="00C72321" w:rsidRDefault="00C72321">
    <w:pPr>
      <w:pStyle w:val="Footer"/>
    </w:pPr>
    <w:r>
      <w:t>H17G-and-H17I-prescription-drug-coverage-only.docx   27</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4/19/2024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C3E0C" w14:textId="77777777" w:rsidR="00C72321" w:rsidRDefault="00C72321" w:rsidP="00C72321">
      <w:pPr>
        <w:spacing w:after="0" w:line="240" w:lineRule="auto"/>
      </w:pPr>
      <w:r>
        <w:separator/>
      </w:r>
    </w:p>
  </w:footnote>
  <w:footnote w:type="continuationSeparator" w:id="0">
    <w:p w14:paraId="2BD53962" w14:textId="77777777" w:rsidR="00C72321" w:rsidRDefault="00C72321" w:rsidP="00C72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21"/>
    <w:rsid w:val="00606626"/>
    <w:rsid w:val="007C1FD1"/>
    <w:rsid w:val="008269FB"/>
    <w:rsid w:val="00835423"/>
    <w:rsid w:val="00A5767F"/>
    <w:rsid w:val="00C72321"/>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12E4"/>
  <w15:chartTrackingRefBased/>
  <w15:docId w15:val="{7BDBD8D7-FDD5-4292-B970-C2B141E6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321"/>
    <w:rPr>
      <w:rFonts w:eastAsiaTheme="majorEastAsia" w:cstheme="majorBidi"/>
      <w:color w:val="272727" w:themeColor="text1" w:themeTint="D8"/>
    </w:rPr>
  </w:style>
  <w:style w:type="paragraph" w:styleId="Title">
    <w:name w:val="Title"/>
    <w:basedOn w:val="Normal"/>
    <w:next w:val="Normal"/>
    <w:link w:val="TitleChar"/>
    <w:uiPriority w:val="10"/>
    <w:qFormat/>
    <w:rsid w:val="00C72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321"/>
    <w:pPr>
      <w:spacing w:before="160"/>
      <w:jc w:val="center"/>
    </w:pPr>
    <w:rPr>
      <w:i/>
      <w:iCs/>
      <w:color w:val="404040" w:themeColor="text1" w:themeTint="BF"/>
    </w:rPr>
  </w:style>
  <w:style w:type="character" w:customStyle="1" w:styleId="QuoteChar">
    <w:name w:val="Quote Char"/>
    <w:basedOn w:val="DefaultParagraphFont"/>
    <w:link w:val="Quote"/>
    <w:uiPriority w:val="29"/>
    <w:rsid w:val="00C72321"/>
    <w:rPr>
      <w:i/>
      <w:iCs/>
      <w:color w:val="404040" w:themeColor="text1" w:themeTint="BF"/>
    </w:rPr>
  </w:style>
  <w:style w:type="paragraph" w:styleId="ListParagraph">
    <w:name w:val="List Paragraph"/>
    <w:basedOn w:val="Normal"/>
    <w:uiPriority w:val="34"/>
    <w:qFormat/>
    <w:rsid w:val="00C72321"/>
    <w:pPr>
      <w:ind w:left="720"/>
      <w:contextualSpacing/>
    </w:pPr>
  </w:style>
  <w:style w:type="character" w:styleId="IntenseEmphasis">
    <w:name w:val="Intense Emphasis"/>
    <w:basedOn w:val="DefaultParagraphFont"/>
    <w:uiPriority w:val="21"/>
    <w:qFormat/>
    <w:rsid w:val="00C72321"/>
    <w:rPr>
      <w:i/>
      <w:iCs/>
      <w:color w:val="0F4761" w:themeColor="accent1" w:themeShade="BF"/>
    </w:rPr>
  </w:style>
  <w:style w:type="paragraph" w:styleId="IntenseQuote">
    <w:name w:val="Intense Quote"/>
    <w:basedOn w:val="Normal"/>
    <w:next w:val="Normal"/>
    <w:link w:val="IntenseQuoteChar"/>
    <w:uiPriority w:val="30"/>
    <w:qFormat/>
    <w:rsid w:val="00C72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321"/>
    <w:rPr>
      <w:i/>
      <w:iCs/>
      <w:color w:val="0F4761" w:themeColor="accent1" w:themeShade="BF"/>
    </w:rPr>
  </w:style>
  <w:style w:type="character" w:styleId="IntenseReference">
    <w:name w:val="Intense Reference"/>
    <w:basedOn w:val="DefaultParagraphFont"/>
    <w:uiPriority w:val="32"/>
    <w:qFormat/>
    <w:rsid w:val="00C72321"/>
    <w:rPr>
      <w:b/>
      <w:bCs/>
      <w:smallCaps/>
      <w:color w:val="0F4761" w:themeColor="accent1" w:themeShade="BF"/>
      <w:spacing w:val="5"/>
    </w:rPr>
  </w:style>
  <w:style w:type="paragraph" w:styleId="Header">
    <w:name w:val="header"/>
    <w:basedOn w:val="Normal"/>
    <w:link w:val="HeaderChar"/>
    <w:uiPriority w:val="99"/>
    <w:unhideWhenUsed/>
    <w:rsid w:val="00C7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1"/>
  </w:style>
  <w:style w:type="paragraph" w:styleId="Footer">
    <w:name w:val="footer"/>
    <w:basedOn w:val="Normal"/>
    <w:link w:val="FooterChar"/>
    <w:uiPriority w:val="99"/>
    <w:unhideWhenUsed/>
    <w:rsid w:val="00C7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1"/>
  </w:style>
  <w:style w:type="character" w:styleId="Hyperlink">
    <w:name w:val="Hyperlink"/>
    <w:basedOn w:val="DefaultParagraphFont"/>
    <w:uiPriority w:val="99"/>
    <w:unhideWhenUsed/>
    <w:rsid w:val="00C72321"/>
    <w:rPr>
      <w:color w:val="467886" w:themeColor="hyperlink"/>
      <w:u w:val="single"/>
    </w:rPr>
  </w:style>
  <w:style w:type="character" w:styleId="UnresolvedMention">
    <w:name w:val="Unresolved Mention"/>
    <w:basedOn w:val="DefaultParagraphFont"/>
    <w:uiPriority w:val="99"/>
    <w:semiHidden/>
    <w:unhideWhenUsed/>
    <w:rsid w:val="00C7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601.html" TargetMode="External"/><Relationship Id="rId13" Type="http://schemas.openxmlformats.org/officeDocument/2006/relationships/hyperlink" Target="https://legislature.maine.gov/statutes/24-A/title24-Asec2817.html" TargetMode="External"/><Relationship Id="rId18" Type="http://schemas.openxmlformats.org/officeDocument/2006/relationships/hyperlink" Target="https://legislature.maine.gov/statutes/24-A/title24-Asec2707.html" TargetMode="External"/><Relationship Id="rId26" Type="http://schemas.openxmlformats.org/officeDocument/2006/relationships/hyperlink" Target="https://legislature.maine.gov/statutes/24-A/title24-Asec4207.html" TargetMode="External"/><Relationship Id="rId39" Type="http://schemas.openxmlformats.org/officeDocument/2006/relationships/hyperlink" Target="https://legislature.maine.gov/statutes/24-A/title24-Asec2837-G.html" TargetMode="External"/><Relationship Id="rId3" Type="http://schemas.openxmlformats.org/officeDocument/2006/relationships/webSettings" Target="webSettings.xml"/><Relationship Id="rId21" Type="http://schemas.openxmlformats.org/officeDocument/2006/relationships/hyperlink" Target="https://legislature.maine.gov/statutes/24-A/title24-Asec2735-A.html" TargetMode="External"/><Relationship Id="rId34" Type="http://schemas.openxmlformats.org/officeDocument/2006/relationships/hyperlink" Target="https://legislature.maine.gov/statutes/24-A/title24-Asec2413.html" TargetMode="External"/><Relationship Id="rId42" Type="http://schemas.openxmlformats.org/officeDocument/2006/relationships/hyperlink" Target="https://legislature.maine.gov/statutes/24-A/title24-Asec4234-D.html" TargetMode="External"/><Relationship Id="rId47" Type="http://schemas.openxmlformats.org/officeDocument/2006/relationships/theme" Target="theme/theme1.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809-A.html" TargetMode="External"/><Relationship Id="rId25" Type="http://schemas.openxmlformats.org/officeDocument/2006/relationships/hyperlink" Target="https://legislature.maine.gov/statutes/24-A/title24-Asec2820.html" TargetMode="External"/><Relationship Id="rId33" Type="http://schemas.openxmlformats.org/officeDocument/2006/relationships/hyperlink" Target="https://legislature.maine.gov/statutes/24-A/title24-Asec2828.html" TargetMode="External"/><Relationship Id="rId38" Type="http://schemas.openxmlformats.org/officeDocument/2006/relationships/hyperlink" Target="https://legislature.maine.gov/statutes/24-A/title24-Asec2837-F.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gislature.maine.gov/statutes/24-A/title24-Asec4209.html" TargetMode="External"/><Relationship Id="rId20" Type="http://schemas.openxmlformats.org/officeDocument/2006/relationships/hyperlink" Target="https://legislature.maine.gov/statutes/24-A/title24-Asec2850-B.html" TargetMode="External"/><Relationship Id="rId29" Type="http://schemas.openxmlformats.org/officeDocument/2006/relationships/hyperlink" Target="https://legislature.maine.gov/statutes/24-A/title24-Asec2707-A.html" TargetMode="External"/><Relationship Id="rId41" Type="http://schemas.openxmlformats.org/officeDocument/2006/relationships/hyperlink" Target="https://legislature.maine.gov/statutes/24-A/title24-Asec2745-F.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808-B.html" TargetMode="External"/><Relationship Id="rId32" Type="http://schemas.openxmlformats.org/officeDocument/2006/relationships/hyperlink" Target="https://www.maine.gov/sos/cec/rules/02/031/031c580.doc" TargetMode="External"/><Relationship Id="rId37" Type="http://schemas.openxmlformats.org/officeDocument/2006/relationships/hyperlink" Target="https://legislature.maine.gov/statutes/24-A/title24-Asec4240.html" TargetMode="External"/><Relationship Id="rId40" Type="http://schemas.openxmlformats.org/officeDocument/2006/relationships/hyperlink" Target="https://legislature.maine.gov/statutes/24-A/title24-Asec2745-E.html"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maine.gov/sos/cec/rules/02/031/031c755.doc" TargetMode="External"/><Relationship Id="rId23" Type="http://schemas.openxmlformats.org/officeDocument/2006/relationships/hyperlink" Target="https://legislature.maine.gov/statutes/24-A/title24-Asec2736.html" TargetMode="External"/><Relationship Id="rId28" Type="http://schemas.openxmlformats.org/officeDocument/2006/relationships/hyperlink" Target="https://legislature.maine.gov/statutes/24-A/title24-Asec2818.html" TargetMode="External"/><Relationship Id="rId36" Type="http://schemas.openxmlformats.org/officeDocument/2006/relationships/hyperlink" Target="https://legislature.maine.gov/statutes/24-A/title24-Asec2754.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www.maine.gov/pfr/insurance/themes/insurance/pdf/288.pdf" TargetMode="External"/><Relationship Id="rId31" Type="http://schemas.openxmlformats.org/officeDocument/2006/relationships/hyperlink" Target="https://legislature.maine.gov/statutes/24-A/title24-Asec5016.html" TargetMode="External"/><Relationship Id="rId44" Type="http://schemas.openxmlformats.org/officeDocument/2006/relationships/hyperlink" Target="https://legislature.maine.gov/statutes/24-A/title24-Asec2769.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694.html" TargetMode="External"/><Relationship Id="rId22" Type="http://schemas.openxmlformats.org/officeDocument/2006/relationships/hyperlink" Target="https://legislature.maine.gov/statutes/24-A/title24-Asec4222-B.html" TargetMode="External"/><Relationship Id="rId27" Type="http://schemas.openxmlformats.org/officeDocument/2006/relationships/hyperlink" Target="https://www.maine.gov/sos/cec/rules/02/031/031c191.docx" TargetMode="External"/><Relationship Id="rId30" Type="http://schemas.openxmlformats.org/officeDocument/2006/relationships/hyperlink" Target="https://legislature.maine.gov/statutes/24-A/title24-Asec2847-C.html" TargetMode="External"/><Relationship Id="rId35" Type="http://schemas.openxmlformats.org/officeDocument/2006/relationships/hyperlink" Target="https://legislature.maine.gov/statutes/24-A/title24-Asec2847-E.html" TargetMode="External"/><Relationship Id="rId43" Type="http://schemas.openxmlformats.org/officeDocument/2006/relationships/hyperlink" Target="https://legislature.maine.gov/statutes/24-A/title24-Asec4234-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2051</Words>
  <Characters>11696</Characters>
  <Application>Microsoft Office Word</Application>
  <DocSecurity>0</DocSecurity>
  <Lines>97</Lines>
  <Paragraphs>27</Paragraphs>
  <ScaleCrop>false</ScaleCrop>
  <Company>State of Maine</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H17G-and-H17I-prescription-drug-coverage-only.docx</dc:title>
  <dc:subject/>
  <dc:creator>Maine Bureau of Insurance</dc:creator>
  <cp:keywords/>
  <dc:description/>
  <cp:lastModifiedBy>Jalbert, Kimberly</cp:lastModifiedBy>
  <cp:revision>2</cp:revision>
  <dcterms:created xsi:type="dcterms:W3CDTF">2024-04-19T13:03:00Z</dcterms:created>
  <dcterms:modified xsi:type="dcterms:W3CDTF">2024-04-19T13:03:00Z</dcterms:modified>
</cp:coreProperties>
</file>