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E84C3" w14:textId="6CE9E742" w:rsidR="00B649B7" w:rsidRPr="00C61498" w:rsidRDefault="00B649B7" w:rsidP="00B649B7">
      <w:pPr>
        <w:jc w:val="center"/>
        <w:rPr>
          <w:b/>
          <w:bCs/>
          <w:color w:val="FF0000"/>
          <w:sz w:val="28"/>
          <w:szCs w:val="28"/>
        </w:rPr>
      </w:pPr>
      <w:r w:rsidRPr="001A3767">
        <w:rPr>
          <w:b/>
          <w:bCs/>
          <w:sz w:val="28"/>
          <w:szCs w:val="28"/>
        </w:rPr>
        <w:t>Maine Bureau of Insurance</w:t>
      </w:r>
      <w:r w:rsidRPr="001A3767">
        <w:rPr>
          <w:b/>
          <w:bCs/>
          <w:sz w:val="28"/>
          <w:szCs w:val="28"/>
        </w:rPr>
        <w:br/>
      </w:r>
      <w:r>
        <w:rPr>
          <w:b/>
          <w:bCs/>
          <w:sz w:val="28"/>
          <w:szCs w:val="28"/>
        </w:rPr>
        <w:t xml:space="preserve">Filing </w:t>
      </w:r>
      <w:r w:rsidRPr="001A3767">
        <w:rPr>
          <w:b/>
          <w:bCs/>
          <w:sz w:val="28"/>
          <w:szCs w:val="28"/>
        </w:rPr>
        <w:t>Review Requirements Checklist</w:t>
      </w:r>
      <w:r w:rsidRPr="001A3767">
        <w:rPr>
          <w:b/>
          <w:bCs/>
          <w:sz w:val="28"/>
          <w:szCs w:val="28"/>
        </w:rPr>
        <w:br/>
      </w:r>
      <w:r w:rsidRPr="000A461F">
        <w:rPr>
          <w:b/>
          <w:bCs/>
          <w:sz w:val="28"/>
          <w:szCs w:val="28"/>
        </w:rPr>
        <w:t xml:space="preserve">Excess Stop Loss </w:t>
      </w:r>
      <w:r w:rsidR="00C61498" w:rsidRPr="000A461F">
        <w:rPr>
          <w:b/>
          <w:bCs/>
          <w:sz w:val="28"/>
          <w:szCs w:val="28"/>
        </w:rPr>
        <w:t>– Forms &amp; Rates</w:t>
      </w:r>
    </w:p>
    <w:p w14:paraId="05580303" w14:textId="21EC50A1" w:rsidR="00B649B7" w:rsidRPr="000A461F" w:rsidRDefault="000A461F" w:rsidP="00B649B7">
      <w:pPr>
        <w:jc w:val="center"/>
        <w:rPr>
          <w:b/>
          <w:bCs/>
          <w:color w:val="FF0000"/>
          <w:sz w:val="28"/>
          <w:szCs w:val="28"/>
        </w:rPr>
      </w:pPr>
      <w:r>
        <w:rPr>
          <w:b/>
          <w:bCs/>
          <w:color w:val="FF0000"/>
          <w:sz w:val="28"/>
          <w:szCs w:val="28"/>
        </w:rPr>
        <w:t>Revised 9/2/2021</w:t>
      </w:r>
    </w:p>
    <w:p w14:paraId="1C783939" w14:textId="77777777" w:rsidR="00B649B7" w:rsidRDefault="00B649B7" w:rsidP="00B649B7">
      <w:pPr>
        <w:jc w:val="center"/>
        <w:rPr>
          <w:b/>
          <w:bCs/>
          <w:sz w:val="28"/>
          <w:szCs w:val="28"/>
        </w:rPr>
      </w:pPr>
    </w:p>
    <w:p w14:paraId="4B37FCD9" w14:textId="77777777" w:rsidR="00B649B7" w:rsidRPr="00B966E1" w:rsidRDefault="00B649B7" w:rsidP="00B649B7">
      <w:pPr>
        <w:keepNext/>
        <w:shd w:val="clear" w:color="auto" w:fill="FFFFFF"/>
        <w:jc w:val="center"/>
        <w:outlineLvl w:val="2"/>
        <w:rPr>
          <w:b/>
        </w:rPr>
      </w:pPr>
      <w:r w:rsidRPr="00B966E1">
        <w:rPr>
          <w:b/>
        </w:rPr>
        <w:t xml:space="preserve">Carriers MUST confirm compliance and </w:t>
      </w:r>
      <w:r w:rsidRPr="00B966E1">
        <w:rPr>
          <w:b/>
          <w:snapToGrid w:val="0"/>
        </w:rPr>
        <w:t xml:space="preserve">IDENTIFY the LOCATION (Page number, Section, Paragraph, etc.) of the standard in the form in the last </w:t>
      </w:r>
      <w:r w:rsidRPr="00B966E1">
        <w:rPr>
          <w:b/>
        </w:rPr>
        <w:t xml:space="preserve">column.  If a carrier believes a contract does not have to meet this requirement carriers must </w:t>
      </w:r>
      <w:r w:rsidRPr="00B966E1">
        <w:rPr>
          <w:b/>
          <w:snapToGrid w:val="0"/>
        </w:rPr>
        <w:t xml:space="preserve">EXPLAIN WHY </w:t>
      </w:r>
      <w:r w:rsidRPr="00B966E1">
        <w:rPr>
          <w:b/>
        </w:rPr>
        <w:t>in the last column.</w:t>
      </w:r>
    </w:p>
    <w:p w14:paraId="3DEBF310" w14:textId="77777777" w:rsidR="00B649B7" w:rsidRDefault="00B649B7" w:rsidP="00B649B7"/>
    <w:tbl>
      <w:tblPr>
        <w:tblW w:w="14400" w:type="dxa"/>
        <w:tblInd w:w="-690" w:type="dxa"/>
        <w:tblLayout w:type="fixed"/>
        <w:tblCellMar>
          <w:left w:w="30" w:type="dxa"/>
          <w:right w:w="30" w:type="dxa"/>
        </w:tblCellMar>
        <w:tblLook w:val="0000" w:firstRow="0" w:lastRow="0" w:firstColumn="0" w:lastColumn="0" w:noHBand="0" w:noVBand="0"/>
      </w:tblPr>
      <w:tblGrid>
        <w:gridCol w:w="3780"/>
        <w:gridCol w:w="1980"/>
        <w:gridCol w:w="4860"/>
        <w:gridCol w:w="3780"/>
      </w:tblGrid>
      <w:tr w:rsidR="00B649B7" w14:paraId="10337FFC" w14:textId="77777777" w:rsidTr="00C44179">
        <w:trPr>
          <w:trHeight w:val="705"/>
        </w:trPr>
        <w:tc>
          <w:tcPr>
            <w:tcW w:w="3780" w:type="dxa"/>
            <w:tcBorders>
              <w:top w:val="single" w:sz="6" w:space="0" w:color="auto"/>
              <w:left w:val="single" w:sz="6" w:space="0" w:color="auto"/>
              <w:bottom w:val="single" w:sz="6" w:space="0" w:color="auto"/>
              <w:right w:val="single" w:sz="2" w:space="0" w:color="000000"/>
            </w:tcBorders>
            <w:shd w:val="clear" w:color="auto" w:fill="C6D9F1" w:themeFill="text2" w:themeFillTint="33"/>
          </w:tcPr>
          <w:p w14:paraId="1FD88BAD" w14:textId="77777777" w:rsidR="00B649B7" w:rsidRDefault="00B649B7" w:rsidP="00C44179">
            <w:pPr>
              <w:pStyle w:val="Heading1"/>
              <w:rPr>
                <w:rFonts w:ascii="Times New Roman" w:hAnsi="Times New Roman"/>
                <w:sz w:val="24"/>
              </w:rPr>
            </w:pPr>
            <w:r>
              <w:rPr>
                <w:rFonts w:ascii="Times New Roman" w:hAnsi="Times New Roman"/>
                <w:sz w:val="24"/>
              </w:rPr>
              <w:t>REVIEW REQUIREMENTS</w:t>
            </w:r>
          </w:p>
        </w:tc>
        <w:tc>
          <w:tcPr>
            <w:tcW w:w="1980" w:type="dxa"/>
            <w:tcBorders>
              <w:top w:val="single" w:sz="6" w:space="0" w:color="auto"/>
              <w:left w:val="single" w:sz="2" w:space="0" w:color="000000"/>
              <w:bottom w:val="single" w:sz="6" w:space="0" w:color="auto"/>
              <w:right w:val="single" w:sz="2" w:space="0" w:color="000000"/>
            </w:tcBorders>
            <w:shd w:val="clear" w:color="auto" w:fill="C6D9F1" w:themeFill="text2" w:themeFillTint="33"/>
          </w:tcPr>
          <w:p w14:paraId="51731DAD" w14:textId="77777777" w:rsidR="00B649B7" w:rsidRPr="007631D3" w:rsidRDefault="00B649B7" w:rsidP="00C44179">
            <w:pPr>
              <w:jc w:val="center"/>
              <w:rPr>
                <w:b/>
                <w:snapToGrid w:val="0"/>
                <w:color w:val="000000"/>
              </w:rPr>
            </w:pPr>
            <w:r w:rsidRPr="007631D3">
              <w:rPr>
                <w:b/>
                <w:snapToGrid w:val="0"/>
                <w:color w:val="000000"/>
              </w:rPr>
              <w:t>REFERENCE</w:t>
            </w:r>
          </w:p>
        </w:tc>
        <w:tc>
          <w:tcPr>
            <w:tcW w:w="4860" w:type="dxa"/>
            <w:tcBorders>
              <w:top w:val="single" w:sz="6" w:space="0" w:color="auto"/>
              <w:left w:val="single" w:sz="2" w:space="0" w:color="000000"/>
              <w:bottom w:val="single" w:sz="6" w:space="0" w:color="auto"/>
              <w:right w:val="single" w:sz="2" w:space="0" w:color="000000"/>
            </w:tcBorders>
            <w:shd w:val="clear" w:color="auto" w:fill="C6D9F1" w:themeFill="text2" w:themeFillTint="33"/>
          </w:tcPr>
          <w:p w14:paraId="484647AB" w14:textId="77777777" w:rsidR="00B649B7" w:rsidRDefault="00B649B7" w:rsidP="00C44179">
            <w:pPr>
              <w:pStyle w:val="Heading3"/>
              <w:rPr>
                <w:rFonts w:ascii="Times New Roman" w:hAnsi="Times New Roman"/>
                <w:sz w:val="24"/>
              </w:rPr>
            </w:pPr>
            <w:r>
              <w:rPr>
                <w:rFonts w:ascii="Times New Roman" w:hAnsi="Times New Roman"/>
                <w:sz w:val="24"/>
              </w:rPr>
              <w:t xml:space="preserve">DESCRIPTION OF REVIEW </w:t>
            </w:r>
          </w:p>
          <w:p w14:paraId="4B385272" w14:textId="77777777" w:rsidR="00B649B7" w:rsidRDefault="00B649B7" w:rsidP="00C44179">
            <w:pPr>
              <w:pStyle w:val="Heading3"/>
              <w:rPr>
                <w:rFonts w:ascii="Times New Roman" w:hAnsi="Times New Roman"/>
                <w:sz w:val="24"/>
              </w:rPr>
            </w:pPr>
            <w:r>
              <w:rPr>
                <w:rFonts w:ascii="Times New Roman" w:hAnsi="Times New Roman"/>
                <w:sz w:val="24"/>
              </w:rPr>
              <w:t xml:space="preserve">STANDARDS REQUIREMENTS </w:t>
            </w:r>
          </w:p>
        </w:tc>
        <w:tc>
          <w:tcPr>
            <w:tcW w:w="3780" w:type="dxa"/>
            <w:tcBorders>
              <w:top w:val="single" w:sz="6" w:space="0" w:color="auto"/>
              <w:left w:val="single" w:sz="2" w:space="0" w:color="000000"/>
              <w:bottom w:val="single" w:sz="6" w:space="0" w:color="auto"/>
              <w:right w:val="single" w:sz="2" w:space="0" w:color="000000"/>
            </w:tcBorders>
            <w:shd w:val="clear" w:color="auto" w:fill="C6D9F1" w:themeFill="text2" w:themeFillTint="33"/>
          </w:tcPr>
          <w:p w14:paraId="4ABFCBC3" w14:textId="77777777" w:rsidR="00B649B7" w:rsidRPr="00614DFE" w:rsidRDefault="00B649B7" w:rsidP="00C44179">
            <w:pPr>
              <w:keepNext/>
              <w:jc w:val="center"/>
              <w:outlineLvl w:val="2"/>
              <w:rPr>
                <w:b/>
                <w:snapToGrid w:val="0"/>
              </w:rPr>
            </w:pPr>
            <w:r w:rsidRPr="00614DFE">
              <w:rPr>
                <w:b/>
                <w:snapToGrid w:val="0"/>
              </w:rPr>
              <w:t>CONFIRM COMPLIANCE</w:t>
            </w:r>
          </w:p>
          <w:p w14:paraId="3AF8C458" w14:textId="77777777" w:rsidR="00B649B7" w:rsidRPr="00614DFE" w:rsidRDefault="00B649B7" w:rsidP="00C44179">
            <w:pPr>
              <w:keepNext/>
              <w:jc w:val="center"/>
              <w:outlineLvl w:val="2"/>
              <w:rPr>
                <w:b/>
                <w:snapToGrid w:val="0"/>
              </w:rPr>
            </w:pPr>
            <w:r w:rsidRPr="00614DFE">
              <w:rPr>
                <w:b/>
                <w:snapToGrid w:val="0"/>
              </w:rPr>
              <w:t>AND IDENTIFY LOCATION OF STANDARD IN FILING</w:t>
            </w:r>
          </w:p>
          <w:p w14:paraId="749128E6" w14:textId="77777777" w:rsidR="00B649B7" w:rsidRPr="00614DFE" w:rsidRDefault="00B649B7" w:rsidP="00C44179">
            <w:pPr>
              <w:keepNext/>
              <w:jc w:val="center"/>
              <w:outlineLvl w:val="2"/>
              <w:rPr>
                <w:b/>
                <w:snapToGrid w:val="0"/>
                <w:color w:val="FF0000"/>
              </w:rPr>
            </w:pPr>
            <w:r w:rsidRPr="00614DFE">
              <w:rPr>
                <w:b/>
                <w:snapToGrid w:val="0"/>
                <w:color w:val="FF0000"/>
              </w:rPr>
              <w:t>MUST EXPLAIN IF REQUIREMENT</w:t>
            </w:r>
          </w:p>
          <w:p w14:paraId="7FDB03F3" w14:textId="77777777" w:rsidR="00B649B7" w:rsidRDefault="00B649B7" w:rsidP="00C44179">
            <w:pPr>
              <w:pStyle w:val="Heading3"/>
              <w:rPr>
                <w:rFonts w:ascii="Times New Roman" w:hAnsi="Times New Roman"/>
                <w:sz w:val="24"/>
              </w:rPr>
            </w:pPr>
            <w:r w:rsidRPr="00614DFE">
              <w:rPr>
                <w:rFonts w:ascii="Times New Roman" w:hAnsi="Times New Roman"/>
                <w:snapToGrid/>
                <w:color w:val="FF0000"/>
                <w:sz w:val="24"/>
              </w:rPr>
              <w:t>IS INAPPLICABLE</w:t>
            </w:r>
          </w:p>
        </w:tc>
      </w:tr>
      <w:tr w:rsidR="00B649B7" w14:paraId="79249F81" w14:textId="77777777" w:rsidTr="00985762">
        <w:trPr>
          <w:trHeight w:val="194"/>
        </w:trPr>
        <w:tc>
          <w:tcPr>
            <w:tcW w:w="14400" w:type="dxa"/>
            <w:gridSpan w:val="4"/>
            <w:tcBorders>
              <w:top w:val="single" w:sz="6" w:space="0" w:color="auto"/>
              <w:left w:val="single" w:sz="6" w:space="0" w:color="auto"/>
              <w:bottom w:val="single" w:sz="6" w:space="0" w:color="auto"/>
              <w:right w:val="single" w:sz="2" w:space="0" w:color="000000"/>
            </w:tcBorders>
            <w:shd w:val="clear" w:color="auto" w:fill="F2F2F2" w:themeFill="background1" w:themeFillShade="F2"/>
          </w:tcPr>
          <w:p w14:paraId="22C1A005" w14:textId="77777777" w:rsidR="00B649B7" w:rsidRDefault="00B649B7" w:rsidP="00C44179">
            <w:pPr>
              <w:spacing w:before="240" w:after="240"/>
              <w:rPr>
                <w:b/>
                <w:snapToGrid w:val="0"/>
                <w:color w:val="000000"/>
                <w:sz w:val="18"/>
              </w:rPr>
            </w:pPr>
            <w:r w:rsidRPr="00D8150D">
              <w:rPr>
                <w:b/>
                <w:caps/>
              </w:rPr>
              <w:t>General Submission Requirements</w:t>
            </w:r>
          </w:p>
        </w:tc>
      </w:tr>
      <w:tr w:rsidR="00B649B7" w14:paraId="66E08B43" w14:textId="77777777" w:rsidTr="00C44179">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0D0800D7" w14:textId="77777777" w:rsidR="00B649B7" w:rsidRPr="00881974" w:rsidRDefault="00B649B7" w:rsidP="00C44179">
            <w:pPr>
              <w:rPr>
                <w:color w:val="000000"/>
              </w:rPr>
            </w:pPr>
            <w:r w:rsidRPr="00881974">
              <w:rPr>
                <w:color w:val="000000"/>
              </w:rPr>
              <w:t>Electronic (SERFF) Submission Requirements</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0714FE04" w14:textId="77777777" w:rsidR="00B649B7" w:rsidRPr="00881974" w:rsidRDefault="00F97BD8" w:rsidP="00C44179">
            <w:pPr>
              <w:jc w:val="center"/>
              <w:rPr>
                <w:color w:val="000000"/>
              </w:rPr>
            </w:pPr>
            <w:hyperlink r:id="rId7" w:history="1">
              <w:r w:rsidR="00B649B7" w:rsidRPr="00881974">
                <w:rPr>
                  <w:rStyle w:val="Hyperlink"/>
                </w:rPr>
                <w:t>24-A M.R.S.A. §2412 (2)</w:t>
              </w:r>
            </w:hyperlink>
          </w:p>
          <w:p w14:paraId="4B61A4FC" w14:textId="2BD47680" w:rsidR="00B649B7" w:rsidRPr="00881974" w:rsidRDefault="00F97BD8" w:rsidP="00C44179">
            <w:pPr>
              <w:jc w:val="center"/>
              <w:rPr>
                <w:color w:val="000000"/>
              </w:rPr>
            </w:pPr>
            <w:hyperlink r:id="rId8" w:history="1">
              <w:r w:rsidR="00B649B7" w:rsidRPr="00881974">
                <w:rPr>
                  <w:rStyle w:val="Hyperlink"/>
                </w:rPr>
                <w:t>Bulletin 360</w:t>
              </w:r>
            </w:hyperlink>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7C0346F6" w14:textId="77777777" w:rsidR="00B649B7" w:rsidRPr="00881974" w:rsidRDefault="00B649B7" w:rsidP="00C44179">
            <w:pPr>
              <w:rPr>
                <w:color w:val="000000"/>
              </w:rPr>
            </w:pPr>
            <w:r w:rsidRPr="00881974">
              <w:rPr>
                <w:color w:val="000000"/>
              </w:rPr>
              <w:t xml:space="preserve">All filings must be filed electronically, using the </w:t>
            </w:r>
            <w:r w:rsidRPr="00881974">
              <w:rPr>
                <w:color w:val="000000"/>
                <w:u w:val="single"/>
              </w:rPr>
              <w:t>NAIC</w:t>
            </w:r>
            <w:r w:rsidRPr="00881974">
              <w:rPr>
                <w:color w:val="000000"/>
              </w:rPr>
              <w:t xml:space="preserve"> System for Electronic Rate and Form Filing (SERFF). See </w:t>
            </w:r>
            <w:hyperlink r:id="rId9" w:history="1">
              <w:r w:rsidRPr="00881974">
                <w:rPr>
                  <w:rStyle w:val="Hyperlink"/>
                </w:rPr>
                <w:t>http://www.serff.com</w:t>
              </w:r>
            </w:hyperlink>
            <w:r w:rsidRPr="00881974">
              <w:rPr>
                <w:color w:val="000000"/>
              </w:rPr>
              <w:t>.</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24C64F65" w14:textId="77777777" w:rsidR="00B649B7" w:rsidRDefault="00B649B7" w:rsidP="00C44179">
            <w:pPr>
              <w:rPr>
                <w:b/>
                <w:snapToGrid w:val="0"/>
                <w:color w:val="000000"/>
                <w:sz w:val="18"/>
              </w:rPr>
            </w:pPr>
          </w:p>
        </w:tc>
      </w:tr>
      <w:tr w:rsidR="00B649B7" w14:paraId="42EC5C86" w14:textId="77777777" w:rsidTr="00C44179">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4F4B84AC" w14:textId="77777777" w:rsidR="00B649B7" w:rsidRPr="00881974" w:rsidRDefault="00B649B7" w:rsidP="00C44179">
            <w:pPr>
              <w:rPr>
                <w:color w:val="000000"/>
              </w:rPr>
            </w:pPr>
            <w:r w:rsidRPr="00881974">
              <w:rPr>
                <w:color w:val="000000"/>
              </w:rPr>
              <w:t>FILING FEES</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F2D9394" w14:textId="77777777" w:rsidR="00B649B7" w:rsidRPr="00881974" w:rsidRDefault="00F97BD8" w:rsidP="00C44179">
            <w:pPr>
              <w:jc w:val="center"/>
              <w:rPr>
                <w:color w:val="000000"/>
              </w:rPr>
            </w:pPr>
            <w:hyperlink r:id="rId10" w:history="1">
              <w:r w:rsidR="00B649B7" w:rsidRPr="00881974">
                <w:rPr>
                  <w:rStyle w:val="Hyperlink"/>
                </w:rPr>
                <w:t>24-A M.R.S.A. §601(17)</w:t>
              </w:r>
            </w:hyperlink>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3283471E" w14:textId="77777777" w:rsidR="00B649B7" w:rsidRPr="00881974" w:rsidRDefault="00B649B7" w:rsidP="00C44179">
            <w:pPr>
              <w:rPr>
                <w:color w:val="000000"/>
              </w:rPr>
            </w:pPr>
            <w:r w:rsidRPr="00881974">
              <w:rPr>
                <w:color w:val="000000"/>
              </w:rPr>
              <w:t>$20.00 for Rate filings, rating rules filings, insurance policy, forms, riders, endorsements and certificates. See General Instructions page in SERFF for additional information on filing fee structure.</w:t>
            </w:r>
          </w:p>
          <w:p w14:paraId="714C2622" w14:textId="77777777" w:rsidR="00B649B7" w:rsidRPr="00881974" w:rsidRDefault="00B649B7" w:rsidP="00C44179">
            <w:pPr>
              <w:rPr>
                <w:color w:val="000000"/>
              </w:rPr>
            </w:pPr>
            <w:r w:rsidRPr="00881974">
              <w:rPr>
                <w:color w:val="000000"/>
              </w:rPr>
              <w:t>Filing fees must be submitted by EFT in SERFF at the time of submission of the filing.</w:t>
            </w:r>
          </w:p>
          <w:p w14:paraId="115FD732" w14:textId="77777777" w:rsidR="00B649B7" w:rsidRPr="00881974" w:rsidRDefault="00B649B7" w:rsidP="00C44179">
            <w:pPr>
              <w:rPr>
                <w:color w:val="000000"/>
              </w:rPr>
            </w:pPr>
            <w:r w:rsidRPr="00881974">
              <w:rPr>
                <w:color w:val="000000"/>
              </w:rPr>
              <w:t>All filings require a filing fee unless specifically excluded per 24-A M.R.S.A. §4222(1), and/or are a required annual report.</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24CF61EC" w14:textId="77777777" w:rsidR="00B649B7" w:rsidRDefault="00B649B7" w:rsidP="00C44179">
            <w:pPr>
              <w:rPr>
                <w:b/>
                <w:snapToGrid w:val="0"/>
                <w:color w:val="000000"/>
                <w:sz w:val="18"/>
              </w:rPr>
            </w:pPr>
          </w:p>
        </w:tc>
      </w:tr>
      <w:tr w:rsidR="00B649B7" w14:paraId="4048FE4F" w14:textId="77777777" w:rsidTr="00C44179">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00A64698" w14:textId="77777777" w:rsidR="00B649B7" w:rsidRPr="00881974" w:rsidRDefault="00B649B7" w:rsidP="00C44179">
            <w:pPr>
              <w:rPr>
                <w:color w:val="000000"/>
              </w:rPr>
            </w:pPr>
            <w:r w:rsidRPr="00881974">
              <w:rPr>
                <w:color w:val="000000"/>
              </w:rPr>
              <w:t>Grounds for disapproval</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05EED465" w14:textId="77777777" w:rsidR="00B649B7" w:rsidRPr="00881974" w:rsidRDefault="00F97BD8" w:rsidP="00C44179">
            <w:pPr>
              <w:jc w:val="center"/>
              <w:rPr>
                <w:color w:val="000000"/>
              </w:rPr>
            </w:pPr>
            <w:hyperlink r:id="rId11" w:history="1">
              <w:r w:rsidR="00B649B7" w:rsidRPr="00881974">
                <w:rPr>
                  <w:rStyle w:val="Hyperlink"/>
                </w:rPr>
                <w:t>24-A M.R.S.A. §2413</w:t>
              </w:r>
            </w:hyperlink>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3656C963" w14:textId="77777777" w:rsidR="00B649B7" w:rsidRPr="00881974" w:rsidRDefault="00B649B7" w:rsidP="00C44179">
            <w:pPr>
              <w:rPr>
                <w:color w:val="000000"/>
              </w:rPr>
            </w:pPr>
            <w:r w:rsidRPr="00881974">
              <w:rPr>
                <w:color w:val="000000"/>
              </w:rPr>
              <w:t>Seven categories of the grounds for disapproving a filing.</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3A789DC2" w14:textId="77777777" w:rsidR="00B649B7" w:rsidRDefault="00B649B7" w:rsidP="00C44179">
            <w:pPr>
              <w:rPr>
                <w:b/>
                <w:snapToGrid w:val="0"/>
                <w:color w:val="000000"/>
                <w:sz w:val="18"/>
              </w:rPr>
            </w:pPr>
          </w:p>
        </w:tc>
      </w:tr>
      <w:tr w:rsidR="00B649B7" w14:paraId="330BE9C4" w14:textId="77777777" w:rsidTr="00C44179">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4B50E694" w14:textId="77777777" w:rsidR="00B649B7" w:rsidRPr="00881974" w:rsidRDefault="00B649B7" w:rsidP="00C44179">
            <w:pPr>
              <w:rPr>
                <w:color w:val="000000"/>
              </w:rPr>
            </w:pPr>
            <w:r w:rsidRPr="00881974">
              <w:rPr>
                <w:color w:val="000000"/>
              </w:rPr>
              <w:t>Readability</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79AA9959" w14:textId="77777777" w:rsidR="00B649B7" w:rsidRPr="00881974" w:rsidRDefault="00F97BD8" w:rsidP="00C44179">
            <w:pPr>
              <w:jc w:val="center"/>
              <w:rPr>
                <w:color w:val="000000"/>
              </w:rPr>
            </w:pPr>
            <w:hyperlink r:id="rId12" w:history="1">
              <w:r w:rsidR="00B649B7" w:rsidRPr="00881974">
                <w:rPr>
                  <w:rStyle w:val="Hyperlink"/>
                </w:rPr>
                <w:t>24-A M.R.S.A. §2441</w:t>
              </w:r>
            </w:hyperlink>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20C9E684" w14:textId="3A04B338" w:rsidR="00B649B7" w:rsidRPr="00881974" w:rsidRDefault="00B649B7" w:rsidP="00C44179">
            <w:pPr>
              <w:rPr>
                <w:color w:val="000000"/>
              </w:rPr>
            </w:pPr>
            <w:r w:rsidRPr="00881974">
              <w:rPr>
                <w:color w:val="000000"/>
              </w:rPr>
              <w:t xml:space="preserve">Minimum of 50.  Riders, endorsements, applications all must be scored. They may be </w:t>
            </w:r>
            <w:r w:rsidRPr="00881974">
              <w:rPr>
                <w:color w:val="000000"/>
              </w:rPr>
              <w:lastRenderedPageBreak/>
              <w:t xml:space="preserve">scored either individually or in conjunction with the policy/certificate to which they will be attached. </w:t>
            </w:r>
            <w:r w:rsidRPr="00F7494C">
              <w:rPr>
                <w:color w:val="000000"/>
              </w:rPr>
              <w:t>Exceptions:</w:t>
            </w:r>
            <w:r w:rsidRPr="00881974">
              <w:rPr>
                <w:color w:val="000000"/>
              </w:rPr>
              <w:t xml:space="preserve"> Federally mandated forms/language, Groups &gt; 1000, Group Annuities as funding vehicles.  Scores must be entered on form schedule tab in SERFF.</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7C9D211A" w14:textId="77777777" w:rsidR="00B649B7" w:rsidRDefault="00B649B7" w:rsidP="00C44179">
            <w:pPr>
              <w:rPr>
                <w:b/>
                <w:snapToGrid w:val="0"/>
                <w:color w:val="000000"/>
                <w:sz w:val="18"/>
              </w:rPr>
            </w:pPr>
          </w:p>
        </w:tc>
      </w:tr>
      <w:tr w:rsidR="00B649B7" w14:paraId="5466E72F" w14:textId="77777777" w:rsidTr="00C44179">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6B13DFD7" w14:textId="77777777" w:rsidR="00B649B7" w:rsidRPr="00881974" w:rsidRDefault="00B649B7" w:rsidP="00C44179">
            <w:pPr>
              <w:rPr>
                <w:color w:val="000000"/>
              </w:rPr>
            </w:pPr>
            <w:r w:rsidRPr="00881974">
              <w:rPr>
                <w:color w:val="000000"/>
              </w:rPr>
              <w:t>Variability of Language</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747F1A90" w14:textId="77777777" w:rsidR="00B649B7" w:rsidRPr="00881974" w:rsidRDefault="00F97BD8" w:rsidP="00C44179">
            <w:pPr>
              <w:jc w:val="center"/>
              <w:rPr>
                <w:color w:val="000000"/>
              </w:rPr>
            </w:pPr>
            <w:hyperlink r:id="rId13" w:history="1">
              <w:r w:rsidR="00B649B7" w:rsidRPr="00881974">
                <w:rPr>
                  <w:rStyle w:val="Hyperlink"/>
                </w:rPr>
                <w:t>24-A M.R.S.A.</w:t>
              </w:r>
              <w:r w:rsidR="00B649B7" w:rsidRPr="00881974">
                <w:rPr>
                  <w:color w:val="3366CC"/>
                  <w:u w:val="single"/>
                </w:rPr>
                <w:br/>
              </w:r>
              <w:r w:rsidR="00B649B7" w:rsidRPr="00881974">
                <w:rPr>
                  <w:rStyle w:val="Hyperlink"/>
                </w:rPr>
                <w:t>§2412</w:t>
              </w:r>
            </w:hyperlink>
            <w:r w:rsidR="00B649B7" w:rsidRPr="00881974">
              <w:rPr>
                <w:color w:val="000000"/>
              </w:rPr>
              <w:t xml:space="preserve"> </w:t>
            </w:r>
            <w:r w:rsidR="00B649B7" w:rsidRPr="00881974">
              <w:rPr>
                <w:color w:val="000000"/>
              </w:rPr>
              <w:br/>
            </w:r>
            <w:r w:rsidR="00B649B7" w:rsidRPr="00881974">
              <w:rPr>
                <w:color w:val="000000"/>
              </w:rPr>
              <w:br/>
            </w:r>
            <w:r w:rsidR="00B649B7" w:rsidRPr="00881974">
              <w:rPr>
                <w:rStyle w:val="Strong"/>
                <w:color w:val="000000"/>
              </w:rPr>
              <w:t> </w:t>
            </w:r>
            <w:hyperlink r:id="rId14" w:history="1">
              <w:r w:rsidR="00B649B7" w:rsidRPr="00881974">
                <w:rPr>
                  <w:rStyle w:val="Hyperlink"/>
                </w:rPr>
                <w:t>§2413</w:t>
              </w:r>
            </w:hyperlink>
            <w:r w:rsidR="00B649B7" w:rsidRPr="00881974">
              <w:rPr>
                <w:rStyle w:val="Strong"/>
                <w:color w:val="000000"/>
              </w:rPr>
              <w:t xml:space="preserve"> </w:t>
            </w: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4B2AF009" w14:textId="77777777" w:rsidR="00B649B7" w:rsidRPr="00881974" w:rsidRDefault="00B649B7" w:rsidP="00C44179">
            <w:pPr>
              <w:rPr>
                <w:color w:val="000000"/>
              </w:rPr>
            </w:pPr>
            <w:r w:rsidRPr="00881974">
              <w:rPr>
                <w:color w:val="00000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49476E7F" w14:textId="77777777" w:rsidR="00B649B7" w:rsidRDefault="00B649B7" w:rsidP="00C44179">
            <w:pPr>
              <w:rPr>
                <w:b/>
                <w:snapToGrid w:val="0"/>
                <w:color w:val="000000"/>
                <w:sz w:val="18"/>
              </w:rPr>
            </w:pPr>
          </w:p>
        </w:tc>
      </w:tr>
      <w:tr w:rsidR="00B649B7" w14:paraId="7F63A9F7" w14:textId="77777777" w:rsidTr="00985762">
        <w:trPr>
          <w:trHeight w:val="194"/>
        </w:trPr>
        <w:tc>
          <w:tcPr>
            <w:tcW w:w="14400" w:type="dxa"/>
            <w:gridSpan w:val="4"/>
            <w:tcBorders>
              <w:top w:val="single" w:sz="6" w:space="0" w:color="auto"/>
              <w:left w:val="single" w:sz="6" w:space="0" w:color="auto"/>
              <w:bottom w:val="single" w:sz="6" w:space="0" w:color="auto"/>
              <w:right w:val="single" w:sz="2" w:space="0" w:color="000000"/>
            </w:tcBorders>
            <w:shd w:val="clear" w:color="auto" w:fill="F2F2F2" w:themeFill="background1" w:themeFillShade="F2"/>
          </w:tcPr>
          <w:p w14:paraId="0ABFE93E" w14:textId="77777777" w:rsidR="00B649B7" w:rsidRDefault="00B649B7" w:rsidP="00C44179">
            <w:pPr>
              <w:spacing w:before="240" w:after="240"/>
              <w:rPr>
                <w:b/>
                <w:snapToGrid w:val="0"/>
                <w:color w:val="000000"/>
                <w:sz w:val="18"/>
              </w:rPr>
            </w:pPr>
            <w:r w:rsidRPr="00D8150D">
              <w:rPr>
                <w:b/>
                <w:caps/>
              </w:rPr>
              <w:t xml:space="preserve">General </w:t>
            </w:r>
            <w:r>
              <w:rPr>
                <w:b/>
                <w:caps/>
              </w:rPr>
              <w:t>application provisions/requirements</w:t>
            </w:r>
          </w:p>
        </w:tc>
      </w:tr>
      <w:tr w:rsidR="00B649B7" w14:paraId="725FF02F" w14:textId="77777777" w:rsidTr="00C44179">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50BC99BD" w14:textId="77777777" w:rsidR="00B649B7" w:rsidRDefault="00B649B7" w:rsidP="00C44179">
            <w:pPr>
              <w:pStyle w:val="NormalWeb"/>
              <w:spacing w:line="180" w:lineRule="atLeast"/>
            </w:pPr>
            <w:r>
              <w:t xml:space="preserve">Fraud warning </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6E62BA9A" w14:textId="77777777" w:rsidR="00B649B7" w:rsidRDefault="00F97BD8" w:rsidP="00C44179">
            <w:pPr>
              <w:pStyle w:val="NormalWeb"/>
              <w:spacing w:line="180" w:lineRule="atLeast"/>
              <w:jc w:val="center"/>
            </w:pPr>
            <w:hyperlink r:id="rId15" w:history="1">
              <w:r w:rsidR="00B649B7" w:rsidRPr="00A80324">
                <w:rPr>
                  <w:rStyle w:val="Hyperlink"/>
                </w:rPr>
                <w:t>24-A M.R.S.A. §2186</w:t>
              </w:r>
            </w:hyperlink>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5C9DA912" w14:textId="1C5515FC" w:rsidR="00B649B7" w:rsidRDefault="00B649B7" w:rsidP="00C44179">
            <w:pPr>
              <w:pStyle w:val="NormalWeb"/>
              <w:spacing w:line="180" w:lineRule="atLeast"/>
            </w:pPr>
            <w:r>
              <w:t xml:space="preserve">All applications must contain the following statement, or similar statement: "It is a crime to knowingly provide false, incomplete or misleading information to an insurance company for the purpose of defrauding the company. Penalties may include imprisonment, fines or a denial of insurance benefits."  </w:t>
            </w:r>
            <w:r w:rsidR="007344C8">
              <w:t>Except for reinsurers.</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276BEC96" w14:textId="77777777" w:rsidR="00B649B7" w:rsidRDefault="00B649B7" w:rsidP="00C44179">
            <w:pPr>
              <w:rPr>
                <w:b/>
                <w:snapToGrid w:val="0"/>
                <w:color w:val="000000"/>
                <w:sz w:val="18"/>
              </w:rPr>
            </w:pPr>
          </w:p>
        </w:tc>
      </w:tr>
      <w:tr w:rsidR="00583C5F" w:rsidRPr="00D05D7B" w14:paraId="6AA56BFB" w14:textId="77777777" w:rsidTr="00985762">
        <w:trPr>
          <w:trHeight w:val="194"/>
        </w:trPr>
        <w:tc>
          <w:tcPr>
            <w:tcW w:w="14400" w:type="dxa"/>
            <w:gridSpan w:val="4"/>
            <w:tcBorders>
              <w:top w:val="single" w:sz="6" w:space="0" w:color="auto"/>
              <w:left w:val="single" w:sz="6" w:space="0" w:color="auto"/>
              <w:bottom w:val="single" w:sz="6" w:space="0" w:color="auto"/>
              <w:right w:val="single" w:sz="2" w:space="0" w:color="000000"/>
            </w:tcBorders>
            <w:shd w:val="clear" w:color="auto" w:fill="F2F2F2" w:themeFill="background1" w:themeFillShade="F2"/>
          </w:tcPr>
          <w:p w14:paraId="0A1F379E" w14:textId="061F97F0" w:rsidR="00583C5F" w:rsidRPr="00583C5F" w:rsidRDefault="00583C5F" w:rsidP="00583C5F">
            <w:pPr>
              <w:spacing w:before="240" w:after="240"/>
              <w:rPr>
                <w:b/>
                <w:bCs/>
                <w:snapToGrid w:val="0"/>
                <w:color w:val="000000"/>
                <w:sz w:val="18"/>
              </w:rPr>
            </w:pPr>
            <w:r w:rsidRPr="00583C5F">
              <w:rPr>
                <w:b/>
                <w:bCs/>
              </w:rPr>
              <w:t>GENERAL PROVISION REQUIREMENTS</w:t>
            </w:r>
          </w:p>
        </w:tc>
      </w:tr>
      <w:tr w:rsidR="00C5111B" w:rsidRPr="008F50CE" w14:paraId="280CB444" w14:textId="77777777" w:rsidTr="00C5111B">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672C763D" w14:textId="77777777" w:rsidR="00C5111B" w:rsidRPr="00C5111B" w:rsidRDefault="00C5111B" w:rsidP="00C5111B">
            <w:pPr>
              <w:pStyle w:val="NormalWeb"/>
              <w:spacing w:line="180" w:lineRule="atLeast"/>
            </w:pPr>
            <w:r w:rsidRPr="00C5111B">
              <w:t>Actuarial Certification</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2FC0FE3E" w14:textId="77777777" w:rsidR="00C5111B" w:rsidRPr="00C5111B" w:rsidRDefault="00F97BD8" w:rsidP="00C5111B">
            <w:pPr>
              <w:pStyle w:val="NormalWeb"/>
              <w:spacing w:line="180" w:lineRule="atLeast"/>
            </w:pPr>
            <w:hyperlink r:id="rId16" w:history="1">
              <w:r w:rsidR="00C5111B" w:rsidRPr="00C5111B">
                <w:rPr>
                  <w:rStyle w:val="Hyperlink"/>
                </w:rPr>
                <w:t>Rule 135 Section 6</w:t>
              </w:r>
            </w:hyperlink>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9E66293" w14:textId="77777777" w:rsidR="00C5111B" w:rsidRPr="00C5111B" w:rsidRDefault="00C5111B" w:rsidP="00C5111B">
            <w:pPr>
              <w:pStyle w:val="NormalWeb"/>
              <w:spacing w:line="180" w:lineRule="atLeast"/>
            </w:pPr>
            <w:r w:rsidRPr="00C5111B">
              <w:t xml:space="preserve">An insurer that has issued or renewed an employee benefit excess insurance policy covering a group health plan at any time during a calendar year must file with the Superintendent on or before April 1st of the following year an actuarial certification in a form specified by the Superintendent, certifying that the insurer is in compliance with this rule.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366050E8" w14:textId="77777777" w:rsidR="00C5111B" w:rsidRPr="008F50CE" w:rsidRDefault="00C5111B" w:rsidP="00C5111B">
            <w:pPr>
              <w:rPr>
                <w:b/>
                <w:snapToGrid w:val="0"/>
                <w:color w:val="000000"/>
                <w:sz w:val="18"/>
              </w:rPr>
            </w:pPr>
          </w:p>
        </w:tc>
      </w:tr>
      <w:tr w:rsidR="00C5111B" w:rsidRPr="008F50CE" w14:paraId="29D119C6" w14:textId="77777777" w:rsidTr="00C5111B">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0A6C6255" w14:textId="77777777" w:rsidR="00C5111B" w:rsidRPr="00C5111B" w:rsidRDefault="00C5111B" w:rsidP="00C5111B">
            <w:pPr>
              <w:pStyle w:val="NormalWeb"/>
              <w:spacing w:line="180" w:lineRule="atLeast"/>
            </w:pPr>
            <w:r w:rsidRPr="00C5111B">
              <w:lastRenderedPageBreak/>
              <w:t>Annual Limit; Exclusions</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7B05113F" w14:textId="77777777" w:rsidR="00C5111B" w:rsidRPr="00C5111B" w:rsidRDefault="00F97BD8" w:rsidP="00C5111B">
            <w:pPr>
              <w:pStyle w:val="NormalWeb"/>
              <w:spacing w:line="180" w:lineRule="atLeast"/>
              <w:jc w:val="center"/>
            </w:pPr>
            <w:hyperlink r:id="rId17" w:history="1">
              <w:r w:rsidR="00C5111B" w:rsidRPr="00C5111B">
                <w:rPr>
                  <w:rStyle w:val="Hyperlink"/>
                </w:rPr>
                <w:t>Rule 135 Section 5(4)</w:t>
              </w:r>
            </w:hyperlink>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0C738AD6" w14:textId="77777777" w:rsidR="00C5111B" w:rsidRPr="00E77A41" w:rsidRDefault="00C5111B" w:rsidP="00C5111B">
            <w:pPr>
              <w:pStyle w:val="NormalWeb"/>
              <w:spacing w:line="180" w:lineRule="atLeast"/>
            </w:pPr>
            <w:r w:rsidRPr="008F50CE">
              <w:t xml:space="preserve">If an employee benefit excess insurance policy covering a group health plan has an annual limit on coverage, or an exclusion applying to claims that are covered by the employer’s benefit plan, the insurer must provide the employer with a disclosure notice explaining that the employer has unlimited responsibility for paying any claims that are above the annual limit of the excess insurance policy or are excluded from reimbursement by the excess policy.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47A1EB6A" w14:textId="77777777" w:rsidR="00C5111B" w:rsidRPr="008F50CE" w:rsidRDefault="00C5111B" w:rsidP="00C5111B">
            <w:pPr>
              <w:rPr>
                <w:b/>
                <w:snapToGrid w:val="0"/>
                <w:color w:val="000000"/>
                <w:sz w:val="18"/>
              </w:rPr>
            </w:pPr>
          </w:p>
        </w:tc>
      </w:tr>
      <w:tr w:rsidR="00C5111B" w:rsidRPr="008F50CE" w14:paraId="714B871A" w14:textId="77777777" w:rsidTr="00C5111B">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55D699B8" w14:textId="77777777" w:rsidR="00C5111B" w:rsidRPr="00D05D7B" w:rsidRDefault="00C5111B" w:rsidP="00C5111B">
            <w:pPr>
              <w:pStyle w:val="NormalWeb"/>
              <w:spacing w:line="180" w:lineRule="atLeast"/>
            </w:pPr>
            <w:r w:rsidRPr="00D05D7B">
              <w:t xml:space="preserve">Continuity of coverage </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24D40B0D" w14:textId="77777777" w:rsidR="00C5111B" w:rsidRPr="00C5111B" w:rsidRDefault="00C5111B" w:rsidP="00C5111B">
            <w:pPr>
              <w:pStyle w:val="NormalWeb"/>
              <w:spacing w:line="180" w:lineRule="atLeast"/>
              <w:jc w:val="center"/>
              <w:rPr>
                <w:rStyle w:val="Hyperlink"/>
              </w:rPr>
            </w:pPr>
            <w:r w:rsidRPr="00C5111B">
              <w:fldChar w:fldCharType="begin"/>
            </w:r>
            <w:r w:rsidRPr="00C5111B">
              <w:instrText>HYPERLINK "http://legislature.maine.gov/statutes/24-A/title24-Asec2849.html"</w:instrText>
            </w:r>
            <w:r w:rsidRPr="00C5111B">
              <w:fldChar w:fldCharType="separate"/>
            </w:r>
            <w:r w:rsidRPr="00C5111B">
              <w:rPr>
                <w:rStyle w:val="Hyperlink"/>
              </w:rPr>
              <w:t>24-A M.R.S.A.</w:t>
            </w:r>
          </w:p>
          <w:p w14:paraId="4A7AC69C" w14:textId="0F82F887" w:rsidR="00C5111B" w:rsidRPr="00D05D7B" w:rsidRDefault="00C5111B" w:rsidP="00C5111B">
            <w:pPr>
              <w:pStyle w:val="NormalWeb"/>
              <w:spacing w:line="180" w:lineRule="atLeast"/>
              <w:jc w:val="center"/>
            </w:pPr>
            <w:r w:rsidRPr="00C5111B">
              <w:rPr>
                <w:rStyle w:val="Hyperlink"/>
              </w:rPr>
              <w:t>§2849</w:t>
            </w:r>
            <w:r w:rsidRPr="00C5111B">
              <w:fldChar w:fldCharType="end"/>
            </w:r>
            <w:r w:rsidRPr="00D05D7B">
              <w:br/>
            </w:r>
            <w:hyperlink r:id="rId18" w:history="1">
              <w:r w:rsidRPr="00C5111B">
                <w:rPr>
                  <w:rStyle w:val="Hyperlink"/>
                </w:rPr>
                <w:t>§2849-B(7)</w:t>
              </w:r>
            </w:hyperlink>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63222583" w14:textId="77777777" w:rsidR="00C5111B" w:rsidRPr="00D05D7B" w:rsidRDefault="00C5111B" w:rsidP="00C5111B">
            <w:pPr>
              <w:pStyle w:val="NormalWeb"/>
              <w:spacing w:line="180" w:lineRule="atLeast"/>
            </w:pPr>
            <w:r w:rsidRPr="00D05D7B">
              <w:t xml:space="preserve">Must certify in the cover letter and/or filing description that the underlying plan will comply with Maine’s continuity law.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30060070" w14:textId="77777777" w:rsidR="00C5111B" w:rsidRPr="008F50CE" w:rsidRDefault="00C5111B" w:rsidP="00C5111B">
            <w:pPr>
              <w:rPr>
                <w:b/>
                <w:snapToGrid w:val="0"/>
                <w:color w:val="000000"/>
                <w:sz w:val="18"/>
              </w:rPr>
            </w:pPr>
          </w:p>
        </w:tc>
      </w:tr>
      <w:tr w:rsidR="00C5111B" w:rsidRPr="008F50CE" w14:paraId="4D429C3A" w14:textId="77777777" w:rsidTr="00C5111B">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798AD60B" w14:textId="77777777" w:rsidR="00C5111B" w:rsidRPr="00D05D7B" w:rsidRDefault="00C5111B" w:rsidP="00C5111B">
            <w:pPr>
              <w:pStyle w:val="NormalWeb"/>
              <w:spacing w:line="180" w:lineRule="atLeast"/>
            </w:pPr>
            <w:r w:rsidRPr="00D05D7B">
              <w:t xml:space="preserve">Disclosure authorization requirements </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5E426FE3" w14:textId="77777777" w:rsidR="00C5111B" w:rsidRPr="00C5111B" w:rsidRDefault="00C5111B" w:rsidP="00C5111B">
            <w:pPr>
              <w:pStyle w:val="NormalWeb"/>
              <w:spacing w:line="180" w:lineRule="atLeast"/>
              <w:jc w:val="center"/>
              <w:rPr>
                <w:rStyle w:val="Hyperlink"/>
              </w:rPr>
            </w:pPr>
            <w:r w:rsidRPr="00C5111B">
              <w:fldChar w:fldCharType="begin"/>
            </w:r>
            <w:r w:rsidRPr="00C5111B">
              <w:instrText xml:space="preserve"> HYPERLINK "http://legislature.maine.gov/statutes/24-A/title24-Asec2208.html" </w:instrText>
            </w:r>
            <w:r w:rsidRPr="00C5111B">
              <w:fldChar w:fldCharType="separate"/>
            </w:r>
            <w:r w:rsidRPr="00C5111B">
              <w:rPr>
                <w:rStyle w:val="Hyperlink"/>
              </w:rPr>
              <w:t>24-A M.R.S.A</w:t>
            </w:r>
          </w:p>
          <w:p w14:paraId="4FE746BB" w14:textId="3FDA076D" w:rsidR="00C5111B" w:rsidRPr="00D05D7B" w:rsidRDefault="00C5111B" w:rsidP="003548E2">
            <w:pPr>
              <w:pStyle w:val="NormalWeb"/>
              <w:spacing w:line="180" w:lineRule="atLeast"/>
              <w:jc w:val="center"/>
            </w:pPr>
            <w:r w:rsidRPr="00C5111B">
              <w:rPr>
                <w:rStyle w:val="Hyperlink"/>
              </w:rPr>
              <w:t>§2208</w:t>
            </w:r>
            <w:r w:rsidRPr="00C5111B">
              <w:fldChar w:fldCharType="end"/>
            </w:r>
            <w:r w:rsidRPr="00C5111B">
              <w:br/>
            </w:r>
            <w:r w:rsidR="003548E2">
              <w:br/>
            </w:r>
            <w:hyperlink r:id="rId19" w:history="1">
              <w:r w:rsidRPr="00C5111B">
                <w:rPr>
                  <w:rStyle w:val="Hyperlink"/>
                </w:rPr>
                <w:t>§2215</w:t>
              </w:r>
            </w:hyperlink>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40082F1A" w14:textId="2A5BAC21" w:rsidR="00C5111B" w:rsidRPr="00D05D7B" w:rsidRDefault="00C5111B" w:rsidP="00C5111B">
            <w:pPr>
              <w:pStyle w:val="NormalWeb"/>
              <w:spacing w:line="180" w:lineRule="atLeast"/>
            </w:pPr>
            <w:r w:rsidRPr="00D05D7B">
              <w:t>Must certify in the cover letter and/or filing description that the underlying plan will comply with the disclosure and authorization requirements.</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03C8FF" w14:textId="77777777" w:rsidR="00C5111B" w:rsidRPr="008F50CE" w:rsidRDefault="00C5111B" w:rsidP="00C5111B">
            <w:pPr>
              <w:rPr>
                <w:b/>
                <w:snapToGrid w:val="0"/>
                <w:color w:val="000000"/>
                <w:sz w:val="18"/>
              </w:rPr>
            </w:pPr>
          </w:p>
        </w:tc>
      </w:tr>
      <w:tr w:rsidR="00C5111B" w:rsidRPr="008F50CE" w14:paraId="21EDCE39" w14:textId="77777777" w:rsidTr="00C5111B">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0F7042C0" w14:textId="77777777" w:rsidR="00C5111B" w:rsidRPr="00C5111B" w:rsidRDefault="00C5111B" w:rsidP="00C5111B">
            <w:pPr>
              <w:pStyle w:val="NormalWeb"/>
              <w:spacing w:line="180" w:lineRule="atLeast"/>
            </w:pPr>
            <w:r w:rsidRPr="00C5111B">
              <w:t>HIV Discrimination</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60BD85E2" w14:textId="77777777" w:rsidR="00C5111B" w:rsidRPr="00C5111B" w:rsidRDefault="00F97BD8" w:rsidP="00C5111B">
            <w:pPr>
              <w:pStyle w:val="NormalWeb"/>
              <w:spacing w:line="180" w:lineRule="atLeast"/>
              <w:jc w:val="center"/>
            </w:pPr>
            <w:hyperlink r:id="rId20" w:history="1">
              <w:r w:rsidR="00C5111B" w:rsidRPr="00C5111B">
                <w:rPr>
                  <w:rStyle w:val="Hyperlink"/>
                </w:rPr>
                <w:t>24-A M.R.S. § 2452(1)</w:t>
              </w:r>
            </w:hyperlink>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61C6098A" w14:textId="77777777" w:rsidR="00C5111B" w:rsidRPr="008F50CE" w:rsidRDefault="00C5111B" w:rsidP="00C5111B">
            <w:pPr>
              <w:pStyle w:val="NormalWeb"/>
              <w:spacing w:line="180" w:lineRule="atLeast"/>
            </w:pPr>
            <w:r w:rsidRPr="008F50CE">
              <w:t>An employee benefit excess insurance policy may not discriminate unfairly among or against beneficiaries of the underlying benefit plan, or treat conditions related to the Human Immunodeficiency Virus, or HIV, more restrictively than other sicknesses or disabling conditions.</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0568D631" w14:textId="77777777" w:rsidR="00C5111B" w:rsidRPr="008F50CE" w:rsidRDefault="00C5111B" w:rsidP="00C5111B">
            <w:pPr>
              <w:rPr>
                <w:b/>
                <w:snapToGrid w:val="0"/>
                <w:color w:val="000000"/>
                <w:sz w:val="18"/>
              </w:rPr>
            </w:pPr>
          </w:p>
        </w:tc>
      </w:tr>
      <w:tr w:rsidR="00C5111B" w:rsidRPr="008F50CE" w14:paraId="60192E27" w14:textId="77777777" w:rsidTr="00C5111B">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3B0D31EE" w14:textId="77777777" w:rsidR="00C5111B" w:rsidRPr="00D05D7B" w:rsidRDefault="00C5111B" w:rsidP="00C5111B">
            <w:pPr>
              <w:pStyle w:val="NormalWeb"/>
              <w:spacing w:line="180" w:lineRule="atLeast"/>
            </w:pPr>
            <w:r w:rsidRPr="00D05D7B">
              <w:t xml:space="preserve">Minimum attachment point/aggregate retention </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04414D68" w14:textId="77777777" w:rsidR="00C5111B" w:rsidRPr="00C5111B" w:rsidRDefault="00F97BD8" w:rsidP="00C5111B">
            <w:pPr>
              <w:pStyle w:val="NormalWeb"/>
              <w:spacing w:line="180" w:lineRule="atLeast"/>
              <w:jc w:val="center"/>
            </w:pPr>
            <w:hyperlink r:id="rId21" w:history="1">
              <w:r w:rsidR="00C5111B" w:rsidRPr="00C5111B">
                <w:rPr>
                  <w:rStyle w:val="Hyperlink"/>
                </w:rPr>
                <w:t>24-A M.R.S.A.  §707(1)(C-1)</w:t>
              </w:r>
            </w:hyperlink>
          </w:p>
          <w:p w14:paraId="58434F5E" w14:textId="77777777" w:rsidR="00C5111B" w:rsidRPr="00C5111B" w:rsidRDefault="00F97BD8" w:rsidP="00C5111B">
            <w:pPr>
              <w:pStyle w:val="NormalWeb"/>
              <w:spacing w:line="180" w:lineRule="atLeast"/>
              <w:jc w:val="center"/>
            </w:pPr>
            <w:hyperlink r:id="rId22" w:history="1">
              <w:r w:rsidR="00C5111B" w:rsidRPr="00C5111B">
                <w:rPr>
                  <w:rStyle w:val="Hyperlink"/>
                </w:rPr>
                <w:t>Rule 135 Section 5(1)</w:t>
              </w:r>
            </w:hyperlink>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2948B905" w14:textId="77777777" w:rsidR="00C5111B" w:rsidRPr="00D05D7B" w:rsidRDefault="00C5111B" w:rsidP="00C5111B">
            <w:pPr>
              <w:pStyle w:val="NormalWeb"/>
              <w:spacing w:line="180" w:lineRule="atLeast"/>
            </w:pPr>
            <w:r w:rsidRPr="00D05D7B">
              <w:t>Employee benefit excess insurance must be at retention levels that do not have the effect of making the plan an insured plan.</w:t>
            </w:r>
          </w:p>
          <w:p w14:paraId="65EEAF8F" w14:textId="77777777" w:rsidR="00C5111B" w:rsidRPr="00D05D7B" w:rsidRDefault="00C5111B" w:rsidP="00C5111B">
            <w:pPr>
              <w:pStyle w:val="NormalWeb"/>
              <w:spacing w:line="180" w:lineRule="atLeast"/>
            </w:pPr>
            <w:r w:rsidRPr="00D05D7B">
              <w:t xml:space="preserve">Employee benefit excess insurance policies covering group health plans must have a minimum attachment point of $28,700 individual and 120% of expected aggregate, determined net of any specific excess coverage that might be provided by the policy, and verified by the </w:t>
            </w:r>
            <w:r w:rsidRPr="00D05D7B">
              <w:lastRenderedPageBreak/>
              <w:t xml:space="preserve">insurer using reasonable and accepted actuarial principles.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0D1EA60" w14:textId="77777777" w:rsidR="00C5111B" w:rsidRPr="008F50CE" w:rsidRDefault="00C5111B" w:rsidP="00C5111B">
            <w:pPr>
              <w:rPr>
                <w:b/>
                <w:snapToGrid w:val="0"/>
                <w:color w:val="000000"/>
                <w:sz w:val="18"/>
              </w:rPr>
            </w:pPr>
          </w:p>
        </w:tc>
      </w:tr>
      <w:tr w:rsidR="00C5111B" w:rsidRPr="008F50CE" w14:paraId="19423C32" w14:textId="77777777" w:rsidTr="00C5111B">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410C80BC" w14:textId="77777777" w:rsidR="00C5111B" w:rsidRPr="00C5111B" w:rsidRDefault="00C5111B" w:rsidP="00C5111B">
            <w:pPr>
              <w:pStyle w:val="NormalWeb"/>
              <w:spacing w:line="180" w:lineRule="atLeast"/>
            </w:pPr>
            <w:r w:rsidRPr="00C5111B">
              <w:t>Rates</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7B37BB9" w14:textId="77777777" w:rsidR="00C5111B" w:rsidRPr="00C5111B" w:rsidRDefault="00C5111B" w:rsidP="00C5111B">
            <w:pPr>
              <w:pStyle w:val="NormalWeb"/>
              <w:spacing w:line="180" w:lineRule="atLeast"/>
              <w:rPr>
                <w:rStyle w:val="Hyperlink"/>
              </w:rPr>
            </w:pPr>
            <w:r w:rsidRPr="00C5111B">
              <w:fldChar w:fldCharType="begin"/>
            </w:r>
            <w:r w:rsidRPr="00C5111B">
              <w:instrText>HYPERLINK "http://legislature.maine.gov/statutes/24-A/title24-Asec2304-A.html"</w:instrText>
            </w:r>
            <w:r w:rsidRPr="00C5111B">
              <w:fldChar w:fldCharType="separate"/>
            </w:r>
            <w:r w:rsidRPr="00C5111B">
              <w:rPr>
                <w:rStyle w:val="Hyperlink"/>
              </w:rPr>
              <w:t>24-A M.R.S.A.</w:t>
            </w:r>
          </w:p>
          <w:p w14:paraId="5B9E305D" w14:textId="77777777" w:rsidR="00C5111B" w:rsidRPr="00C5111B" w:rsidRDefault="00C5111B" w:rsidP="00C5111B">
            <w:pPr>
              <w:pStyle w:val="NormalWeb"/>
              <w:spacing w:line="180" w:lineRule="atLeast"/>
            </w:pPr>
            <w:r w:rsidRPr="00C5111B">
              <w:rPr>
                <w:rStyle w:val="Hyperlink"/>
              </w:rPr>
              <w:t>§2304-A</w:t>
            </w:r>
            <w:r w:rsidRPr="00C5111B">
              <w:fldChar w:fldCharType="end"/>
            </w: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5EB2368D" w14:textId="77777777" w:rsidR="00C5111B" w:rsidRPr="00C5111B" w:rsidRDefault="00C5111B" w:rsidP="00C5111B">
            <w:pPr>
              <w:pStyle w:val="NormalWeb"/>
              <w:spacing w:line="180" w:lineRule="atLeast"/>
            </w:pPr>
            <w:r w:rsidRPr="00C5111B">
              <w:t xml:space="preserve">Rates must be filed for all Excess/Stop Loss Policy form filings. </w:t>
            </w:r>
          </w:p>
          <w:p w14:paraId="3967F5FB" w14:textId="77777777" w:rsidR="00C5111B" w:rsidRPr="00C5111B" w:rsidRDefault="00C5111B" w:rsidP="00C5111B">
            <w:pPr>
              <w:pStyle w:val="NormalWeb"/>
              <w:spacing w:line="180" w:lineRule="atLeast"/>
            </w:pPr>
            <w:r w:rsidRPr="00C5111B">
              <w:t>If this is a change to a previously approved filing and rates are not attached because the change does not impact rates currently on file, please provide the SERFF tracking number for the previously approved filing.</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64548369" w14:textId="77777777" w:rsidR="00C5111B" w:rsidRPr="008F50CE" w:rsidRDefault="00C5111B" w:rsidP="00C5111B">
            <w:pPr>
              <w:rPr>
                <w:b/>
                <w:snapToGrid w:val="0"/>
                <w:color w:val="000000"/>
                <w:sz w:val="18"/>
              </w:rPr>
            </w:pPr>
          </w:p>
        </w:tc>
      </w:tr>
      <w:tr w:rsidR="00C5111B" w:rsidRPr="008F50CE" w14:paraId="510A982E" w14:textId="77777777" w:rsidTr="00C5111B">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D0C16F8" w14:textId="77777777" w:rsidR="00C5111B" w:rsidRPr="00C5111B" w:rsidRDefault="00C5111B" w:rsidP="00C5111B">
            <w:pPr>
              <w:pStyle w:val="NormalWeb"/>
              <w:spacing w:line="180" w:lineRule="atLeast"/>
            </w:pPr>
            <w:r w:rsidRPr="00C5111B">
              <w:t>Small Group Lasering</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73D9E289" w14:textId="77777777" w:rsidR="00C5111B" w:rsidRPr="00C5111B" w:rsidRDefault="00F97BD8" w:rsidP="00C5111B">
            <w:pPr>
              <w:pStyle w:val="NormalWeb"/>
              <w:spacing w:line="180" w:lineRule="atLeast"/>
              <w:jc w:val="center"/>
            </w:pPr>
            <w:hyperlink r:id="rId23" w:history="1">
              <w:r w:rsidR="00C5111B" w:rsidRPr="00C5111B">
                <w:rPr>
                  <w:rStyle w:val="Hyperlink"/>
                </w:rPr>
                <w:t>Rule 135 Section 5(3)</w:t>
              </w:r>
            </w:hyperlink>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08D495B0" w14:textId="77777777" w:rsidR="00C5111B" w:rsidRPr="00C5111B" w:rsidRDefault="00C5111B" w:rsidP="00C5111B">
            <w:pPr>
              <w:pStyle w:val="NormalWeb"/>
              <w:spacing w:line="180" w:lineRule="atLeast"/>
            </w:pPr>
            <w:r w:rsidRPr="008F50CE">
              <w:t>For small employers, an insurer may not offer or renew an employee benefit excess insurance policy covering a group health plan that excludes or restricts coverage for claims made by any individual who is covered by the underlying benefit plan, or for claims arising out of any medical condition that is covered by the underlying benefit plan.</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5E7F3469" w14:textId="77777777" w:rsidR="00C5111B" w:rsidRPr="008F50CE" w:rsidRDefault="00C5111B" w:rsidP="00C5111B">
            <w:pPr>
              <w:rPr>
                <w:b/>
                <w:snapToGrid w:val="0"/>
                <w:color w:val="000000"/>
                <w:sz w:val="18"/>
              </w:rPr>
            </w:pPr>
          </w:p>
        </w:tc>
      </w:tr>
      <w:tr w:rsidR="00C5111B" w:rsidRPr="008F50CE" w14:paraId="0A8C301B" w14:textId="77777777" w:rsidTr="00C5111B">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E7CF61A" w14:textId="77777777" w:rsidR="00C5111B" w:rsidRPr="00C5111B" w:rsidRDefault="00C5111B" w:rsidP="00C5111B">
            <w:pPr>
              <w:pStyle w:val="NormalWeb"/>
              <w:spacing w:line="180" w:lineRule="atLeast"/>
            </w:pPr>
            <w:r w:rsidRPr="00C5111B">
              <w:t xml:space="preserve">Small Group Size </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3AFA11AC" w14:textId="77777777" w:rsidR="00C5111B" w:rsidRPr="00C5111B" w:rsidRDefault="00F97BD8" w:rsidP="00C5111B">
            <w:pPr>
              <w:pStyle w:val="NormalWeb"/>
              <w:spacing w:line="180" w:lineRule="atLeast"/>
              <w:jc w:val="center"/>
            </w:pPr>
            <w:hyperlink r:id="rId24" w:history="1">
              <w:r w:rsidR="00C5111B" w:rsidRPr="00C5111B">
                <w:rPr>
                  <w:rStyle w:val="Hyperlink"/>
                </w:rPr>
                <w:t>Rule 135 Section 5(2)</w:t>
              </w:r>
            </w:hyperlink>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2684BF3D" w14:textId="77777777" w:rsidR="00C5111B" w:rsidRPr="00C5111B" w:rsidRDefault="00C5111B" w:rsidP="00C5111B">
            <w:pPr>
              <w:pStyle w:val="NormalWeb"/>
              <w:spacing w:line="180" w:lineRule="atLeast"/>
            </w:pPr>
            <w:r w:rsidRPr="00C5111B">
              <w:t>An insurer may not offer or renew an employee benefit excess insurance policy covering a group health plan to a group with ten or fewer employees enrolled in the group health plan.</w:t>
            </w:r>
          </w:p>
          <w:p w14:paraId="4DA95323" w14:textId="2E8518E1" w:rsidR="00C5111B" w:rsidRPr="00C5111B" w:rsidRDefault="00C5111B" w:rsidP="00C5111B">
            <w:pPr>
              <w:pStyle w:val="NormalWeb"/>
              <w:spacing w:line="180" w:lineRule="atLeast"/>
            </w:pPr>
            <w:r w:rsidRPr="00985762">
              <w:rPr>
                <w:color w:val="FF0000"/>
              </w:rPr>
              <w:t xml:space="preserve">Carrier must </w:t>
            </w:r>
            <w:r w:rsidR="00CC5809">
              <w:rPr>
                <w:color w:val="FF0000"/>
              </w:rPr>
              <w:t>state</w:t>
            </w:r>
            <w:r w:rsidR="00CC5809" w:rsidRPr="00985762">
              <w:rPr>
                <w:color w:val="FF0000"/>
              </w:rPr>
              <w:t xml:space="preserve"> </w:t>
            </w:r>
            <w:r w:rsidRPr="00985762">
              <w:rPr>
                <w:color w:val="FF0000"/>
              </w:rPr>
              <w:t xml:space="preserve">the </w:t>
            </w:r>
            <w:r w:rsidR="00CC5809">
              <w:rPr>
                <w:color w:val="FF0000"/>
              </w:rPr>
              <w:t xml:space="preserve">smallest </w:t>
            </w:r>
            <w:r w:rsidRPr="00985762">
              <w:rPr>
                <w:color w:val="FF0000"/>
              </w:rPr>
              <w:t>group size</w:t>
            </w:r>
            <w:r w:rsidR="00CC5809">
              <w:rPr>
                <w:color w:val="FF0000"/>
              </w:rPr>
              <w:t xml:space="preserve"> that is being marketed to</w:t>
            </w:r>
            <w:r w:rsidRPr="00985762">
              <w:rPr>
                <w:color w:val="FF0000"/>
              </w:rPr>
              <w:t>.</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73E74698" w14:textId="77777777" w:rsidR="00C5111B" w:rsidRPr="008F50CE" w:rsidRDefault="00C5111B" w:rsidP="00C5111B">
            <w:pPr>
              <w:rPr>
                <w:b/>
                <w:snapToGrid w:val="0"/>
                <w:color w:val="000000"/>
                <w:sz w:val="18"/>
              </w:rPr>
            </w:pPr>
          </w:p>
        </w:tc>
      </w:tr>
      <w:tr w:rsidR="00C5111B" w:rsidRPr="008F50CE" w14:paraId="5A9F838B" w14:textId="77777777" w:rsidTr="00C5111B">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3F1E2B17" w14:textId="77777777" w:rsidR="00C5111B" w:rsidRPr="00C5111B" w:rsidRDefault="00C5111B" w:rsidP="00C5111B">
            <w:pPr>
              <w:pStyle w:val="NormalWeb"/>
              <w:spacing w:line="180" w:lineRule="atLeast"/>
            </w:pPr>
            <w:r w:rsidRPr="00C5111B">
              <w:t>Tail Coverage/Disclosure Notice</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0367DC70" w14:textId="77777777" w:rsidR="00C5111B" w:rsidRPr="00D05D7B" w:rsidRDefault="00F97BD8" w:rsidP="00C5111B">
            <w:pPr>
              <w:pStyle w:val="NormalWeb"/>
              <w:spacing w:line="180" w:lineRule="atLeast"/>
              <w:jc w:val="center"/>
            </w:pPr>
            <w:hyperlink r:id="rId25" w:history="1">
              <w:r w:rsidR="00C5111B" w:rsidRPr="00C5111B">
                <w:rPr>
                  <w:rStyle w:val="Hyperlink"/>
                </w:rPr>
                <w:t>24-A M.R.S.A.  §2452(2)</w:t>
              </w:r>
            </w:hyperlink>
            <w:r w:rsidR="00C5111B" w:rsidRPr="00C5111B">
              <w:br/>
            </w:r>
            <w:r w:rsidR="00C5111B" w:rsidRPr="00D05D7B">
              <w:br/>
            </w:r>
            <w:hyperlink r:id="rId26" w:history="1">
              <w:r w:rsidR="00C5111B" w:rsidRPr="00C5111B">
                <w:rPr>
                  <w:rStyle w:val="Hyperlink"/>
                </w:rPr>
                <w:t>§2413(1)(B)</w:t>
              </w:r>
            </w:hyperlink>
            <w:r w:rsidR="00C5111B" w:rsidRPr="00D05D7B">
              <w:br/>
            </w:r>
            <w:r w:rsidR="00C5111B" w:rsidRPr="00D05D7B">
              <w:br/>
            </w:r>
            <w:hyperlink r:id="rId27" w:history="1">
              <w:r w:rsidR="00C5111B" w:rsidRPr="00C5111B">
                <w:rPr>
                  <w:rStyle w:val="Hyperlink"/>
                </w:rPr>
                <w:t>§707(1)(C-1)</w:t>
              </w:r>
            </w:hyperlink>
          </w:p>
          <w:p w14:paraId="42806850" w14:textId="77777777" w:rsidR="00C5111B" w:rsidRPr="00C5111B" w:rsidRDefault="00F97BD8" w:rsidP="00C5111B">
            <w:pPr>
              <w:pStyle w:val="NormalWeb"/>
              <w:spacing w:line="180" w:lineRule="atLeast"/>
              <w:jc w:val="center"/>
            </w:pPr>
            <w:hyperlink r:id="rId28" w:history="1">
              <w:r w:rsidR="00C5111B" w:rsidRPr="00C5111B">
                <w:rPr>
                  <w:rStyle w:val="Hyperlink"/>
                </w:rPr>
                <w:t>Rule 135 Section 5(7)</w:t>
              </w:r>
            </w:hyperlink>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532EA4AC" w14:textId="77777777" w:rsidR="00C5111B" w:rsidRPr="00C5111B" w:rsidRDefault="00C5111B" w:rsidP="00C5111B">
            <w:pPr>
              <w:pStyle w:val="NormalWeb"/>
              <w:spacing w:line="180" w:lineRule="atLeast"/>
            </w:pPr>
            <w:r w:rsidRPr="00C5111B">
              <w:t>An extended reporting period “tail coverage” of at least 6 months must be made available on all excess policies covering group health plans at the time of purchase or renewal.</w:t>
            </w:r>
          </w:p>
          <w:p w14:paraId="3F702BA2" w14:textId="4961BF08" w:rsidR="00C5111B" w:rsidRPr="00D05D7B" w:rsidRDefault="00C5111B" w:rsidP="00C5111B">
            <w:pPr>
              <w:pStyle w:val="NormalWeb"/>
              <w:spacing w:line="180" w:lineRule="atLeast"/>
            </w:pPr>
            <w:r w:rsidRPr="00D05D7B">
              <w:t xml:space="preserve">If an employer requests coverage that does not include tail coverage the carrier may provide such coverage, but the carrier must provide the employer with a disclosure notice approved by the Bureau, clearly advising that the policy is </w:t>
            </w:r>
            <w:r w:rsidRPr="00D05D7B">
              <w:lastRenderedPageBreak/>
              <w:t>issued without tail-coverage and explaining any risk associated with declining coverage.</w:t>
            </w:r>
          </w:p>
          <w:p w14:paraId="4D46B4D3" w14:textId="77777777" w:rsidR="00C5111B" w:rsidRPr="00D05D7B" w:rsidRDefault="00C5111B" w:rsidP="00C5111B">
            <w:pPr>
              <w:pStyle w:val="NormalWeb"/>
              <w:spacing w:line="180" w:lineRule="atLeast"/>
            </w:pPr>
            <w:r w:rsidRPr="00571FED">
              <w:rPr>
                <w:color w:val="FF0000"/>
                <w:rPrChange w:id="0" w:author="Lewis, Lisa A" w:date="2021-09-03T12:10:00Z">
                  <w:rPr/>
                </w:rPrChange>
              </w:rPr>
              <w:t>The carrier must obtain written acknowledgment from the employer that the employer declines this tail coverage.</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2C93EDBA" w14:textId="77777777" w:rsidR="00C5111B" w:rsidRPr="008F50CE" w:rsidRDefault="00C5111B" w:rsidP="00C5111B">
            <w:pPr>
              <w:rPr>
                <w:b/>
                <w:snapToGrid w:val="0"/>
                <w:color w:val="000000"/>
                <w:sz w:val="18"/>
              </w:rPr>
            </w:pPr>
          </w:p>
          <w:p w14:paraId="4213C1B3" w14:textId="77777777" w:rsidR="00C5111B" w:rsidRPr="008F50CE" w:rsidRDefault="00C5111B" w:rsidP="00C5111B">
            <w:pPr>
              <w:rPr>
                <w:b/>
                <w:snapToGrid w:val="0"/>
                <w:color w:val="000000"/>
                <w:sz w:val="18"/>
              </w:rPr>
            </w:pPr>
          </w:p>
          <w:p w14:paraId="0AFAD4A9" w14:textId="77777777" w:rsidR="00C5111B" w:rsidRPr="008F50CE" w:rsidRDefault="00C5111B" w:rsidP="00C5111B">
            <w:pPr>
              <w:rPr>
                <w:b/>
                <w:snapToGrid w:val="0"/>
                <w:color w:val="000000"/>
                <w:sz w:val="18"/>
              </w:rPr>
            </w:pPr>
          </w:p>
          <w:p w14:paraId="53BD08B2" w14:textId="77777777" w:rsidR="00C5111B" w:rsidRPr="008F50CE" w:rsidRDefault="00C5111B" w:rsidP="00C5111B">
            <w:pPr>
              <w:rPr>
                <w:b/>
                <w:snapToGrid w:val="0"/>
                <w:color w:val="000000"/>
                <w:sz w:val="18"/>
              </w:rPr>
            </w:pPr>
          </w:p>
          <w:p w14:paraId="16038270" w14:textId="77777777" w:rsidR="00C5111B" w:rsidRPr="008F50CE" w:rsidRDefault="00C5111B" w:rsidP="00C5111B">
            <w:pPr>
              <w:rPr>
                <w:b/>
                <w:snapToGrid w:val="0"/>
                <w:color w:val="000000"/>
                <w:sz w:val="18"/>
              </w:rPr>
            </w:pPr>
          </w:p>
          <w:p w14:paraId="1FAFBA23" w14:textId="77777777" w:rsidR="00C5111B" w:rsidRPr="008F50CE" w:rsidRDefault="00C5111B" w:rsidP="00C5111B">
            <w:pPr>
              <w:rPr>
                <w:b/>
                <w:snapToGrid w:val="0"/>
                <w:color w:val="000000"/>
                <w:sz w:val="18"/>
              </w:rPr>
            </w:pPr>
          </w:p>
          <w:p w14:paraId="33849414" w14:textId="77777777" w:rsidR="00C5111B" w:rsidRPr="008F50CE" w:rsidRDefault="00C5111B" w:rsidP="00C5111B">
            <w:pPr>
              <w:rPr>
                <w:b/>
                <w:snapToGrid w:val="0"/>
                <w:color w:val="000000"/>
                <w:sz w:val="18"/>
              </w:rPr>
            </w:pPr>
          </w:p>
          <w:p w14:paraId="0031820F" w14:textId="77777777" w:rsidR="00C5111B" w:rsidRPr="008F50CE" w:rsidRDefault="00C5111B" w:rsidP="00C5111B">
            <w:pPr>
              <w:rPr>
                <w:b/>
                <w:snapToGrid w:val="0"/>
                <w:color w:val="000000"/>
                <w:sz w:val="18"/>
              </w:rPr>
            </w:pPr>
          </w:p>
          <w:p w14:paraId="0657352C" w14:textId="77777777" w:rsidR="00C5111B" w:rsidRPr="008F50CE" w:rsidRDefault="00C5111B" w:rsidP="00C5111B">
            <w:pPr>
              <w:rPr>
                <w:b/>
                <w:snapToGrid w:val="0"/>
                <w:color w:val="000000"/>
                <w:sz w:val="18"/>
              </w:rPr>
            </w:pPr>
          </w:p>
        </w:tc>
      </w:tr>
      <w:tr w:rsidR="00C5111B" w:rsidRPr="008F50CE" w14:paraId="1435AD1B" w14:textId="77777777" w:rsidTr="00C5111B">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34865A4D" w14:textId="77777777" w:rsidR="00C5111B" w:rsidRPr="00C5111B" w:rsidRDefault="00C5111B" w:rsidP="00C5111B">
            <w:pPr>
              <w:pStyle w:val="NormalWeb"/>
              <w:spacing w:line="180" w:lineRule="atLeast"/>
            </w:pPr>
            <w:r w:rsidRPr="00C5111B">
              <w:t>Completed by:</w:t>
            </w:r>
          </w:p>
          <w:p w14:paraId="214317C3" w14:textId="77777777" w:rsidR="00C5111B" w:rsidRPr="00C5111B" w:rsidRDefault="00C5111B" w:rsidP="00C5111B">
            <w:pPr>
              <w:pStyle w:val="NormalWeb"/>
              <w:spacing w:line="180" w:lineRule="atLeast"/>
            </w:pP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25F35AE0" w14:textId="77777777" w:rsidR="00C5111B" w:rsidRPr="00C5111B" w:rsidRDefault="00C5111B" w:rsidP="00C5111B">
            <w:pPr>
              <w:pStyle w:val="NormalWeb"/>
              <w:spacing w:line="180" w:lineRule="atLeast"/>
              <w:jc w:val="center"/>
            </w:pP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03F1FE59" w14:textId="77777777" w:rsidR="00C5111B" w:rsidRPr="00C5111B" w:rsidRDefault="00C5111B" w:rsidP="00C5111B">
            <w:pPr>
              <w:pStyle w:val="NormalWeb"/>
              <w:spacing w:line="180" w:lineRule="atLeast"/>
            </w:pPr>
            <w:r w:rsidRPr="00C5111B">
              <w:t>Date:</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75B74DEE" w14:textId="43182E4E" w:rsidR="00C5111B" w:rsidRPr="008F50CE" w:rsidRDefault="00C5111B" w:rsidP="00C5111B">
            <w:pPr>
              <w:rPr>
                <w:b/>
                <w:snapToGrid w:val="0"/>
                <w:color w:val="000000"/>
                <w:sz w:val="18"/>
              </w:rPr>
            </w:pPr>
          </w:p>
        </w:tc>
      </w:tr>
    </w:tbl>
    <w:p w14:paraId="44237736" w14:textId="77777777" w:rsidR="00CF1B7A" w:rsidRDefault="00CF1B7A"/>
    <w:sectPr w:rsidR="00CF1B7A" w:rsidSect="00704D07">
      <w:pgSz w:w="15840" w:h="12240" w:orient="landscape" w:code="1"/>
      <w:pgMar w:top="720" w:right="1440" w:bottom="1440" w:left="1440" w:header="432" w:footer="432"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wis, Lisa A">
    <w15:presenceInfo w15:providerId="AD" w15:userId="S::Lisa.A.Lewis@maine.gov::e3aafad3-1c17-4e4d-951c-fed6bd53fc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C6"/>
    <w:rsid w:val="000A461F"/>
    <w:rsid w:val="000C61BC"/>
    <w:rsid w:val="00131DBD"/>
    <w:rsid w:val="00151F6D"/>
    <w:rsid w:val="001C7172"/>
    <w:rsid w:val="00201834"/>
    <w:rsid w:val="002413B8"/>
    <w:rsid w:val="003548E2"/>
    <w:rsid w:val="00373CAD"/>
    <w:rsid w:val="00383E1D"/>
    <w:rsid w:val="003A4263"/>
    <w:rsid w:val="00445CDB"/>
    <w:rsid w:val="004532C4"/>
    <w:rsid w:val="00487432"/>
    <w:rsid w:val="005264AA"/>
    <w:rsid w:val="00571FED"/>
    <w:rsid w:val="00583C5F"/>
    <w:rsid w:val="005B614C"/>
    <w:rsid w:val="005D7BD1"/>
    <w:rsid w:val="006535DE"/>
    <w:rsid w:val="00704D07"/>
    <w:rsid w:val="007344C8"/>
    <w:rsid w:val="00752659"/>
    <w:rsid w:val="007622F7"/>
    <w:rsid w:val="007668EA"/>
    <w:rsid w:val="007C6145"/>
    <w:rsid w:val="007E3D1B"/>
    <w:rsid w:val="008A065A"/>
    <w:rsid w:val="008E5AB9"/>
    <w:rsid w:val="00982E4C"/>
    <w:rsid w:val="00985762"/>
    <w:rsid w:val="009A59CF"/>
    <w:rsid w:val="00A73208"/>
    <w:rsid w:val="00AE3E84"/>
    <w:rsid w:val="00B37497"/>
    <w:rsid w:val="00B649B7"/>
    <w:rsid w:val="00BB4D0B"/>
    <w:rsid w:val="00C22E50"/>
    <w:rsid w:val="00C5111B"/>
    <w:rsid w:val="00C61498"/>
    <w:rsid w:val="00CC5809"/>
    <w:rsid w:val="00CF1B7A"/>
    <w:rsid w:val="00D44D73"/>
    <w:rsid w:val="00D63C68"/>
    <w:rsid w:val="00D80FFF"/>
    <w:rsid w:val="00E03C24"/>
    <w:rsid w:val="00E655C6"/>
    <w:rsid w:val="00E84BA1"/>
    <w:rsid w:val="00F7494C"/>
    <w:rsid w:val="00F97BD8"/>
    <w:rsid w:val="00FC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B683"/>
  <w15:chartTrackingRefBased/>
  <w15:docId w15:val="{10DBA20D-8F19-416B-B081-F572102F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5C6"/>
    <w:pPr>
      <w:spacing w:after="0" w:line="240" w:lineRule="auto"/>
    </w:pPr>
    <w:rPr>
      <w:rFonts w:eastAsia="Times New Roman" w:cs="Times New Roman"/>
      <w:szCs w:val="24"/>
    </w:rPr>
  </w:style>
  <w:style w:type="paragraph" w:styleId="Heading1">
    <w:name w:val="heading 1"/>
    <w:basedOn w:val="Normal"/>
    <w:next w:val="Normal"/>
    <w:link w:val="Heading1Char"/>
    <w:qFormat/>
    <w:rsid w:val="00E655C6"/>
    <w:pPr>
      <w:keepNext/>
      <w:jc w:val="center"/>
      <w:outlineLvl w:val="0"/>
    </w:pPr>
    <w:rPr>
      <w:rFonts w:ascii="Arial" w:hAnsi="Arial"/>
      <w:b/>
      <w:snapToGrid w:val="0"/>
      <w:color w:val="000000"/>
      <w:sz w:val="21"/>
      <w:szCs w:val="20"/>
    </w:rPr>
  </w:style>
  <w:style w:type="paragraph" w:styleId="Heading3">
    <w:name w:val="heading 3"/>
    <w:basedOn w:val="Normal"/>
    <w:next w:val="Normal"/>
    <w:link w:val="Heading3Char"/>
    <w:qFormat/>
    <w:rsid w:val="00E655C6"/>
    <w:pPr>
      <w:keepNext/>
      <w:jc w:val="center"/>
      <w:outlineLvl w:val="2"/>
    </w:pPr>
    <w:rPr>
      <w:rFonts w:ascii="Arial" w:hAnsi="Arial"/>
      <w:b/>
      <w:snapToGrid w:val="0"/>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55C6"/>
    <w:rPr>
      <w:color w:val="0000FF"/>
      <w:u w:val="single"/>
    </w:rPr>
  </w:style>
  <w:style w:type="paragraph" w:styleId="NormalWeb">
    <w:name w:val="Normal (Web)"/>
    <w:basedOn w:val="Normal"/>
    <w:rsid w:val="00E655C6"/>
    <w:pPr>
      <w:spacing w:before="100" w:beforeAutospacing="1" w:after="100" w:afterAutospacing="1"/>
    </w:pPr>
  </w:style>
  <w:style w:type="character" w:customStyle="1" w:styleId="Heading1Char">
    <w:name w:val="Heading 1 Char"/>
    <w:basedOn w:val="DefaultParagraphFont"/>
    <w:link w:val="Heading1"/>
    <w:rsid w:val="00E655C6"/>
    <w:rPr>
      <w:rFonts w:ascii="Arial" w:eastAsia="Times New Roman" w:hAnsi="Arial" w:cs="Times New Roman"/>
      <w:b/>
      <w:snapToGrid w:val="0"/>
      <w:color w:val="000000"/>
      <w:sz w:val="21"/>
      <w:szCs w:val="20"/>
    </w:rPr>
  </w:style>
  <w:style w:type="character" w:customStyle="1" w:styleId="Heading3Char">
    <w:name w:val="Heading 3 Char"/>
    <w:basedOn w:val="DefaultParagraphFont"/>
    <w:link w:val="Heading3"/>
    <w:rsid w:val="00E655C6"/>
    <w:rPr>
      <w:rFonts w:ascii="Arial" w:eastAsia="Times New Roman" w:hAnsi="Arial" w:cs="Times New Roman"/>
      <w:b/>
      <w:snapToGrid w:val="0"/>
      <w:color w:val="000000"/>
      <w:sz w:val="18"/>
      <w:szCs w:val="24"/>
    </w:rPr>
  </w:style>
  <w:style w:type="character" w:styleId="Strong">
    <w:name w:val="Strong"/>
    <w:uiPriority w:val="22"/>
    <w:qFormat/>
    <w:rsid w:val="00E655C6"/>
    <w:rPr>
      <w:b/>
      <w:bCs/>
    </w:rPr>
  </w:style>
  <w:style w:type="character" w:styleId="FollowedHyperlink">
    <w:name w:val="FollowedHyperlink"/>
    <w:basedOn w:val="DefaultParagraphFont"/>
    <w:uiPriority w:val="99"/>
    <w:semiHidden/>
    <w:unhideWhenUsed/>
    <w:rsid w:val="00B649B7"/>
    <w:rPr>
      <w:color w:val="800080" w:themeColor="followedHyperlink"/>
      <w:u w:val="single"/>
    </w:rPr>
  </w:style>
  <w:style w:type="paragraph" w:customStyle="1" w:styleId="Default">
    <w:name w:val="Default"/>
    <w:rsid w:val="00C5111B"/>
    <w:pPr>
      <w:autoSpaceDE w:val="0"/>
      <w:autoSpaceDN w:val="0"/>
      <w:adjustRightInd w:val="0"/>
      <w:spacing w:after="0" w:line="240" w:lineRule="auto"/>
    </w:pPr>
    <w:rPr>
      <w:rFonts w:eastAsia="Times New Roman" w:cs="Times New Roman"/>
      <w:color w:val="000000"/>
      <w:szCs w:val="24"/>
    </w:rPr>
  </w:style>
  <w:style w:type="character" w:styleId="UnresolvedMention">
    <w:name w:val="Unresolved Mention"/>
    <w:basedOn w:val="DefaultParagraphFont"/>
    <w:uiPriority w:val="99"/>
    <w:semiHidden/>
    <w:unhideWhenUsed/>
    <w:rsid w:val="00C5111B"/>
    <w:rPr>
      <w:color w:val="605E5C"/>
      <w:shd w:val="clear" w:color="auto" w:fill="E1DFDD"/>
    </w:rPr>
  </w:style>
  <w:style w:type="paragraph" w:styleId="BalloonText">
    <w:name w:val="Balloon Text"/>
    <w:basedOn w:val="Normal"/>
    <w:link w:val="BalloonTextChar"/>
    <w:uiPriority w:val="99"/>
    <w:semiHidden/>
    <w:unhideWhenUsed/>
    <w:rsid w:val="007E3D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D1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64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pfr/insurance/sites/maine.gov.pfr.insurance/files/inline-files/360_0.pdf" TargetMode="External"/><Relationship Id="rId13" Type="http://schemas.openxmlformats.org/officeDocument/2006/relationships/hyperlink" Target="http://legislature.maine.gov/statutes/24-A/title24-Asec2412.html" TargetMode="External"/><Relationship Id="rId18" Type="http://schemas.openxmlformats.org/officeDocument/2006/relationships/hyperlink" Target="http://www.mainelegislature.org/legis/statutes/24-A/title24-Asec2849-B.html" TargetMode="External"/><Relationship Id="rId26" Type="http://schemas.openxmlformats.org/officeDocument/2006/relationships/hyperlink" Target="http://legislature.maine.gov/statutes/24-A/title24-Asec2413.html" TargetMode="External"/><Relationship Id="rId3" Type="http://schemas.openxmlformats.org/officeDocument/2006/relationships/customXml" Target="../customXml/item3.xml"/><Relationship Id="rId21" Type="http://schemas.openxmlformats.org/officeDocument/2006/relationships/hyperlink" Target="http://legislature.maine.gov/statutes/24-A/title24-Asec707.html" TargetMode="External"/><Relationship Id="rId7" Type="http://schemas.openxmlformats.org/officeDocument/2006/relationships/hyperlink" Target="http://www.mainelegislature.org/legis/statutes/24-A/title24-Asec2412.html" TargetMode="External"/><Relationship Id="rId12" Type="http://schemas.openxmlformats.org/officeDocument/2006/relationships/hyperlink" Target="http://legislature.maine.gov/statutes/24-A/title24-Asec2441.html" TargetMode="External"/><Relationship Id="rId17" Type="http://schemas.openxmlformats.org/officeDocument/2006/relationships/hyperlink" Target="http://www.maine.gov/sos/cec/rules/02/031/031c135.docx" TargetMode="External"/><Relationship Id="rId25" Type="http://schemas.openxmlformats.org/officeDocument/2006/relationships/hyperlink" Target="http://legislature.maine.gov/statutes/24-A/title24-Asec2452.html" TargetMode="External"/><Relationship Id="rId2" Type="http://schemas.openxmlformats.org/officeDocument/2006/relationships/customXml" Target="../customXml/item2.xml"/><Relationship Id="rId16" Type="http://schemas.openxmlformats.org/officeDocument/2006/relationships/hyperlink" Target="http://www.maine.gov/sos/cec/rules/02/031/031c135.docx" TargetMode="External"/><Relationship Id="rId20" Type="http://schemas.openxmlformats.org/officeDocument/2006/relationships/hyperlink" Target="http://www.mainelegislature.org/legis/statutes/24-A/title24-Asec2452.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islature.maine.gov/statutes/24-A/title24-Asec2413.html" TargetMode="External"/><Relationship Id="rId24" Type="http://schemas.openxmlformats.org/officeDocument/2006/relationships/hyperlink" Target="http://www.maine.gov/sos/cec/rules/02/031/031c135.docx" TargetMode="External"/><Relationship Id="rId5" Type="http://schemas.openxmlformats.org/officeDocument/2006/relationships/settings" Target="settings.xml"/><Relationship Id="rId15" Type="http://schemas.openxmlformats.org/officeDocument/2006/relationships/hyperlink" Target="http://legislature.maine.gov/statutes/24-A/title24-Asec2186.html" TargetMode="External"/><Relationship Id="rId23" Type="http://schemas.openxmlformats.org/officeDocument/2006/relationships/hyperlink" Target="http://www.maine.gov/sos/cec/rules/02/031/031c135.docx" TargetMode="External"/><Relationship Id="rId28" Type="http://schemas.openxmlformats.org/officeDocument/2006/relationships/hyperlink" Target="http://www.maine.gov/sos/cec/rules/02/031/031c135.docx" TargetMode="External"/><Relationship Id="rId10" Type="http://schemas.openxmlformats.org/officeDocument/2006/relationships/hyperlink" Target="http://legislature.maine.gov/statutes/24-A/title24-Asec601.html" TargetMode="External"/><Relationship Id="rId19" Type="http://schemas.openxmlformats.org/officeDocument/2006/relationships/hyperlink" Target="http://legislature.maine.gov/statutes/24-A/title24-Asec2215.html"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serff.com" TargetMode="External"/><Relationship Id="rId14" Type="http://schemas.openxmlformats.org/officeDocument/2006/relationships/hyperlink" Target="http://legislature.maine.gov/statutes/24-A/title24-Asec2413.html" TargetMode="External"/><Relationship Id="rId22" Type="http://schemas.openxmlformats.org/officeDocument/2006/relationships/hyperlink" Target="http://www.maine.gov/sos/cec/rules/02/031/031c135.docx" TargetMode="External"/><Relationship Id="rId27" Type="http://schemas.openxmlformats.org/officeDocument/2006/relationships/hyperlink" Target="http://legislature.maine.gov/statutes/24-A/title24-Asec707.html"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3F35F42B8F544AA61C010164E1257" ma:contentTypeVersion="13" ma:contentTypeDescription="Create a new document." ma:contentTypeScope="" ma:versionID="ed0da7985e3e27fda9e7d721184dcdd3">
  <xsd:schema xmlns:xsd="http://www.w3.org/2001/XMLSchema" xmlns:xs="http://www.w3.org/2001/XMLSchema" xmlns:p="http://schemas.microsoft.com/office/2006/metadata/properties" xmlns:ns1="http://schemas.microsoft.com/sharepoint/v3" xmlns:ns3="ae4737a0-5a6b-46e9-bcde-b6639a4991fe" xmlns:ns4="d7da2729-04b6-4b35-9467-04604c527e9a" targetNamespace="http://schemas.microsoft.com/office/2006/metadata/properties" ma:root="true" ma:fieldsID="ab5ee5afee8f45d7231ba2038cdcdae9" ns1:_="" ns3:_="" ns4:_="">
    <xsd:import namespace="http://schemas.microsoft.com/sharepoint/v3"/>
    <xsd:import namespace="ae4737a0-5a6b-46e9-bcde-b6639a4991fe"/>
    <xsd:import namespace="d7da2729-04b6-4b35-9467-04604c527e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4737a0-5a6b-46e9-bcde-b6639a499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da2729-04b6-4b35-9467-04604c527e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DD257EE-3E81-4C6E-AFC2-0217723A7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4737a0-5a6b-46e9-bcde-b6639a4991fe"/>
    <ds:schemaRef ds:uri="d7da2729-04b6-4b35-9467-04604c527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A989F-2127-46AB-93EA-D11DA11A9933}">
  <ds:schemaRefs>
    <ds:schemaRef ds:uri="http://schemas.microsoft.com/sharepoint/v3/contenttype/forms"/>
  </ds:schemaRefs>
</ds:datastoreItem>
</file>

<file path=customXml/itemProps3.xml><?xml version="1.0" encoding="utf-8"?>
<ds:datastoreItem xmlns:ds="http://schemas.openxmlformats.org/officeDocument/2006/customXml" ds:itemID="{1707D1B5-1BA3-42EE-AD5A-3D28B42B11D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Lisa A</dc:creator>
  <cp:keywords/>
  <dc:description/>
  <cp:lastModifiedBy>Maley-Alley, Amanda</cp:lastModifiedBy>
  <cp:revision>3</cp:revision>
  <dcterms:created xsi:type="dcterms:W3CDTF">2021-09-13T13:27:00Z</dcterms:created>
  <dcterms:modified xsi:type="dcterms:W3CDTF">2022-01-25T20:22:00Z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0x0101008A23F35F42B8F544AA61C010164E1257</vt:lpwstr>
  </property>
</Properties>
</file>