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0 -->
  <w:body>
    <w:p w:rsidR="00DB2C9D" w14:paraId="1E614DA6" w14:textId="77777777">
      <w:pPr>
        <w:pStyle w:val="BodyText"/>
        <w:ind w:left="2538"/>
        <w:rPr>
          <w:sz w:val="20"/>
        </w:rPr>
      </w:pPr>
      <w:r>
        <w:rPr>
          <w:noProof/>
          <w:sz w:val="20"/>
        </w:rPr>
        <w:drawing>
          <wp:inline distT="0" distB="0" distL="0" distR="0">
            <wp:extent cx="3046801" cy="660082"/>
            <wp:effectExtent l="0" t="0" r="0" b="0"/>
            <wp:docPr id="1" name="Image 1" descr="Text  Description automatically generated "/>
            <wp:cNvGraphicFramePr/>
            <a:graphic xmlns:a="http://schemas.openxmlformats.org/drawingml/2006/main">
              <a:graphicData uri="http://schemas.openxmlformats.org/drawingml/2006/picture">
                <pic:pic xmlns:pic="http://schemas.openxmlformats.org/drawingml/2006/picture">
                  <pic:nvPicPr>
                    <pic:cNvPr id="1" name="Image 1" descr="Text  Description automatically generated "/>
                    <pic:cNvPicPr/>
                  </pic:nvPicPr>
                  <pic:blipFill>
                    <a:blip xmlns:r="http://schemas.openxmlformats.org/officeDocument/2006/relationships" r:embed="rId4" cstate="print"/>
                    <a:stretch>
                      <a:fillRect/>
                    </a:stretch>
                  </pic:blipFill>
                  <pic:spPr>
                    <a:xfrm>
                      <a:off x="0" y="0"/>
                      <a:ext cx="3046801" cy="660082"/>
                    </a:xfrm>
                    <a:prstGeom prst="rect">
                      <a:avLst/>
                    </a:prstGeom>
                  </pic:spPr>
                </pic:pic>
              </a:graphicData>
            </a:graphic>
          </wp:inline>
        </w:drawing>
      </w:r>
    </w:p>
    <w:p w:rsidR="00DB2C9D" w14:paraId="15EC897D" w14:textId="77777777">
      <w:pPr>
        <w:pStyle w:val="BodyText"/>
      </w:pPr>
    </w:p>
    <w:p w:rsidR="00DB2C9D" w14:paraId="2E632C05" w14:textId="77777777">
      <w:pPr>
        <w:pStyle w:val="BodyText"/>
        <w:spacing w:before="159"/>
      </w:pPr>
    </w:p>
    <w:p w:rsidR="00DB2C9D" w14:paraId="2D9C8AB8" w14:textId="77777777">
      <w:pPr>
        <w:pStyle w:val="Heading1"/>
        <w:bidi/>
        <w:ind w:left="2337" w:right="2577" w:firstLine="0"/>
        <w:jc w:val="center"/>
      </w:pPr>
      <w:r>
        <w:rPr>
          <w:u w:val="single"/>
          <w:rtl/>
          <w:lang w:val="ar"/>
        </w:rPr>
        <w:t>الأسئلة المتكررة عن الإجازة العائلية والطبية المدفوعة الأجر</w:t>
      </w:r>
    </w:p>
    <w:p w:rsidR="00DB2C9D" w14:paraId="69827295" w14:textId="77777777">
      <w:pPr>
        <w:bidi/>
        <w:ind w:right="236"/>
        <w:jc w:val="center"/>
        <w:rPr>
          <w:b/>
          <w:sz w:val="24"/>
        </w:rPr>
      </w:pPr>
      <w:r>
        <w:rPr>
          <w:b/>
          <w:sz w:val="24"/>
          <w:u w:val="single"/>
          <w:rtl/>
          <w:lang w:val="ar"/>
        </w:rPr>
        <w:t>التغطية الاختيارية للأفراد العاملين لحسابهم الخاص وهيئات الحكم القبلية</w:t>
      </w:r>
    </w:p>
    <w:p w:rsidR="00DB2C9D" w14:paraId="4C72B1BE" w14:textId="77777777">
      <w:pPr>
        <w:pStyle w:val="BodyText"/>
        <w:rPr>
          <w:b/>
        </w:rPr>
      </w:pPr>
    </w:p>
    <w:p w:rsidR="00DB2C9D" w14:paraId="6719AA47" w14:textId="77777777">
      <w:pPr>
        <w:pStyle w:val="BodyText"/>
        <w:bidi/>
        <w:ind w:left="110" w:right="111"/>
      </w:pPr>
      <w:r>
        <w:rPr>
          <w:b/>
          <w:rtl/>
          <w:lang w:val="ar"/>
        </w:rPr>
        <w:t>ملحوظة</w:t>
      </w:r>
      <w:r>
        <w:rPr>
          <w:rtl/>
          <w:lang w:val="ar"/>
        </w:rPr>
        <w:t xml:space="preserve">: تهدف هذه الأسئلة المتكررة إلى مساعدة الأفراد العاملين لحسابهم الخاص وهيئات الحكم القبلية على فهم حقوقهم ومسؤولياتهم فهمًا أفضل والإلمام بقانون الإجازة الطبية العائلية المدفوعة الأجر من ولاية ماين. وتقدم هذه الوثيقة إرشادات، ولكنها لا تحل محل القانون أو لائحة البرنامج. وقد تكون المعلومات الواردة في هذه الإرشادات عُرضة للتغيير. فتفضل بزيارة </w:t>
      </w:r>
      <w:hyperlink r:id="rId5">
        <w:r>
          <w:rPr>
            <w:color w:val="467885"/>
            <w:u w:val="single" w:color="467885"/>
            <w:rtl/>
            <w:lang w:val="ar"/>
          </w:rPr>
          <w:t>www.maine.gov/paidleave</w:t>
        </w:r>
      </w:hyperlink>
      <w:r>
        <w:rPr>
          <w:rtl/>
          <w:lang w:val="ar"/>
        </w:rPr>
        <w:t xml:space="preserve"> للحصول على أحدث المعلومات.</w:t>
      </w:r>
    </w:p>
    <w:p w:rsidR="00DB2C9D" w14:paraId="5EA640FB" w14:textId="77777777">
      <w:pPr>
        <w:pStyle w:val="BodyText"/>
      </w:pPr>
    </w:p>
    <w:p w:rsidR="00DB2C9D" w14:paraId="2B17B932" w14:textId="77777777">
      <w:pPr>
        <w:pStyle w:val="BodyText"/>
        <w:bidi/>
        <w:spacing w:line="276" w:lineRule="exact"/>
        <w:ind w:left="109"/>
      </w:pPr>
      <w:r>
        <w:rPr>
          <w:rtl/>
          <w:lang w:val="ar"/>
        </w:rPr>
        <w:t>التغطية الاختيارية متاحة:</w:t>
      </w:r>
    </w:p>
    <w:p w:rsidR="00DB2C9D" w14:paraId="48288F1A" w14:textId="77777777">
      <w:pPr>
        <w:pStyle w:val="ListParagraph"/>
        <w:numPr>
          <w:ilvl w:val="0"/>
          <w:numId w:val="2"/>
        </w:numPr>
        <w:tabs>
          <w:tab w:val="left" w:pos="829"/>
        </w:tabs>
        <w:bidi/>
        <w:spacing w:line="293" w:lineRule="exact"/>
        <w:ind w:left="829"/>
        <w:rPr>
          <w:sz w:val="24"/>
        </w:rPr>
      </w:pPr>
      <w:r>
        <w:rPr>
          <w:sz w:val="24"/>
          <w:rtl/>
          <w:lang w:val="ar"/>
        </w:rPr>
        <w:t>للأفراد العاملين لحسابهم الخاص المقيمين في ولاية ماين،</w:t>
      </w:r>
    </w:p>
    <w:p w:rsidR="00DB2C9D" w14:paraId="5706AD6A" w14:textId="77777777">
      <w:pPr>
        <w:pStyle w:val="ListParagraph"/>
        <w:numPr>
          <w:ilvl w:val="0"/>
          <w:numId w:val="2"/>
        </w:numPr>
        <w:tabs>
          <w:tab w:val="left" w:pos="829"/>
        </w:tabs>
        <w:bidi/>
        <w:spacing w:line="293" w:lineRule="exact"/>
        <w:ind w:left="829" w:hanging="359"/>
        <w:rPr>
          <w:sz w:val="24"/>
        </w:rPr>
      </w:pPr>
      <w:r>
        <w:rPr>
          <w:sz w:val="24"/>
          <w:rtl/>
          <w:lang w:val="ar"/>
        </w:rPr>
        <w:t>ولهيئات الحكم القبلية التي ترغب في التأمين على موظفيها.</w:t>
      </w:r>
    </w:p>
    <w:p w:rsidR="00DB2C9D" w14:paraId="36379499" w14:textId="77777777">
      <w:pPr>
        <w:pStyle w:val="BodyText"/>
        <w:spacing w:before="221"/>
      </w:pPr>
    </w:p>
    <w:p w:rsidR="00DB2C9D" w14:paraId="0D4C8A4D" w14:textId="77777777">
      <w:pPr>
        <w:pStyle w:val="Heading1"/>
        <w:bidi/>
        <w:ind w:left="260" w:firstLine="0"/>
      </w:pPr>
      <w:r>
        <w:rPr>
          <w:u w:val="single"/>
          <w:rtl/>
          <w:lang w:val="ar"/>
        </w:rPr>
        <w:t>التغطية الاختيارية للأفراد العاملين لحسابهم الخاص</w:t>
      </w:r>
    </w:p>
    <w:p w:rsidR="00DB2C9D" w14:paraId="4C6261D8" w14:textId="77777777">
      <w:pPr>
        <w:pStyle w:val="BodyText"/>
        <w:rPr>
          <w:b/>
        </w:rPr>
      </w:pPr>
    </w:p>
    <w:p w:rsidR="00DB2C9D" w14:paraId="75508C4F" w14:textId="77777777">
      <w:pPr>
        <w:pStyle w:val="BodyText"/>
        <w:spacing w:before="126"/>
        <w:rPr>
          <w:b/>
        </w:rPr>
      </w:pPr>
    </w:p>
    <w:p w:rsidR="00DB2C9D" w14:paraId="2E23A1AB" w14:textId="77777777">
      <w:pPr>
        <w:pStyle w:val="ListParagraph"/>
        <w:numPr>
          <w:ilvl w:val="0"/>
          <w:numId w:val="1"/>
        </w:numPr>
        <w:tabs>
          <w:tab w:val="left" w:pos="500"/>
        </w:tabs>
        <w:bidi/>
        <w:rPr>
          <w:b/>
          <w:sz w:val="24"/>
        </w:rPr>
      </w:pPr>
      <w:r>
        <w:rPr>
          <w:b/>
          <w:sz w:val="24"/>
          <w:rtl/>
          <w:lang w:val="ar"/>
        </w:rPr>
        <w:t>كيف أختار التغطية بصفتي فردًا يعمل لحسابه الخاص؟</w:t>
      </w:r>
    </w:p>
    <w:p w:rsidR="00DB2C9D" w14:paraId="27FDF769" w14:textId="77777777">
      <w:pPr>
        <w:pStyle w:val="BodyText"/>
        <w:bidi/>
        <w:spacing w:before="202"/>
        <w:ind w:left="260"/>
      </w:pPr>
      <w:r>
        <w:rPr>
          <w:rtl/>
          <w:lang w:val="ar"/>
        </w:rPr>
        <w:t>لاختيار التغطية، يجب:</w:t>
      </w:r>
    </w:p>
    <w:p w:rsidR="00DB2C9D" w:rsidP="00697B00" w14:paraId="55094C43" w14:textId="77777777">
      <w:pPr>
        <w:pStyle w:val="ListParagraph"/>
        <w:numPr>
          <w:ilvl w:val="1"/>
          <w:numId w:val="1"/>
        </w:numPr>
        <w:tabs>
          <w:tab w:val="left" w:pos="993"/>
        </w:tabs>
        <w:bidi/>
        <w:spacing w:before="202"/>
        <w:ind w:left="993" w:hanging="359"/>
        <w:rPr>
          <w:sz w:val="24"/>
        </w:rPr>
      </w:pPr>
      <w:r>
        <w:rPr>
          <w:sz w:val="24"/>
          <w:rtl/>
          <w:lang w:val="ar"/>
        </w:rPr>
        <w:t>أن تكون مقيمًا في ولاية ماين.</w:t>
      </w:r>
    </w:p>
    <w:p w:rsidR="00DB2C9D" w:rsidP="00697B00" w14:paraId="60BF8D5D" w14:textId="60332D31">
      <w:pPr>
        <w:pStyle w:val="ListParagraph"/>
        <w:numPr>
          <w:ilvl w:val="1"/>
          <w:numId w:val="1"/>
        </w:numPr>
        <w:tabs>
          <w:tab w:val="left" w:pos="993"/>
        </w:tabs>
        <w:bidi/>
        <w:spacing w:before="201" w:line="276" w:lineRule="auto"/>
        <w:ind w:left="993" w:right="1872" w:hanging="359"/>
        <w:rPr>
          <w:sz w:val="24"/>
        </w:rPr>
      </w:pPr>
      <w:r>
        <w:rPr>
          <w:sz w:val="24"/>
          <w:rtl/>
          <w:lang w:val="ar"/>
        </w:rPr>
        <w:t>وأن تقدم إشعارًا بالاختيار إلى الإدارة من خلال بوابة ماين لاشتراكات الإجازات المدفوعة الأجر.</w:t>
      </w:r>
    </w:p>
    <w:p w:rsidR="00DB2C9D" w:rsidP="00697B00" w14:paraId="2F9F1F9F" w14:textId="77777777">
      <w:pPr>
        <w:pStyle w:val="ListParagraph"/>
        <w:numPr>
          <w:ilvl w:val="1"/>
          <w:numId w:val="1"/>
        </w:numPr>
        <w:tabs>
          <w:tab w:val="left" w:pos="993"/>
        </w:tabs>
        <w:bidi/>
        <w:spacing w:before="160"/>
        <w:ind w:left="993" w:hanging="359"/>
        <w:rPr>
          <w:sz w:val="24"/>
        </w:rPr>
      </w:pPr>
      <w:r>
        <w:rPr>
          <w:sz w:val="24"/>
          <w:rtl/>
          <w:lang w:val="ar"/>
        </w:rPr>
        <w:t>وأن تقدم نسخة من إقرارك الضريبي الفيدرالي عن السنة السابقة.</w:t>
      </w:r>
    </w:p>
    <w:p w:rsidR="00DB2C9D" w14:paraId="068CF3C0" w14:textId="77777777">
      <w:pPr>
        <w:pStyle w:val="BodyText"/>
      </w:pPr>
    </w:p>
    <w:p w:rsidR="00DB2C9D" w14:paraId="686FD02F" w14:textId="77777777">
      <w:pPr>
        <w:pStyle w:val="BodyText"/>
        <w:spacing w:before="127"/>
      </w:pPr>
    </w:p>
    <w:p w:rsidR="00DB2C9D" w14:paraId="24928733" w14:textId="77777777">
      <w:pPr>
        <w:pStyle w:val="Heading1"/>
        <w:numPr>
          <w:ilvl w:val="0"/>
          <w:numId w:val="1"/>
        </w:numPr>
        <w:tabs>
          <w:tab w:val="left" w:pos="500"/>
        </w:tabs>
        <w:bidi/>
      </w:pPr>
      <w:r>
        <w:rPr>
          <w:rtl/>
          <w:lang w:val="ar"/>
        </w:rPr>
        <w:t>ما مدة التغطية الاختيارية؟</w:t>
      </w:r>
    </w:p>
    <w:p w:rsidR="00DB2C9D" w14:paraId="24596720" w14:textId="77777777">
      <w:pPr>
        <w:pStyle w:val="BodyText"/>
        <w:bidi/>
        <w:spacing w:before="201" w:line="276" w:lineRule="auto"/>
        <w:ind w:left="259" w:right="622"/>
      </w:pPr>
      <w:r>
        <w:rPr>
          <w:rtl/>
          <w:lang w:val="ar"/>
        </w:rPr>
        <w:t>ويجب أن تكون التغطية الاختيارية لمدة أولية لا تقل عن ثلاث سنوات، مع إمكانية التجديد بعد انتهاء هذه المدة الأولية على أساس سنوي.</w:t>
      </w:r>
    </w:p>
    <w:p w:rsidR="00DB2C9D" w14:paraId="14D607ED" w14:textId="77777777">
      <w:pPr>
        <w:pStyle w:val="BodyText"/>
      </w:pPr>
    </w:p>
    <w:p w:rsidR="00DB2C9D" w14:paraId="71FAC5A5" w14:textId="77777777">
      <w:pPr>
        <w:pStyle w:val="BodyText"/>
        <w:spacing w:before="85"/>
      </w:pPr>
    </w:p>
    <w:p w:rsidR="00DB2C9D" w14:paraId="3C7D2DC6" w14:textId="77777777">
      <w:pPr>
        <w:pStyle w:val="Heading1"/>
        <w:numPr>
          <w:ilvl w:val="0"/>
          <w:numId w:val="1"/>
        </w:numPr>
        <w:tabs>
          <w:tab w:val="left" w:pos="494"/>
        </w:tabs>
        <w:bidi/>
        <w:ind w:left="494" w:hanging="235"/>
      </w:pPr>
      <w:r>
        <w:rPr>
          <w:rtl/>
          <w:lang w:val="ar"/>
        </w:rPr>
        <w:t>متى تصبح التغطية الاختيارية سارية؟</w:t>
      </w:r>
    </w:p>
    <w:p w:rsidR="00DB2C9D" w14:paraId="2951CEE3" w14:textId="77777777">
      <w:pPr>
        <w:pStyle w:val="BodyText"/>
        <w:bidi/>
        <w:spacing w:before="202" w:line="276" w:lineRule="auto"/>
        <w:ind w:left="259" w:right="496"/>
      </w:pPr>
      <w:r>
        <w:rPr>
          <w:rtl/>
          <w:lang w:val="ar"/>
        </w:rPr>
        <w:t>تصبح التغطية الاختيارية المعتمدة ساريةً في اليوم الأول من أول ربع يلي الاختيار.</w:t>
      </w:r>
    </w:p>
    <w:p w:rsidR="00DB2C9D" w14:paraId="427A98A8" w14:textId="77777777">
      <w:pPr>
        <w:spacing w:line="276" w:lineRule="auto"/>
        <w:sectPr>
          <w:type w:val="continuous"/>
          <w:pgSz w:w="12240" w:h="15840"/>
          <w:pgMar w:top="1440" w:right="940" w:bottom="280" w:left="1180" w:header="720" w:footer="720" w:gutter="0"/>
          <w:cols w:space="720"/>
        </w:sectPr>
      </w:pPr>
    </w:p>
    <w:p w:rsidR="00DB2C9D" w14:paraId="743F35BA" w14:textId="77777777">
      <w:pPr>
        <w:pStyle w:val="Heading1"/>
        <w:numPr>
          <w:ilvl w:val="0"/>
          <w:numId w:val="1"/>
        </w:numPr>
        <w:tabs>
          <w:tab w:val="left" w:pos="500"/>
        </w:tabs>
        <w:bidi/>
        <w:spacing w:before="98"/>
      </w:pPr>
      <w:r>
        <w:rPr>
          <w:rtl/>
          <w:lang w:val="ar"/>
        </w:rPr>
        <w:t>هل يمكن للفرد الذي يعمل لحسابه الخاص أن يتقدم بطلب للحصول على الاستحقاقات بعد التغطية الاختيارية؟</w:t>
      </w:r>
    </w:p>
    <w:p w:rsidR="00DB2C9D" w14:paraId="37FD1276" w14:textId="77777777">
      <w:pPr>
        <w:pStyle w:val="BodyText"/>
        <w:bidi/>
        <w:spacing w:before="201" w:line="276" w:lineRule="auto"/>
        <w:ind w:left="260" w:right="622"/>
      </w:pPr>
      <w:r>
        <w:rPr>
          <w:rtl/>
          <w:lang w:val="ar"/>
        </w:rPr>
        <w:t>نعم، يجوز للفرد الذي يعمل لحسابه الخاص أن يتقدم بطلب للحصول على الاستحقاقات بعد تاريخ سريان التغطية أو بعد تاريخ بدء الاستحقاقات، أيهما أبعد. ومن المقرر أن تبدأ الاستحقاقات في 1 أيار/ مايو 2026.</w:t>
      </w:r>
    </w:p>
    <w:p w:rsidR="00DB2C9D" w14:paraId="02BA164F" w14:textId="77777777">
      <w:pPr>
        <w:pStyle w:val="BodyText"/>
      </w:pPr>
    </w:p>
    <w:p w:rsidR="00DB2C9D" w14:paraId="37F67538" w14:textId="77777777">
      <w:pPr>
        <w:pStyle w:val="BodyText"/>
        <w:spacing w:before="85"/>
      </w:pPr>
    </w:p>
    <w:p w:rsidR="00DB2C9D" w14:paraId="04FBB8BF" w14:textId="77777777">
      <w:pPr>
        <w:pStyle w:val="Heading1"/>
        <w:numPr>
          <w:ilvl w:val="0"/>
          <w:numId w:val="1"/>
        </w:numPr>
        <w:tabs>
          <w:tab w:val="left" w:pos="500"/>
        </w:tabs>
        <w:bidi/>
        <w:spacing w:before="1"/>
      </w:pPr>
      <w:r>
        <w:rPr>
          <w:rtl/>
          <w:lang w:val="ar"/>
        </w:rPr>
        <w:t>كيف تُحدَّد الأجور في حالة الأفراد العاملين لحسابهم الخاص؟</w:t>
      </w:r>
    </w:p>
    <w:p w:rsidR="00DB2C9D" w14:paraId="47EB21DF" w14:textId="77777777">
      <w:pPr>
        <w:pStyle w:val="BodyText"/>
        <w:bidi/>
        <w:spacing w:before="201" w:line="276" w:lineRule="auto"/>
        <w:ind w:left="259" w:right="483"/>
      </w:pPr>
      <w:r>
        <w:rPr>
          <w:rtl/>
          <w:lang w:val="ar"/>
        </w:rPr>
        <w:t>في حالة الأفراد العاملين لحسابهم الخاص، تعتمد الأجور على صافي الأرباح المُحقَّقة من جميع الأعمال الحرة، التي أُبلِغت بها دوائر الضرائب في ولاية ماين في إقرار ضريبة الدخل الشخصي عن العام السابق. وتُحدَّد الأجور الفصلية عن طريق قسمة صافي الدخل الوارد في الإقرار الضريبي عن العام السابق على 4. ويجب تقديم نسخ من الإقرارات الضريبية إلى الإدارة سنويًّا قبل حلول 1 حزيران/ يونيو.</w:t>
      </w:r>
    </w:p>
    <w:p w:rsidR="00DB2C9D" w14:paraId="227F417A" w14:textId="77777777">
      <w:pPr>
        <w:pStyle w:val="BodyText"/>
      </w:pPr>
    </w:p>
    <w:p w:rsidR="00DB2C9D" w14:paraId="06FFBA85" w14:textId="77777777">
      <w:pPr>
        <w:pStyle w:val="BodyText"/>
        <w:spacing w:before="85"/>
      </w:pPr>
    </w:p>
    <w:p w:rsidR="00DB2C9D" w14:paraId="1BA32196" w14:textId="77777777">
      <w:pPr>
        <w:pStyle w:val="Heading1"/>
        <w:numPr>
          <w:ilvl w:val="0"/>
          <w:numId w:val="1"/>
        </w:numPr>
        <w:tabs>
          <w:tab w:val="left" w:pos="499"/>
        </w:tabs>
        <w:bidi/>
        <w:spacing w:before="1"/>
        <w:ind w:left="499"/>
      </w:pPr>
      <w:r>
        <w:rPr>
          <w:rtl/>
          <w:lang w:val="ar"/>
        </w:rPr>
        <w:t>هل يجب على الأفراد العاملين لحسابهم الخاص أن يستوفوا حدًّا أدنى للأجور؟</w:t>
      </w:r>
    </w:p>
    <w:p w:rsidR="00DB2C9D" w14:paraId="5C4C43D8" w14:textId="77777777">
      <w:pPr>
        <w:pStyle w:val="BodyText"/>
        <w:bidi/>
        <w:spacing w:before="200" w:line="276" w:lineRule="auto"/>
        <w:ind w:left="259" w:right="496"/>
      </w:pPr>
      <w:r>
        <w:rPr>
          <w:rtl/>
          <w:lang w:val="ar"/>
        </w:rPr>
        <w:t>نعم، يجب أن يستوفي الأفراد العاملون لحسابهم الخاص الحد الأدنى لأجور الأفراد المشمولين بالتغطية ليكونوا مؤهلين للحصول على استحقاقات الإجازة العائلية والطبية المدفوعة الأجر بأن يكون صافي أرباحهم الواردة في الإقرار الضريبي عن العام السابق أكثر من ستة أضعاف متوسط الأجر الأسبوعي في الولاية.</w:t>
      </w:r>
    </w:p>
    <w:p w:rsidR="00DB2C9D" w14:paraId="74D392D4" w14:textId="77777777">
      <w:pPr>
        <w:pStyle w:val="BodyText"/>
      </w:pPr>
    </w:p>
    <w:p w:rsidR="00DB2C9D" w14:paraId="73B4B54A" w14:textId="77777777">
      <w:pPr>
        <w:pStyle w:val="BodyText"/>
        <w:spacing w:before="86"/>
      </w:pPr>
    </w:p>
    <w:p w:rsidR="00DB2C9D" w14:paraId="769BD5D6" w14:textId="77777777">
      <w:pPr>
        <w:pStyle w:val="Heading1"/>
        <w:numPr>
          <w:ilvl w:val="0"/>
          <w:numId w:val="1"/>
        </w:numPr>
        <w:tabs>
          <w:tab w:val="left" w:pos="495"/>
        </w:tabs>
        <w:bidi/>
        <w:ind w:left="495" w:hanging="235"/>
      </w:pPr>
      <w:r>
        <w:rPr>
          <w:rtl/>
          <w:lang w:val="ar"/>
        </w:rPr>
        <w:t>ماذا لو أردت الانسحاب من التغطية؟</w:t>
      </w:r>
    </w:p>
    <w:p w:rsidR="00DB2C9D" w14:paraId="5367599E" w14:textId="77777777">
      <w:pPr>
        <w:pStyle w:val="BodyText"/>
        <w:bidi/>
        <w:spacing w:before="202" w:line="276" w:lineRule="auto"/>
        <w:ind w:left="259" w:right="544"/>
      </w:pPr>
      <w:r>
        <w:rPr>
          <w:rtl/>
          <w:lang w:val="ar"/>
        </w:rPr>
        <w:t>سوف تُرسل الإدارةُ إلى جميع الأفراد العاملين لحسابهم الخاص المشمولين بالتغطية الاختيارية إخطارًا بتاريخ انتهاء مدة التغطية قبل 60 يومًا على الأقل من تاريخ الانتهاء. وستبدأ حينها الفترة التي يجوز خلالها الانسحاب من التغطية.</w:t>
      </w:r>
    </w:p>
    <w:p w:rsidR="00DB2C9D" w14:paraId="3EE5EB60" w14:textId="77777777">
      <w:pPr>
        <w:pStyle w:val="BodyText"/>
      </w:pPr>
    </w:p>
    <w:p w:rsidR="00DB2C9D" w14:paraId="158387B6" w14:textId="77777777">
      <w:pPr>
        <w:pStyle w:val="BodyText"/>
        <w:spacing w:before="84"/>
      </w:pPr>
    </w:p>
    <w:p w:rsidR="00DB2C9D" w14:paraId="71FA0FAE" w14:textId="77777777">
      <w:pPr>
        <w:pStyle w:val="Heading1"/>
        <w:numPr>
          <w:ilvl w:val="0"/>
          <w:numId w:val="1"/>
        </w:numPr>
        <w:tabs>
          <w:tab w:val="left" w:pos="494"/>
        </w:tabs>
        <w:bidi/>
        <w:ind w:left="494" w:hanging="235"/>
      </w:pPr>
      <w:r>
        <w:rPr>
          <w:rtl/>
          <w:lang w:val="ar"/>
        </w:rPr>
        <w:t>ماذا سيحدث إذا لم أنسحب خلال الفترة المحددة؟</w:t>
      </w:r>
    </w:p>
    <w:p w:rsidR="00DB2C9D" w14:paraId="213879C1" w14:textId="77777777">
      <w:pPr>
        <w:pStyle w:val="BodyText"/>
        <w:bidi/>
        <w:spacing w:before="202" w:line="276" w:lineRule="auto"/>
        <w:ind w:left="259" w:right="111"/>
      </w:pPr>
      <w:r>
        <w:rPr>
          <w:rtl/>
          <w:lang w:val="ar"/>
        </w:rPr>
        <w:t>إذا لم تنسحب في غضون 60 يومًا قبل انتهاء التغطية التأمينية، فسوف تُجدَّد تلقائيًّا مدة التغطية سنة إضافية.</w:t>
      </w:r>
    </w:p>
    <w:p w:rsidR="00DB2C9D" w14:paraId="0EA39830" w14:textId="77777777">
      <w:pPr>
        <w:pStyle w:val="BodyText"/>
      </w:pPr>
    </w:p>
    <w:p w:rsidR="00DB2C9D" w14:paraId="35123052" w14:textId="77777777">
      <w:pPr>
        <w:pStyle w:val="BodyText"/>
        <w:spacing w:before="85"/>
      </w:pPr>
    </w:p>
    <w:p w:rsidR="00DB2C9D" w14:paraId="15D48D30" w14:textId="77777777">
      <w:pPr>
        <w:pStyle w:val="Heading1"/>
        <w:numPr>
          <w:ilvl w:val="0"/>
          <w:numId w:val="1"/>
        </w:numPr>
        <w:tabs>
          <w:tab w:val="left" w:pos="499"/>
        </w:tabs>
        <w:bidi/>
        <w:ind w:left="499"/>
      </w:pPr>
      <w:r>
        <w:rPr>
          <w:rtl/>
          <w:lang w:val="ar"/>
        </w:rPr>
        <w:t>هل يمكن للفرد الذي يعمل لحسابه الخاص أن ينسحب إذا لم يعد يعمل لحسابه الخاص؟</w:t>
      </w:r>
    </w:p>
    <w:p w:rsidR="00DB2C9D" w14:paraId="16392449" w14:textId="77777777">
      <w:pPr>
        <w:pStyle w:val="BodyText"/>
        <w:bidi/>
        <w:spacing w:before="202" w:line="276" w:lineRule="auto"/>
        <w:ind w:left="259" w:right="622"/>
      </w:pPr>
      <w:r>
        <w:rPr>
          <w:rtl/>
          <w:lang w:val="ar"/>
        </w:rPr>
        <w:t>نعم، إذا لم يعد الفرد يعمل لحسابه الخاص، فيمكنه الانسحاب من التغطية في غضون 30 يومًا من تغيير حالة العمل الحر عن طريق إخطار الإدارة من خلال بوابة ولاية ماين للإجازات المدفوعة الأجر.</w:t>
      </w:r>
    </w:p>
    <w:p w:rsidR="00DB2C9D" w14:paraId="2931C0B0" w14:textId="77777777">
      <w:pPr>
        <w:spacing w:line="276" w:lineRule="auto"/>
        <w:sectPr>
          <w:pgSz w:w="12240" w:h="15840"/>
          <w:pgMar w:top="1820" w:right="940" w:bottom="280" w:left="1180" w:header="720" w:footer="720" w:gutter="0"/>
          <w:cols w:space="720"/>
        </w:sectPr>
      </w:pPr>
    </w:p>
    <w:p w:rsidR="00DB2C9D" w14:paraId="74B9F44E" w14:textId="77777777">
      <w:pPr>
        <w:pStyle w:val="Heading1"/>
        <w:numPr>
          <w:ilvl w:val="0"/>
          <w:numId w:val="1"/>
        </w:numPr>
        <w:tabs>
          <w:tab w:val="left" w:pos="615"/>
        </w:tabs>
        <w:bidi/>
        <w:spacing w:before="60"/>
        <w:ind w:left="615" w:hanging="355"/>
      </w:pPr>
      <w:r>
        <w:rPr>
          <w:rtl/>
          <w:lang w:val="ar"/>
        </w:rPr>
        <w:t>متى يبدأ سريان الانسحاب؟</w:t>
      </w:r>
    </w:p>
    <w:p w:rsidR="00DB2C9D" w14:paraId="1CDE4268" w14:textId="77777777">
      <w:pPr>
        <w:pStyle w:val="BodyText"/>
        <w:bidi/>
        <w:spacing w:before="202" w:line="276" w:lineRule="auto"/>
        <w:ind w:left="260" w:right="622"/>
      </w:pPr>
      <w:r>
        <w:rPr>
          <w:rtl/>
          <w:lang w:val="ar"/>
        </w:rPr>
        <w:t>تاريخ سريان الانسحاب هو التاريخ الذي يوافق انقضاء 30 يومًا بعد تقديم إخطار الانسحاب، أو تاريخ موافقة الإدارة على الانسحاب، أيهما أبعد.</w:t>
      </w:r>
    </w:p>
    <w:p w:rsidR="00DB2C9D" w14:paraId="15A6632E" w14:textId="77777777">
      <w:pPr>
        <w:pStyle w:val="BodyText"/>
      </w:pPr>
    </w:p>
    <w:p w:rsidR="00DB2C9D" w14:paraId="2B37958F" w14:textId="77777777">
      <w:pPr>
        <w:pStyle w:val="BodyText"/>
        <w:spacing w:before="85"/>
      </w:pPr>
    </w:p>
    <w:p w:rsidR="00DB2C9D" w14:paraId="0E714B1F" w14:textId="77777777">
      <w:pPr>
        <w:pStyle w:val="Heading1"/>
        <w:numPr>
          <w:ilvl w:val="0"/>
          <w:numId w:val="1"/>
        </w:numPr>
        <w:tabs>
          <w:tab w:val="left" w:pos="606"/>
        </w:tabs>
        <w:bidi/>
        <w:ind w:left="606" w:hanging="346"/>
      </w:pPr>
      <w:r>
        <w:rPr>
          <w:rtl/>
          <w:lang w:val="ar"/>
        </w:rPr>
        <w:t>هل يمكنني اختيار التغطية مرة أخرى بعد الانسحاب؟</w:t>
      </w:r>
    </w:p>
    <w:p w:rsidR="00DB2C9D" w14:paraId="2B5B9245" w14:textId="77777777">
      <w:pPr>
        <w:pStyle w:val="BodyText"/>
        <w:bidi/>
        <w:spacing w:before="202" w:line="276" w:lineRule="auto"/>
        <w:ind w:left="260" w:right="496"/>
      </w:pPr>
      <w:r>
        <w:rPr>
          <w:rtl/>
          <w:lang w:val="ar"/>
        </w:rPr>
        <w:t>نعم، إذا انسحب الفرد الذي يعمل لحسابه الخاص أو لم يجدد التغطية، يجوز له اختيار التغطية مرة أخرى. وستبدأ التغطية الجديدة بمدة أولية تبلغ ثلاث سنوات.</w:t>
      </w:r>
    </w:p>
    <w:p w:rsidR="00DB2C9D" w14:paraId="730728C5" w14:textId="77777777">
      <w:pPr>
        <w:pStyle w:val="BodyText"/>
      </w:pPr>
    </w:p>
    <w:p w:rsidR="00DB2C9D" w14:paraId="74B4073F" w14:textId="77777777">
      <w:pPr>
        <w:pStyle w:val="BodyText"/>
      </w:pPr>
    </w:p>
    <w:p w:rsidR="00DB2C9D" w14:paraId="3986FB7E" w14:textId="77777777">
      <w:pPr>
        <w:pStyle w:val="BodyText"/>
      </w:pPr>
    </w:p>
    <w:p w:rsidR="00DB2C9D" w14:paraId="0A6AD124" w14:textId="77777777">
      <w:pPr>
        <w:pStyle w:val="BodyText"/>
        <w:spacing w:before="10"/>
      </w:pPr>
    </w:p>
    <w:p w:rsidR="00DB2C9D" w14:paraId="3EE606AE" w14:textId="77777777">
      <w:pPr>
        <w:pStyle w:val="Heading1"/>
        <w:bidi/>
        <w:spacing w:before="1"/>
        <w:ind w:left="260" w:firstLine="0"/>
      </w:pPr>
      <w:r>
        <w:rPr>
          <w:u w:val="single"/>
          <w:rtl/>
          <w:lang w:val="ar"/>
        </w:rPr>
        <w:t>التغطية الاختيارية لهيئات الحكم القبلية</w:t>
      </w:r>
    </w:p>
    <w:p w:rsidR="00DB2C9D" w14:paraId="199B0852" w14:textId="77777777">
      <w:pPr>
        <w:pStyle w:val="BodyText"/>
        <w:rPr>
          <w:b/>
        </w:rPr>
      </w:pPr>
    </w:p>
    <w:p w:rsidR="00DB2C9D" w14:paraId="6B9AF3B9" w14:textId="77777777">
      <w:pPr>
        <w:pStyle w:val="BodyText"/>
        <w:spacing w:before="125"/>
        <w:rPr>
          <w:b/>
        </w:rPr>
      </w:pPr>
    </w:p>
    <w:p w:rsidR="00DB2C9D" w14:paraId="3284FA6B" w14:textId="77777777">
      <w:pPr>
        <w:pStyle w:val="ListParagraph"/>
        <w:numPr>
          <w:ilvl w:val="0"/>
          <w:numId w:val="1"/>
        </w:numPr>
        <w:tabs>
          <w:tab w:val="left" w:pos="620"/>
        </w:tabs>
        <w:bidi/>
        <w:spacing w:before="1"/>
        <w:ind w:left="620" w:hanging="360"/>
        <w:rPr>
          <w:b/>
          <w:sz w:val="24"/>
        </w:rPr>
      </w:pPr>
      <w:r>
        <w:rPr>
          <w:b/>
          <w:sz w:val="24"/>
          <w:rtl/>
          <w:lang w:val="ar"/>
        </w:rPr>
        <w:t>كيف يمكن لهيئة الحكم القبلية اختيار التغطية؟</w:t>
      </w:r>
    </w:p>
    <w:p w:rsidR="00DB2C9D" w14:paraId="3287983D" w14:textId="77777777">
      <w:pPr>
        <w:pStyle w:val="BodyText"/>
        <w:bidi/>
        <w:spacing w:before="100" w:line="276" w:lineRule="auto"/>
        <w:ind w:left="259" w:right="622"/>
      </w:pPr>
      <w:r>
        <w:rPr>
          <w:rtl/>
          <w:lang w:val="ar"/>
        </w:rPr>
        <w:t>يمكن لهيئة الحكم القبلية أن تختار التغطية لموظفيها بأن تُرسل إلى الإدارة إخطارًا باختيار التغطية من خلال بوابة ولاية ماين لاشتراكات الإجازات المدفوعة الأجر. ويجب أن تكون التغطية الاختيارية لمدة أولية لا تقل عن ثلاث سنوات، مع إمكانية التجديد بعد انتهاء هذه المدة الأولية على أساس سنوي.</w:t>
      </w:r>
    </w:p>
    <w:p w:rsidR="00DB2C9D" w14:paraId="16E82CF0" w14:textId="77777777">
      <w:pPr>
        <w:pStyle w:val="BodyText"/>
        <w:spacing w:before="260"/>
      </w:pPr>
    </w:p>
    <w:p w:rsidR="00DB2C9D" w14:paraId="64109F52" w14:textId="77777777">
      <w:pPr>
        <w:pStyle w:val="Heading1"/>
        <w:numPr>
          <w:ilvl w:val="0"/>
          <w:numId w:val="1"/>
        </w:numPr>
        <w:tabs>
          <w:tab w:val="left" w:pos="619"/>
        </w:tabs>
        <w:bidi/>
        <w:ind w:left="619" w:hanging="360"/>
      </w:pPr>
      <w:r>
        <w:rPr>
          <w:rtl/>
          <w:lang w:val="ar"/>
        </w:rPr>
        <w:t>إذا اختارت هيئة الحكم القبلية التغطية، فماذا يعني ذلك؟</w:t>
      </w:r>
    </w:p>
    <w:p w:rsidR="00DB2C9D" w14:paraId="6CBCE61A" w14:textId="77777777">
      <w:pPr>
        <w:pStyle w:val="BodyText"/>
        <w:bidi/>
        <w:spacing w:before="99"/>
        <w:ind w:left="259" w:right="550"/>
      </w:pPr>
      <w:r>
        <w:rPr>
          <w:rtl/>
          <w:lang w:val="ar"/>
        </w:rPr>
        <w:t>عندما تختار إحدى هيئات الحكم القبلية التغطية، فذلك يعني أن الهيئة بصفتها جهة عمل قد اختارت تقديم التغطية لجميع العاملين لديها. وستصبح هيئة الحكم القبلية "جهة عمل"، وسيصبح موظفو الهيئة "موظفين مشمولين" لأغراض جميع القواعد الأخرى في البرنامج. وليس بإمكان الأفراد العاملين في هيئة الحكم القبلية أن يشتركوا في البرنامج أو يخرجوا منه.</w:t>
      </w:r>
    </w:p>
    <w:p w:rsidR="00DB2C9D" w14:paraId="25D46111" w14:textId="77777777">
      <w:pPr>
        <w:pStyle w:val="BodyText"/>
        <w:spacing w:before="261"/>
      </w:pPr>
    </w:p>
    <w:p w:rsidR="00DB2C9D" w14:paraId="5F9C991F" w14:textId="77777777">
      <w:pPr>
        <w:pStyle w:val="Heading1"/>
        <w:numPr>
          <w:ilvl w:val="0"/>
          <w:numId w:val="1"/>
        </w:numPr>
        <w:tabs>
          <w:tab w:val="left" w:pos="619"/>
        </w:tabs>
        <w:bidi/>
        <w:ind w:left="619" w:hanging="360"/>
      </w:pPr>
      <w:r>
        <w:rPr>
          <w:rtl/>
          <w:lang w:val="ar"/>
        </w:rPr>
        <w:t>كيف ينبغي لهيئة الحكم القبلية أن تقدم تقارير عن الأجور؟</w:t>
      </w:r>
    </w:p>
    <w:p w:rsidR="00DB2C9D" w14:paraId="15AB3333" w14:textId="77777777">
      <w:pPr>
        <w:pStyle w:val="BodyText"/>
        <w:bidi/>
        <w:spacing w:before="202" w:line="276" w:lineRule="auto"/>
        <w:ind w:left="259" w:right="622"/>
      </w:pPr>
      <w:r>
        <w:rPr>
          <w:rtl/>
          <w:lang w:val="ar"/>
        </w:rPr>
        <w:t xml:space="preserve">يجب على هيئات الحكم القبلية التي تختار التغطية أن تُقدِّم إلى الإدارة </w:t>
      </w:r>
      <w:r>
        <w:rPr>
          <w:b/>
          <w:rtl/>
          <w:lang w:val="ar"/>
        </w:rPr>
        <w:t>تقارير اشتراكات ربع سنوية</w:t>
      </w:r>
      <w:r>
        <w:rPr>
          <w:rtl/>
          <w:lang w:val="ar"/>
        </w:rPr>
        <w:t xml:space="preserve"> من خلال بوابة ولاية ماين للإجازات المدفوعة الأجر باستخدام الإجراءات العادية لجهة العمل في البرنامج.</w:t>
      </w:r>
    </w:p>
    <w:p w:rsidR="00DB2C9D" w14:paraId="63D7E572" w14:textId="77777777">
      <w:pPr>
        <w:pStyle w:val="BodyText"/>
      </w:pPr>
    </w:p>
    <w:p w:rsidR="00DB2C9D" w14:paraId="6C8A2FE9" w14:textId="77777777">
      <w:pPr>
        <w:pStyle w:val="BodyText"/>
        <w:spacing w:before="84"/>
      </w:pPr>
    </w:p>
    <w:p w:rsidR="00DB2C9D" w14:paraId="0C5CF442" w14:textId="77777777">
      <w:pPr>
        <w:pStyle w:val="Heading1"/>
        <w:numPr>
          <w:ilvl w:val="0"/>
          <w:numId w:val="1"/>
        </w:numPr>
        <w:tabs>
          <w:tab w:val="left" w:pos="614"/>
        </w:tabs>
        <w:bidi/>
        <w:ind w:left="614" w:hanging="355"/>
      </w:pPr>
      <w:r>
        <w:rPr>
          <w:rtl/>
          <w:lang w:val="ar"/>
        </w:rPr>
        <w:t>ماذا لو أردت الانسحاب من التغطية؟</w:t>
      </w:r>
    </w:p>
    <w:p w:rsidR="00DB2C9D" w14:paraId="65135021" w14:textId="77777777">
      <w:pPr>
        <w:pStyle w:val="BodyText"/>
        <w:bidi/>
        <w:spacing w:before="202" w:line="276" w:lineRule="auto"/>
        <w:ind w:left="259" w:right="622"/>
      </w:pPr>
      <w:r>
        <w:rPr>
          <w:rtl/>
          <w:lang w:val="ar"/>
        </w:rPr>
        <w:t>سوف تُرسل الإدارةُ إلى جميع هيئات الحكم القبلية التي اختارت التغطية إخطارًا بتاريخ انتهاء مدة التغطية قبل 60 يومًا على الأقل من تاريخ الانتهاء. وستبدأ حينها الفترة التي يجوز خلالها الانسحاب من التغطية.</w:t>
      </w:r>
    </w:p>
    <w:p w:rsidR="00DB2C9D" w14:paraId="30F5FF1F" w14:textId="77777777">
      <w:pPr>
        <w:spacing w:line="276" w:lineRule="auto"/>
        <w:sectPr>
          <w:pgSz w:w="12240" w:h="15840"/>
          <w:pgMar w:top="1380" w:right="940" w:bottom="280" w:left="1180" w:header="720" w:footer="720" w:gutter="0"/>
          <w:cols w:space="720"/>
        </w:sectPr>
      </w:pPr>
    </w:p>
    <w:p w:rsidR="00DB2C9D" w14:paraId="684908C6" w14:textId="77777777">
      <w:pPr>
        <w:pStyle w:val="Heading1"/>
        <w:numPr>
          <w:ilvl w:val="0"/>
          <w:numId w:val="1"/>
        </w:numPr>
        <w:tabs>
          <w:tab w:val="left" w:pos="615"/>
        </w:tabs>
        <w:bidi/>
        <w:spacing w:before="98"/>
        <w:ind w:left="615" w:hanging="355"/>
      </w:pPr>
      <w:r>
        <w:rPr>
          <w:rtl/>
          <w:lang w:val="ar"/>
        </w:rPr>
        <w:t>ماذا سيحدث إذا لم أنسحب خلال الفترة المحددة؟</w:t>
      </w:r>
    </w:p>
    <w:p w:rsidR="00DB2C9D" w14:paraId="54E27CD4" w14:textId="77777777">
      <w:pPr>
        <w:pStyle w:val="BodyText"/>
        <w:bidi/>
        <w:spacing w:before="201" w:line="276" w:lineRule="auto"/>
        <w:ind w:left="260" w:right="111"/>
      </w:pPr>
      <w:r>
        <w:rPr>
          <w:rtl/>
          <w:lang w:val="ar"/>
        </w:rPr>
        <w:t>إذا لم تنسحب في غضون 60 يومًا قبل انتهاء التغطية التأمينية، فسوف تُجدَّد تلقائيًّا مدة التغطية سنة إضافية.</w:t>
      </w:r>
    </w:p>
    <w:p w:rsidR="00DB2C9D" w14:paraId="0FDBB63F" w14:textId="77777777">
      <w:pPr>
        <w:pStyle w:val="BodyText"/>
      </w:pPr>
    </w:p>
    <w:p w:rsidR="00DB2C9D" w14:paraId="7AEB5192" w14:textId="77777777">
      <w:pPr>
        <w:pStyle w:val="BodyText"/>
        <w:spacing w:before="85"/>
      </w:pPr>
    </w:p>
    <w:p w:rsidR="00DB2C9D" w14:paraId="30A54135" w14:textId="77777777">
      <w:pPr>
        <w:pStyle w:val="Heading1"/>
        <w:numPr>
          <w:ilvl w:val="0"/>
          <w:numId w:val="1"/>
        </w:numPr>
        <w:tabs>
          <w:tab w:val="left" w:pos="620"/>
        </w:tabs>
        <w:bidi/>
        <w:spacing w:before="1"/>
        <w:ind w:left="620" w:hanging="360"/>
      </w:pPr>
      <w:r>
        <w:rPr>
          <w:rtl/>
          <w:lang w:val="ar"/>
        </w:rPr>
        <w:t>هل يمكن لهيئة الحكم القبلية أن تنسحب من التغطية؟</w:t>
      </w:r>
    </w:p>
    <w:p w:rsidR="00DB2C9D" w14:paraId="4EC348C6" w14:textId="77777777">
      <w:pPr>
        <w:pStyle w:val="BodyText"/>
        <w:bidi/>
        <w:spacing w:before="201" w:line="276" w:lineRule="auto"/>
        <w:ind w:left="260" w:right="622"/>
      </w:pPr>
      <w:r>
        <w:rPr>
          <w:rtl/>
          <w:lang w:val="ar"/>
        </w:rPr>
        <w:t>نعم، يمكن لهيئة الحكم القبلية أن تنسحب من التغطية عن طريق ملء استمارة الانسحاب وتقديمها من خلال بوابة ولاية ماين للإجازات المدفوعة الأجر. ويجب تقديم استمارة الانسحاب في غضون 30 يومًا بعد انتهاء مدة التغطية.</w:t>
      </w:r>
    </w:p>
    <w:p w:rsidR="00DB2C9D" w14:paraId="34CBA873" w14:textId="77777777">
      <w:pPr>
        <w:pStyle w:val="BodyText"/>
      </w:pPr>
    </w:p>
    <w:p w:rsidR="00DB2C9D" w14:paraId="040A196D" w14:textId="77777777">
      <w:pPr>
        <w:pStyle w:val="BodyText"/>
        <w:spacing w:before="85"/>
      </w:pPr>
    </w:p>
    <w:p w:rsidR="00DB2C9D" w14:paraId="127E0F51" w14:textId="77777777">
      <w:pPr>
        <w:pStyle w:val="Heading1"/>
        <w:numPr>
          <w:ilvl w:val="0"/>
          <w:numId w:val="1"/>
        </w:numPr>
        <w:tabs>
          <w:tab w:val="left" w:pos="620"/>
        </w:tabs>
        <w:bidi/>
        <w:ind w:left="620" w:hanging="360"/>
      </w:pPr>
      <w:r>
        <w:rPr>
          <w:rtl/>
          <w:lang w:val="ar"/>
        </w:rPr>
        <w:t>هل يمكنني اختيار التغطية مرة أخرى بعد الانسحاب؟</w:t>
      </w:r>
    </w:p>
    <w:p w:rsidR="00DB2C9D" w14:paraId="091E4A0E" w14:textId="77777777">
      <w:pPr>
        <w:pStyle w:val="BodyText"/>
        <w:bidi/>
        <w:spacing w:before="202" w:line="276" w:lineRule="auto"/>
        <w:ind w:left="260" w:right="622"/>
      </w:pPr>
      <w:r>
        <w:rPr>
          <w:rtl/>
          <w:lang w:val="ar"/>
        </w:rPr>
        <w:t>نعم، إذا انسحبت هيئة الحكم القبلية أو لم تجدد التغطية، يجوز لها اختيار التغطية مرة أخرى. وستبدأ التغطية الجديدة بمدة أولية تبلغ ثلاث سنوات.</w:t>
      </w:r>
    </w:p>
    <w:sectPr>
      <w:pgSz w:w="12240" w:h="15840"/>
      <w:pgMar w:top="1820" w:right="94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DF2899"/>
    <w:multiLevelType w:val="hybridMultilevel"/>
    <w:tmpl w:val="3880062A"/>
    <w:lvl w:ilvl="0">
      <w:start w:val="1"/>
      <w:numFmt w:val="bullet"/>
      <w:lvlText w:val=""/>
      <w:lvlJc w:val="left"/>
      <w:pPr>
        <w:ind w:left="830" w:hanging="360"/>
      </w:pPr>
      <w:rPr>
        <w:rFonts w:ascii="Wingdings" w:hAnsi="Wingdings" w:hint="default"/>
        <w:b w:val="0"/>
        <w:bCs w:val="0"/>
        <w:i w:val="0"/>
        <w:iCs w:val="0"/>
        <w:spacing w:val="0"/>
        <w:w w:val="100"/>
        <w:sz w:val="24"/>
        <w:szCs w:val="24"/>
        <w:lang w:val="en-US" w:eastAsia="en-US" w:bidi="ar-SA"/>
      </w:rPr>
    </w:lvl>
    <w:lvl w:ilvl="1">
      <w:start w:val="0"/>
      <w:numFmt w:val="bullet"/>
      <w:lvlText w:val="•"/>
      <w:lvlJc w:val="left"/>
      <w:pPr>
        <w:ind w:left="1750" w:hanging="360"/>
      </w:pPr>
      <w:rPr>
        <w:rFonts w:hint="default"/>
        <w:lang w:val="en-US" w:eastAsia="en-US" w:bidi="ar-SA"/>
      </w:rPr>
    </w:lvl>
    <w:lvl w:ilvl="2">
      <w:start w:val="0"/>
      <w:numFmt w:val="bullet"/>
      <w:lvlText w:val="•"/>
      <w:lvlJc w:val="left"/>
      <w:pPr>
        <w:ind w:left="2680" w:hanging="360"/>
      </w:pPr>
      <w:rPr>
        <w:rFonts w:hint="default"/>
        <w:lang w:val="en-US" w:eastAsia="en-US" w:bidi="ar-SA"/>
      </w:rPr>
    </w:lvl>
    <w:lvl w:ilvl="3">
      <w:start w:val="0"/>
      <w:numFmt w:val="bullet"/>
      <w:lvlText w:val="•"/>
      <w:lvlJc w:val="left"/>
      <w:pPr>
        <w:ind w:left="3610" w:hanging="360"/>
      </w:pPr>
      <w:rPr>
        <w:rFonts w:hint="default"/>
        <w:lang w:val="en-US" w:eastAsia="en-US" w:bidi="ar-SA"/>
      </w:rPr>
    </w:lvl>
    <w:lvl w:ilvl="4">
      <w:start w:val="0"/>
      <w:numFmt w:val="bullet"/>
      <w:lvlText w:val="•"/>
      <w:lvlJc w:val="left"/>
      <w:pPr>
        <w:ind w:left="4540" w:hanging="360"/>
      </w:pPr>
      <w:rPr>
        <w:rFonts w:hint="default"/>
        <w:lang w:val="en-US" w:eastAsia="en-US" w:bidi="ar-SA"/>
      </w:rPr>
    </w:lvl>
    <w:lvl w:ilvl="5">
      <w:start w:val="0"/>
      <w:numFmt w:val="bullet"/>
      <w:lvlText w:val="•"/>
      <w:lvlJc w:val="left"/>
      <w:pPr>
        <w:ind w:left="5470" w:hanging="360"/>
      </w:pPr>
      <w:rPr>
        <w:rFonts w:hint="default"/>
        <w:lang w:val="en-US" w:eastAsia="en-US" w:bidi="ar-SA"/>
      </w:rPr>
    </w:lvl>
    <w:lvl w:ilvl="6">
      <w:start w:val="0"/>
      <w:numFmt w:val="bullet"/>
      <w:lvlText w:val="•"/>
      <w:lvlJc w:val="left"/>
      <w:pPr>
        <w:ind w:left="6400" w:hanging="360"/>
      </w:pPr>
      <w:rPr>
        <w:rFonts w:hint="default"/>
        <w:lang w:val="en-US" w:eastAsia="en-US" w:bidi="ar-SA"/>
      </w:rPr>
    </w:lvl>
    <w:lvl w:ilvl="7">
      <w:start w:val="0"/>
      <w:numFmt w:val="bullet"/>
      <w:lvlText w:val="•"/>
      <w:lvlJc w:val="left"/>
      <w:pPr>
        <w:ind w:left="7330" w:hanging="360"/>
      </w:pPr>
      <w:rPr>
        <w:rFonts w:hint="default"/>
        <w:lang w:val="en-US" w:eastAsia="en-US" w:bidi="ar-SA"/>
      </w:rPr>
    </w:lvl>
    <w:lvl w:ilvl="8">
      <w:start w:val="0"/>
      <w:numFmt w:val="bullet"/>
      <w:lvlText w:val="•"/>
      <w:lvlJc w:val="left"/>
      <w:pPr>
        <w:ind w:left="8260" w:hanging="360"/>
      </w:pPr>
      <w:rPr>
        <w:rFonts w:hint="default"/>
        <w:lang w:val="en-US" w:eastAsia="en-US" w:bidi="ar-SA"/>
      </w:rPr>
    </w:lvl>
  </w:abstractNum>
  <w:abstractNum w:abstractNumId="1">
    <w:nsid w:val="6FDC08E0"/>
    <w:multiLevelType w:val="hybridMultilevel"/>
    <w:tmpl w:val="DA3E21C2"/>
    <w:lvl w:ilvl="0">
      <w:start w:val="1"/>
      <w:numFmt w:val="decimal"/>
      <w:lvlText w:val="%1."/>
      <w:lvlJc w:val="left"/>
      <w:pPr>
        <w:ind w:left="50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bullet"/>
      <w:lvlText w:val=""/>
      <w:lvlJc w:val="left"/>
      <w:pPr>
        <w:ind w:left="830" w:hanging="360"/>
      </w:pPr>
      <w:rPr>
        <w:rFonts w:ascii="Wingdings" w:hAnsi="Wingdings" w:hint="default"/>
      </w:rPr>
    </w:lvl>
    <w:lvl w:ilvl="2">
      <w:start w:val="0"/>
      <w:numFmt w:val="bullet"/>
      <w:lvlText w:val="•"/>
      <w:lvlJc w:val="left"/>
      <w:pPr>
        <w:ind w:left="1995" w:hanging="360"/>
      </w:pPr>
      <w:rPr>
        <w:rFonts w:hint="default"/>
        <w:lang w:val="en-US" w:eastAsia="en-US" w:bidi="ar-SA"/>
      </w:rPr>
    </w:lvl>
    <w:lvl w:ilvl="3">
      <w:start w:val="0"/>
      <w:numFmt w:val="bullet"/>
      <w:lvlText w:val="•"/>
      <w:lvlJc w:val="left"/>
      <w:pPr>
        <w:ind w:left="3011" w:hanging="360"/>
      </w:pPr>
      <w:rPr>
        <w:rFonts w:hint="default"/>
        <w:lang w:val="en-US" w:eastAsia="en-US" w:bidi="ar-SA"/>
      </w:rPr>
    </w:lvl>
    <w:lvl w:ilvl="4">
      <w:start w:val="0"/>
      <w:numFmt w:val="bullet"/>
      <w:lvlText w:val="•"/>
      <w:lvlJc w:val="left"/>
      <w:pPr>
        <w:ind w:left="4026" w:hanging="360"/>
      </w:pPr>
      <w:rPr>
        <w:rFonts w:hint="default"/>
        <w:lang w:val="en-US" w:eastAsia="en-US" w:bidi="ar-SA"/>
      </w:rPr>
    </w:lvl>
    <w:lvl w:ilvl="5">
      <w:start w:val="0"/>
      <w:numFmt w:val="bullet"/>
      <w:lvlText w:val="•"/>
      <w:lvlJc w:val="left"/>
      <w:pPr>
        <w:ind w:left="5042" w:hanging="360"/>
      </w:pPr>
      <w:rPr>
        <w:rFonts w:hint="default"/>
        <w:lang w:val="en-US" w:eastAsia="en-US" w:bidi="ar-SA"/>
      </w:rPr>
    </w:lvl>
    <w:lvl w:ilvl="6">
      <w:start w:val="0"/>
      <w:numFmt w:val="bullet"/>
      <w:lvlText w:val="•"/>
      <w:lvlJc w:val="left"/>
      <w:pPr>
        <w:ind w:left="6057" w:hanging="360"/>
      </w:pPr>
      <w:rPr>
        <w:rFonts w:hint="default"/>
        <w:lang w:val="en-US" w:eastAsia="en-US" w:bidi="ar-SA"/>
      </w:rPr>
    </w:lvl>
    <w:lvl w:ilvl="7">
      <w:start w:val="0"/>
      <w:numFmt w:val="bullet"/>
      <w:lvlText w:val="•"/>
      <w:lvlJc w:val="left"/>
      <w:pPr>
        <w:ind w:left="7073"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num w:numId="1" w16cid:durableId="411465476">
    <w:abstractNumId w:val="1"/>
  </w:num>
  <w:num w:numId="2" w16cid:durableId="114981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9D"/>
    <w:rsid w:val="00421749"/>
    <w:rsid w:val="00697B00"/>
    <w:rsid w:val="00DB2C9D"/>
    <w:rsid w:val="00E05BAA"/>
  </w:rsids>
  <m:mathPr>
    <m:mathFont m:val="Cambria Math"/>
  </m:mathPr>
  <w:themeFontLang w:val="es-AR" w:eastAsia="zh-CN" w:bidi="ar-SA"/>
  <w:clrSchemeMapping w:bg1="light1" w:t1="dark1" w:bg2="light2" w:t2="dark2" w:accent1="accent1" w:accent2="accent2" w:accent3="accent3" w:accent4="accent4" w:accent5="accent5" w:accent6="accent6" w:hyperlink="hyperlink" w:followedHyperlink="followedHyperlink"/>
  <w14:docId w14:val="7F7A89BF"/>
  <w15:docId w15:val="{55099278-8042-4B52-9222-BF5359D1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00" w:hanging="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aine.gov/paidleave/"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2025-03-12T19:29:00Z</dcterms:created>
  <dcterms:modified xsi:type="dcterms:W3CDTF">2025-03-12T21:57:00Z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0x01010046EE27DB4324AE4B8375CF1CC18F9939</vt:lpwstr>
  </property>
  <property fmtid="{D5CDD505-2E9C-101B-9397-08002B2CF9AE}" pid="3" name="Created">
    <vt:filetime>2025-03-04T00:00:00Z</vt:filetime>
  </property>
  <property fmtid="{D5CDD505-2E9C-101B-9397-08002B2CF9AE}" pid="4" name="Creator">
    <vt:lpwstr>Acrobat PDFMaker 24 for Word</vt:lpwstr>
  </property>
  <property fmtid="{D5CDD505-2E9C-101B-9397-08002B2CF9AE}" pid="5" name="GrammarlyDocumentId">
    <vt:lpwstr>23dd4d6f51a25b4c16f77e8eecd704ea0810a8fb8b877557e2537754c27a9727</vt:lpwstr>
  </property>
  <property fmtid="{D5CDD505-2E9C-101B-9397-08002B2CF9AE}" pid="6" name="LastSaved">
    <vt:filetime>2025-03-12T00:00:00Z</vt:filetime>
  </property>
  <property fmtid="{D5CDD505-2E9C-101B-9397-08002B2CF9AE}" pid="7" name="MediaServiceImageTags">
    <vt:lpwstr/>
  </property>
  <property fmtid="{D5CDD505-2E9C-101B-9397-08002B2CF9AE}" pid="8" name="Producer">
    <vt:lpwstr>Adobe PDF Library 24.5.197</vt:lpwstr>
  </property>
  <property fmtid="{D5CDD505-2E9C-101B-9397-08002B2CF9AE}" pid="9" name="SourceModified">
    <vt:lpwstr>D:20250304155131</vt:lpwstr>
  </property>
</Properties>
</file>