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442B589D"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06FD2C81" w14:textId="49079757" w:rsidR="008A7265" w:rsidRPr="004D0B74" w:rsidRDefault="00A9740F" w:rsidP="005552CA">
      <w:pPr>
        <w:pStyle w:val="NoSpacing"/>
        <w:jc w:val="center"/>
        <w:rPr>
          <w:rFonts w:cstheme="minorHAnsi"/>
          <w:b/>
          <w:bCs/>
          <w:caps/>
        </w:rPr>
      </w:pPr>
      <w:r>
        <w:rPr>
          <w:rFonts w:cstheme="minorHAnsi"/>
          <w:b/>
          <w:bCs/>
          <w:caps/>
          <w:color w:val="0070C0"/>
        </w:rPr>
        <w:t>Leases</w:t>
      </w:r>
    </w:p>
    <w:p w14:paraId="7088F2C3" w14:textId="23D41F39" w:rsidR="004D0B74" w:rsidRPr="004D0B74" w:rsidRDefault="004D0B74" w:rsidP="004D0B74">
      <w:pPr>
        <w:jc w:val="center"/>
        <w:rPr>
          <w:rFonts w:cstheme="minorHAnsi"/>
        </w:rPr>
      </w:pPr>
      <w:r>
        <w:rPr>
          <w:rFonts w:cstheme="minorHAnsi"/>
        </w:rPr>
        <w:t>[</w:t>
      </w:r>
      <w:r w:rsidRPr="004D0B74">
        <w:rPr>
          <w:rFonts w:cstheme="minorHAnsi"/>
        </w:rPr>
        <w:t>GASB Standard</w:t>
      </w:r>
      <w:r w:rsidR="00A9740F">
        <w:rPr>
          <w:rFonts w:cstheme="minorHAnsi"/>
        </w:rPr>
        <w:t xml:space="preserve"> 87</w:t>
      </w:r>
      <w:r>
        <w:rPr>
          <w:rFonts w:cstheme="minorHAnsi"/>
        </w:rPr>
        <w:t>]</w:t>
      </w:r>
    </w:p>
    <w:p w14:paraId="781B0679" w14:textId="6111D20D" w:rsidR="00A9740F" w:rsidRPr="000151FE" w:rsidRDefault="00A9740F" w:rsidP="00A9740F">
      <w:pPr>
        <w:jc w:val="both"/>
        <w:rPr>
          <w:sz w:val="20"/>
          <w:szCs w:val="20"/>
        </w:rPr>
      </w:pPr>
      <w:r w:rsidRPr="000151FE">
        <w:rPr>
          <w:sz w:val="20"/>
          <w:szCs w:val="20"/>
        </w:rPr>
        <w:t xml:space="preserve">GASB </w:t>
      </w:r>
      <w:proofErr w:type="gramStart"/>
      <w:r w:rsidRPr="000151FE">
        <w:rPr>
          <w:sz w:val="20"/>
          <w:szCs w:val="20"/>
        </w:rPr>
        <w:t>87 was effective beginning</w:t>
      </w:r>
      <w:proofErr w:type="gramEnd"/>
      <w:r w:rsidRPr="000151FE">
        <w:rPr>
          <w:sz w:val="20"/>
          <w:szCs w:val="20"/>
        </w:rPr>
        <w:t xml:space="preserve"> with fiscal year 2022.  Any leases that are managed by the Bureau of General Services and those associated lease payments that a</w:t>
      </w:r>
      <w:r w:rsidR="00224087">
        <w:rPr>
          <w:sz w:val="20"/>
          <w:szCs w:val="20"/>
        </w:rPr>
        <w:t>re</w:t>
      </w:r>
      <w:r w:rsidRPr="000151FE">
        <w:rPr>
          <w:sz w:val="20"/>
          <w:szCs w:val="20"/>
        </w:rPr>
        <w:t xml:space="preserve"> made to fund 043 do not need to be disclosed in your agency’s closing package since OSC has worked with the General Government Service Center to identify those leases.  Any leases and lease payments that are made directly by departments to lessors/vendors should be reported in the closing package using the excel spreadsheet (GASB 87 Leases) listed separately on </w:t>
      </w:r>
      <w:hyperlink r:id="rId7" w:history="1">
        <w:r w:rsidRPr="000151FE">
          <w:rPr>
            <w:rStyle w:val="Hyperlink"/>
            <w:sz w:val="20"/>
            <w:szCs w:val="20"/>
          </w:rPr>
          <w:t>OSC's Web Site</w:t>
        </w:r>
      </w:hyperlink>
      <w:r w:rsidRPr="000151FE">
        <w:rPr>
          <w:sz w:val="20"/>
          <w:szCs w:val="20"/>
        </w:rPr>
        <w:t>).</w:t>
      </w:r>
    </w:p>
    <w:p w14:paraId="51CE2C7C" w14:textId="51FDC46B" w:rsidR="00A9740F" w:rsidRPr="000151FE" w:rsidRDefault="00A9740F" w:rsidP="00A9740F">
      <w:pPr>
        <w:jc w:val="both"/>
        <w:rPr>
          <w:sz w:val="20"/>
          <w:szCs w:val="20"/>
        </w:rPr>
      </w:pPr>
      <w:r w:rsidRPr="000151FE">
        <w:rPr>
          <w:sz w:val="20"/>
          <w:szCs w:val="20"/>
        </w:rPr>
        <w:t xml:space="preserve">In general, capital leases under GASB 87 are leases of tangible property for terms of longer than 1 year.  Renewal option/periods are added to the lease period.  For example, a </w:t>
      </w:r>
      <w:proofErr w:type="gramStart"/>
      <w:r w:rsidRPr="000151FE">
        <w:rPr>
          <w:sz w:val="20"/>
          <w:szCs w:val="20"/>
        </w:rPr>
        <w:t>1 year</w:t>
      </w:r>
      <w:proofErr w:type="gramEnd"/>
      <w:r w:rsidRPr="000151FE">
        <w:rPr>
          <w:sz w:val="20"/>
          <w:szCs w:val="20"/>
        </w:rPr>
        <w:t xml:space="preserve"> lease with 1 year renewal option is considered a two-year lease for GASB 87 reporting purposes.  Leases typically and predominantly include buildings, but may also include vehicles, communication towers, land, photocopiers, heavy equipment etc.  Note that a right of way lease is considered intangible property and reported under GASB 51.  See GASB 51 section.</w:t>
      </w:r>
    </w:p>
    <w:p w14:paraId="0041FD9E" w14:textId="17E38540" w:rsidR="00A9740F" w:rsidRPr="000151FE" w:rsidRDefault="000151FE" w:rsidP="00A9740F">
      <w:pPr>
        <w:jc w:val="both"/>
        <w:rPr>
          <w:sz w:val="20"/>
          <w:szCs w:val="20"/>
        </w:rPr>
      </w:pPr>
      <w:r w:rsidRPr="000151FE">
        <w:rPr>
          <w:sz w:val="20"/>
          <w:szCs w:val="20"/>
        </w:rPr>
        <w:t>For the leases that are managed directly with your agency p</w:t>
      </w:r>
      <w:r w:rsidR="00A9740F" w:rsidRPr="000151FE">
        <w:rPr>
          <w:sz w:val="20"/>
          <w:szCs w:val="20"/>
        </w:rPr>
        <w:t>lease provide the following information</w:t>
      </w:r>
      <w:r w:rsidRPr="000151FE">
        <w:rPr>
          <w:sz w:val="20"/>
          <w:szCs w:val="20"/>
        </w:rPr>
        <w:t xml:space="preserve"> using the excel spreadsheet (GASB 87 Leases) listed separately on </w:t>
      </w:r>
      <w:hyperlink r:id="rId8" w:history="1">
        <w:r w:rsidRPr="000151FE">
          <w:rPr>
            <w:rStyle w:val="Hyperlink"/>
            <w:sz w:val="20"/>
            <w:szCs w:val="20"/>
          </w:rPr>
          <w:t>OSC's Web Site</w:t>
        </w:r>
      </w:hyperlink>
      <w:r w:rsidRPr="000151FE">
        <w:rPr>
          <w:sz w:val="20"/>
          <w:szCs w:val="20"/>
        </w:rPr>
        <w:t xml:space="preserve">). </w:t>
      </w:r>
      <w:r w:rsidR="00A9740F" w:rsidRPr="000151FE">
        <w:rPr>
          <w:sz w:val="20"/>
          <w:szCs w:val="20"/>
        </w:rPr>
        <w:t>:</w:t>
      </w:r>
    </w:p>
    <w:p w14:paraId="7EAB45F9" w14:textId="77777777" w:rsidR="00A9740F" w:rsidRPr="000151FE" w:rsidRDefault="00A9740F" w:rsidP="00A9740F">
      <w:pPr>
        <w:pStyle w:val="NoSpacing"/>
        <w:rPr>
          <w:sz w:val="20"/>
          <w:szCs w:val="20"/>
        </w:rPr>
      </w:pPr>
      <w:r w:rsidRPr="000151FE">
        <w:rPr>
          <w:sz w:val="20"/>
          <w:szCs w:val="20"/>
        </w:rPr>
        <w:t>Vendor/Lessor name and Advantage vendor code</w:t>
      </w:r>
    </w:p>
    <w:p w14:paraId="0BA86EC7" w14:textId="77777777" w:rsidR="00A9740F" w:rsidRPr="000151FE" w:rsidRDefault="00A9740F" w:rsidP="00A9740F">
      <w:pPr>
        <w:pStyle w:val="NoSpacing"/>
        <w:rPr>
          <w:sz w:val="20"/>
          <w:szCs w:val="20"/>
        </w:rPr>
      </w:pPr>
      <w:r w:rsidRPr="000151FE">
        <w:rPr>
          <w:sz w:val="20"/>
          <w:szCs w:val="20"/>
        </w:rPr>
        <w:t>Full Contract Number if applicable (include doc code, doc dept, doc id)</w:t>
      </w:r>
    </w:p>
    <w:p w14:paraId="57AE79D2" w14:textId="77777777" w:rsidR="00A9740F" w:rsidRPr="000151FE" w:rsidRDefault="00A9740F" w:rsidP="00A9740F">
      <w:pPr>
        <w:pStyle w:val="NoSpacing"/>
        <w:rPr>
          <w:sz w:val="20"/>
          <w:szCs w:val="20"/>
        </w:rPr>
      </w:pPr>
      <w:r w:rsidRPr="000151FE">
        <w:rPr>
          <w:sz w:val="20"/>
          <w:szCs w:val="20"/>
        </w:rPr>
        <w:t>Type of leased equipment (ex. printer, copier etc.)</w:t>
      </w:r>
    </w:p>
    <w:p w14:paraId="5B844999" w14:textId="77777777" w:rsidR="00A9740F" w:rsidRPr="000151FE" w:rsidRDefault="00A9740F" w:rsidP="00A9740F">
      <w:pPr>
        <w:pStyle w:val="NoSpacing"/>
        <w:rPr>
          <w:sz w:val="20"/>
          <w:szCs w:val="20"/>
        </w:rPr>
      </w:pPr>
      <w:r w:rsidRPr="000151FE">
        <w:rPr>
          <w:sz w:val="20"/>
          <w:szCs w:val="20"/>
        </w:rPr>
        <w:t>Leased Asset Description</w:t>
      </w:r>
    </w:p>
    <w:p w14:paraId="7D086A64" w14:textId="77777777" w:rsidR="00A9740F" w:rsidRPr="000151FE" w:rsidRDefault="00A9740F" w:rsidP="00A9740F">
      <w:pPr>
        <w:pStyle w:val="NoSpacing"/>
        <w:rPr>
          <w:sz w:val="20"/>
          <w:szCs w:val="20"/>
        </w:rPr>
      </w:pPr>
      <w:r w:rsidRPr="000151FE">
        <w:rPr>
          <w:sz w:val="20"/>
          <w:szCs w:val="20"/>
        </w:rPr>
        <w:t>Monthly Payment Amount</w:t>
      </w:r>
    </w:p>
    <w:p w14:paraId="46E6692D" w14:textId="77777777" w:rsidR="00A9740F" w:rsidRPr="000151FE" w:rsidRDefault="00A9740F" w:rsidP="00A9740F">
      <w:pPr>
        <w:pStyle w:val="NoSpacing"/>
        <w:rPr>
          <w:sz w:val="20"/>
          <w:szCs w:val="20"/>
        </w:rPr>
      </w:pPr>
      <w:r w:rsidRPr="000151FE">
        <w:rPr>
          <w:sz w:val="20"/>
          <w:szCs w:val="20"/>
        </w:rPr>
        <w:t xml:space="preserve">Additional expenses incurred to make </w:t>
      </w:r>
      <w:proofErr w:type="gramStart"/>
      <w:r w:rsidRPr="000151FE">
        <w:rPr>
          <w:sz w:val="20"/>
          <w:szCs w:val="20"/>
        </w:rPr>
        <w:t>asset</w:t>
      </w:r>
      <w:proofErr w:type="gramEnd"/>
      <w:r w:rsidRPr="000151FE">
        <w:rPr>
          <w:sz w:val="20"/>
          <w:szCs w:val="20"/>
        </w:rPr>
        <w:t xml:space="preserve"> ready for use</w:t>
      </w:r>
    </w:p>
    <w:p w14:paraId="105DBE17" w14:textId="77777777" w:rsidR="00A9740F" w:rsidRPr="000151FE" w:rsidRDefault="00A9740F" w:rsidP="00A9740F">
      <w:pPr>
        <w:pStyle w:val="NoSpacing"/>
        <w:rPr>
          <w:sz w:val="20"/>
          <w:szCs w:val="20"/>
        </w:rPr>
      </w:pPr>
      <w:r w:rsidRPr="000151FE">
        <w:rPr>
          <w:sz w:val="20"/>
          <w:szCs w:val="20"/>
        </w:rPr>
        <w:t>Lease period (in months including renewal periods)</w:t>
      </w:r>
    </w:p>
    <w:p w14:paraId="77522A8E" w14:textId="77777777" w:rsidR="00A9740F" w:rsidRPr="000151FE" w:rsidRDefault="00A9740F" w:rsidP="00A9740F">
      <w:pPr>
        <w:pStyle w:val="NoSpacing"/>
        <w:rPr>
          <w:sz w:val="20"/>
          <w:szCs w:val="20"/>
        </w:rPr>
      </w:pPr>
      <w:r w:rsidRPr="000151FE">
        <w:rPr>
          <w:sz w:val="20"/>
          <w:szCs w:val="20"/>
        </w:rPr>
        <w:t>Lease commencement date and lease termination date (including renewal periods)</w:t>
      </w:r>
    </w:p>
    <w:p w14:paraId="26377E40" w14:textId="77777777" w:rsidR="00A9740F" w:rsidRPr="000151FE" w:rsidRDefault="00A9740F" w:rsidP="00A9740F">
      <w:pPr>
        <w:pStyle w:val="NoSpacing"/>
        <w:rPr>
          <w:sz w:val="20"/>
          <w:szCs w:val="20"/>
        </w:rPr>
      </w:pPr>
      <w:r w:rsidRPr="000151FE">
        <w:rPr>
          <w:sz w:val="20"/>
          <w:szCs w:val="20"/>
        </w:rPr>
        <w:t>All renewal options associated with individual lease terms</w:t>
      </w:r>
    </w:p>
    <w:p w14:paraId="39F3300C" w14:textId="77777777" w:rsidR="00A9740F" w:rsidRPr="000151FE" w:rsidRDefault="00A9740F" w:rsidP="00A9740F">
      <w:pPr>
        <w:pStyle w:val="NoSpacing"/>
        <w:rPr>
          <w:sz w:val="20"/>
          <w:szCs w:val="20"/>
        </w:rPr>
      </w:pPr>
      <w:r w:rsidRPr="000151FE">
        <w:rPr>
          <w:sz w:val="20"/>
          <w:szCs w:val="20"/>
        </w:rPr>
        <w:t xml:space="preserve">Expense coding </w:t>
      </w:r>
      <w:proofErr w:type="gramStart"/>
      <w:r w:rsidRPr="000151FE">
        <w:rPr>
          <w:sz w:val="20"/>
          <w:szCs w:val="20"/>
        </w:rPr>
        <w:t>associated</w:t>
      </w:r>
      <w:proofErr w:type="gramEnd"/>
      <w:r w:rsidRPr="000151FE">
        <w:rPr>
          <w:sz w:val="20"/>
          <w:szCs w:val="20"/>
        </w:rPr>
        <w:t xml:space="preserve"> with each lease - fund, department, appropriation and object code. (If multiple leases are coded to one account just note that and include coding once).</w:t>
      </w:r>
    </w:p>
    <w:p w14:paraId="0C5C0961" w14:textId="77777777" w:rsidR="002B6672" w:rsidRPr="00971013" w:rsidRDefault="002B6672" w:rsidP="008E3611">
      <w:pPr>
        <w:pStyle w:val="NoSpacing"/>
        <w:rPr>
          <w:sz w:val="20"/>
          <w:szCs w:val="20"/>
        </w:rPr>
      </w:pPr>
    </w:p>
    <w:p w14:paraId="71342878" w14:textId="3B488FDD" w:rsidR="0097676B" w:rsidRPr="00971013" w:rsidRDefault="0097676B" w:rsidP="0097676B">
      <w:pPr>
        <w:pStyle w:val="NoSpacing"/>
        <w:rPr>
          <w:rFonts w:ascii="Calibri" w:hAnsi="Calibri" w:cs="Calibri"/>
          <w:sz w:val="20"/>
          <w:szCs w:val="20"/>
        </w:rPr>
      </w:pPr>
      <w:r w:rsidRPr="00971013">
        <w:rPr>
          <w:rFonts w:ascii="Calibri" w:hAnsi="Calibri" w:cs="Calibri"/>
          <w:b/>
          <w:bCs/>
          <w:sz w:val="20"/>
          <w:szCs w:val="20"/>
        </w:rPr>
        <w:t xml:space="preserve">List Department Codes for which </w:t>
      </w:r>
      <w:r w:rsidR="002B6672" w:rsidRPr="00971013">
        <w:rPr>
          <w:rFonts w:ascii="Calibri" w:hAnsi="Calibri" w:cs="Calibri"/>
          <w:b/>
          <w:bCs/>
          <w:sz w:val="20"/>
          <w:szCs w:val="20"/>
        </w:rPr>
        <w:t>this survey is being submitted</w:t>
      </w:r>
      <w:r w:rsidRPr="00971013">
        <w:rPr>
          <w:rFonts w:ascii="Calibri" w:hAnsi="Calibri" w:cs="Calibri"/>
          <w:b/>
          <w:bCs/>
          <w:sz w:val="20"/>
          <w:szCs w:val="20"/>
        </w:rPr>
        <w:t>:</w:t>
      </w:r>
      <w:r w:rsidRPr="00971013">
        <w:rPr>
          <w:rFonts w:ascii="Calibri" w:hAnsi="Calibri" w:cs="Calibri"/>
          <w:b/>
          <w:bCs/>
          <w:sz w:val="20"/>
          <w:szCs w:val="20"/>
        </w:rPr>
        <w:tab/>
      </w:r>
      <w:r w:rsidR="00FB307E" w:rsidRPr="00C80CDB">
        <w:rPr>
          <w:rFonts w:ascii="Calibri" w:hAnsi="Calibri" w:cs="Calibri"/>
          <w:b/>
          <w:bCs/>
          <w:color w:val="FF0000"/>
          <w:sz w:val="20"/>
          <w:szCs w:val="20"/>
        </w:rPr>
        <w:t xml:space="preserve">ex: </w:t>
      </w:r>
      <w:r w:rsidR="00CF19B1" w:rsidRPr="00971013">
        <w:rPr>
          <w:rFonts w:ascii="Calibri" w:hAnsi="Calibri" w:cs="Calibri"/>
          <w:sz w:val="20"/>
          <w:szCs w:val="20"/>
        </w:rPr>
        <w:t>01A, 06A, 09A, 13A</w:t>
      </w:r>
    </w:p>
    <w:p w14:paraId="4A271B0F" w14:textId="77777777" w:rsidR="0097676B" w:rsidRPr="00971013" w:rsidRDefault="0097676B" w:rsidP="002B6672">
      <w:pPr>
        <w:pStyle w:val="NoSpacing"/>
        <w:rPr>
          <w:sz w:val="20"/>
          <w:szCs w:val="20"/>
        </w:rPr>
      </w:pPr>
    </w:p>
    <w:p w14:paraId="15EED569" w14:textId="5220C60A" w:rsidR="004D0B74" w:rsidRPr="00971013" w:rsidRDefault="004D0B74">
      <w:pPr>
        <w:rPr>
          <w:rFonts w:cstheme="minorHAnsi"/>
          <w:b/>
          <w:bCs/>
          <w:sz w:val="20"/>
          <w:szCs w:val="20"/>
        </w:rPr>
      </w:pPr>
      <w:r w:rsidRPr="00971013">
        <w:rPr>
          <w:rFonts w:cstheme="minorHAnsi"/>
          <w:b/>
          <w:bCs/>
          <w:sz w:val="20"/>
          <w:szCs w:val="20"/>
        </w:rPr>
        <w:t>Department or Service Center Attestatio</w:t>
      </w:r>
      <w:r w:rsidR="00944961" w:rsidRPr="00971013">
        <w:rPr>
          <w:rFonts w:cstheme="minorHAnsi"/>
          <w:b/>
          <w:bCs/>
          <w:sz w:val="20"/>
          <w:szCs w:val="20"/>
        </w:rPr>
        <w:t>n</w:t>
      </w:r>
      <w:r w:rsidRPr="00971013">
        <w:rPr>
          <w:rFonts w:cstheme="minorHAnsi"/>
          <w:b/>
          <w:bCs/>
          <w:sz w:val="20"/>
          <w:szCs w:val="20"/>
        </w:rPr>
        <w:t>:</w:t>
      </w:r>
    </w:p>
    <w:p w14:paraId="2C809E96" w14:textId="6F73D754" w:rsidR="004D0B74" w:rsidRPr="00971013" w:rsidRDefault="004D0B74" w:rsidP="008E3611">
      <w:pPr>
        <w:pStyle w:val="NoSpacing"/>
        <w:ind w:left="720"/>
        <w:jc w:val="both"/>
        <w:rPr>
          <w:sz w:val="20"/>
          <w:szCs w:val="20"/>
        </w:rPr>
      </w:pPr>
      <w:r w:rsidRPr="00971013">
        <w:rPr>
          <w:sz w:val="20"/>
          <w:szCs w:val="20"/>
        </w:rPr>
        <w:t>After having researched agency records and</w:t>
      </w:r>
      <w:r w:rsidR="0097676B" w:rsidRPr="00971013">
        <w:rPr>
          <w:sz w:val="20"/>
          <w:szCs w:val="20"/>
        </w:rPr>
        <w:t>/or</w:t>
      </w:r>
      <w:r w:rsidRPr="00971013">
        <w:rPr>
          <w:sz w:val="20"/>
          <w:szCs w:val="20"/>
        </w:rPr>
        <w:t xml:space="preserve"> consulted with agency </w:t>
      </w:r>
      <w:r w:rsidR="0097676B" w:rsidRPr="00971013">
        <w:rPr>
          <w:sz w:val="20"/>
          <w:szCs w:val="20"/>
        </w:rPr>
        <w:t>personnel</w:t>
      </w:r>
      <w:r w:rsidRPr="00971013">
        <w:rPr>
          <w:sz w:val="20"/>
          <w:szCs w:val="20"/>
        </w:rPr>
        <w:t>, I</w:t>
      </w:r>
      <w:r w:rsidR="002273A5" w:rsidRPr="00971013">
        <w:rPr>
          <w:sz w:val="20"/>
          <w:szCs w:val="20"/>
        </w:rPr>
        <w:t xml:space="preserve"> a</w:t>
      </w:r>
      <w:r w:rsidRPr="00971013">
        <w:rPr>
          <w:sz w:val="20"/>
          <w:szCs w:val="20"/>
        </w:rPr>
        <w:t xml:space="preserve">m </w:t>
      </w:r>
      <w:r w:rsidRPr="00823196">
        <w:rPr>
          <w:color w:val="FF0000"/>
          <w:sz w:val="20"/>
          <w:szCs w:val="20"/>
          <w:u w:val="single"/>
        </w:rPr>
        <w:t>NOT</w:t>
      </w:r>
      <w:r w:rsidRPr="00971013">
        <w:rPr>
          <w:sz w:val="20"/>
          <w:szCs w:val="20"/>
        </w:rPr>
        <w:t xml:space="preserve"> aware of any potential </w:t>
      </w:r>
      <w:r w:rsidR="000151FE">
        <w:rPr>
          <w:sz w:val="20"/>
          <w:szCs w:val="20"/>
        </w:rPr>
        <w:t>Leases</w:t>
      </w:r>
      <w:r w:rsidRPr="00971013">
        <w:rPr>
          <w:sz w:val="20"/>
          <w:szCs w:val="20"/>
        </w:rPr>
        <w:t xml:space="preserve"> that should be disclosed in the State of Maine’s financial statements.</w:t>
      </w:r>
    </w:p>
    <w:p w14:paraId="6C47C148" w14:textId="77777777" w:rsidR="008E3611" w:rsidRPr="00971013" w:rsidRDefault="008E3611" w:rsidP="008E3611">
      <w:pPr>
        <w:pStyle w:val="NoSpacing"/>
        <w:rPr>
          <w:sz w:val="20"/>
          <w:szCs w:val="20"/>
        </w:rPr>
      </w:pPr>
    </w:p>
    <w:tbl>
      <w:tblPr>
        <w:tblStyle w:val="TableGrid"/>
        <w:tblW w:w="0" w:type="auto"/>
        <w:tblInd w:w="720" w:type="dxa"/>
        <w:tblLook w:val="04A0" w:firstRow="1" w:lastRow="0" w:firstColumn="1" w:lastColumn="0" w:noHBand="0" w:noVBand="1"/>
      </w:tblPr>
      <w:tblGrid>
        <w:gridCol w:w="1594"/>
        <w:gridCol w:w="2569"/>
        <w:gridCol w:w="5187"/>
      </w:tblGrid>
      <w:tr w:rsidR="002B6672" w:rsidRPr="00971013" w14:paraId="55FDDD57" w14:textId="77777777" w:rsidTr="002B6672">
        <w:tc>
          <w:tcPr>
            <w:tcW w:w="1615" w:type="dxa"/>
          </w:tcPr>
          <w:p w14:paraId="427E4402" w14:textId="77777777" w:rsidR="002B6672" w:rsidRPr="00971013" w:rsidRDefault="002B6672" w:rsidP="002B6672">
            <w:pPr>
              <w:jc w:val="right"/>
              <w:rPr>
                <w:rFonts w:cstheme="minorHAnsi"/>
                <w:b/>
                <w:bCs/>
                <w:sz w:val="20"/>
                <w:szCs w:val="20"/>
              </w:rPr>
            </w:pPr>
          </w:p>
        </w:tc>
        <w:tc>
          <w:tcPr>
            <w:tcW w:w="2633" w:type="dxa"/>
          </w:tcPr>
          <w:p w14:paraId="0103CA63" w14:textId="79C35B5D" w:rsidR="002B6672" w:rsidRPr="00971013" w:rsidRDefault="002B6672" w:rsidP="0097676B">
            <w:pPr>
              <w:rPr>
                <w:rFonts w:cstheme="minorHAnsi"/>
                <w:b/>
                <w:bCs/>
                <w:sz w:val="20"/>
                <w:szCs w:val="20"/>
              </w:rPr>
            </w:pPr>
            <w:r w:rsidRPr="00971013">
              <w:rPr>
                <w:rFonts w:cstheme="minorHAnsi"/>
                <w:b/>
                <w:bCs/>
                <w:sz w:val="20"/>
                <w:szCs w:val="20"/>
              </w:rPr>
              <w:t>Typed Name</w:t>
            </w:r>
          </w:p>
        </w:tc>
        <w:tc>
          <w:tcPr>
            <w:tcW w:w="5328" w:type="dxa"/>
          </w:tcPr>
          <w:p w14:paraId="0977DA49" w14:textId="11CA42BA" w:rsidR="002B6672" w:rsidRPr="00971013" w:rsidRDefault="002B6672" w:rsidP="0097676B">
            <w:pPr>
              <w:rPr>
                <w:b/>
                <w:bCs/>
                <w:sz w:val="20"/>
                <w:szCs w:val="20"/>
              </w:rPr>
            </w:pPr>
            <w:r w:rsidRPr="00971013">
              <w:rPr>
                <w:b/>
                <w:bCs/>
                <w:sz w:val="20"/>
                <w:szCs w:val="20"/>
              </w:rPr>
              <w:t xml:space="preserve">Hand-written </w:t>
            </w:r>
            <w:r w:rsidR="008E3611" w:rsidRPr="00971013">
              <w:rPr>
                <w:b/>
                <w:bCs/>
                <w:sz w:val="20"/>
                <w:szCs w:val="20"/>
              </w:rPr>
              <w:t xml:space="preserve">or Digital </w:t>
            </w:r>
            <w:r w:rsidRPr="00971013">
              <w:rPr>
                <w:b/>
                <w:bCs/>
                <w:sz w:val="20"/>
                <w:szCs w:val="20"/>
              </w:rPr>
              <w:t>Signature</w:t>
            </w:r>
            <w:r w:rsidR="008E3611" w:rsidRPr="00971013">
              <w:rPr>
                <w:b/>
                <w:bCs/>
                <w:sz w:val="20"/>
                <w:szCs w:val="20"/>
              </w:rPr>
              <w:t xml:space="preserve"> (preferred)</w:t>
            </w:r>
          </w:p>
        </w:tc>
      </w:tr>
      <w:tr w:rsidR="002B6672" w:rsidRPr="00971013" w14:paraId="129D745A" w14:textId="645F64B3" w:rsidTr="002B6672">
        <w:trPr>
          <w:trHeight w:val="720"/>
        </w:trPr>
        <w:tc>
          <w:tcPr>
            <w:tcW w:w="1615" w:type="dxa"/>
          </w:tcPr>
          <w:p w14:paraId="342EDD92" w14:textId="2506FD2D" w:rsidR="002B6672" w:rsidRPr="00971013" w:rsidRDefault="002B6672" w:rsidP="002B6672">
            <w:pPr>
              <w:jc w:val="right"/>
              <w:rPr>
                <w:rFonts w:cstheme="minorHAnsi"/>
                <w:b/>
                <w:bCs/>
                <w:sz w:val="20"/>
                <w:szCs w:val="20"/>
              </w:rPr>
            </w:pPr>
            <w:r w:rsidRPr="00971013">
              <w:rPr>
                <w:rFonts w:cstheme="minorHAnsi"/>
                <w:b/>
                <w:bCs/>
                <w:sz w:val="20"/>
                <w:szCs w:val="20"/>
              </w:rPr>
              <w:t>Prepared by:</w:t>
            </w:r>
          </w:p>
        </w:tc>
        <w:tc>
          <w:tcPr>
            <w:tcW w:w="2633" w:type="dxa"/>
          </w:tcPr>
          <w:p w14:paraId="04F70A2D" w14:textId="1CC2B052" w:rsidR="002B6672" w:rsidRPr="00971013" w:rsidRDefault="002B6672" w:rsidP="0097676B">
            <w:pPr>
              <w:rPr>
                <w:rFonts w:cstheme="minorHAnsi"/>
                <w:sz w:val="20"/>
                <w:szCs w:val="20"/>
              </w:rPr>
            </w:pPr>
          </w:p>
        </w:tc>
        <w:tc>
          <w:tcPr>
            <w:tcW w:w="5328" w:type="dxa"/>
            <w:vMerge w:val="restart"/>
          </w:tcPr>
          <w:p w14:paraId="3AA71A91" w14:textId="77777777" w:rsidR="002B6672" w:rsidRPr="00971013" w:rsidRDefault="002B6672" w:rsidP="0097676B">
            <w:pPr>
              <w:rPr>
                <w:rFonts w:cstheme="minorHAnsi"/>
                <w:sz w:val="20"/>
                <w:szCs w:val="20"/>
              </w:rPr>
            </w:pPr>
          </w:p>
        </w:tc>
      </w:tr>
      <w:tr w:rsidR="002B6672" w:rsidRPr="00971013" w14:paraId="0DCD4632" w14:textId="37B309F6" w:rsidTr="002B6672">
        <w:trPr>
          <w:trHeight w:val="720"/>
        </w:trPr>
        <w:tc>
          <w:tcPr>
            <w:tcW w:w="1615" w:type="dxa"/>
          </w:tcPr>
          <w:p w14:paraId="3D856807" w14:textId="40994767" w:rsidR="002B6672" w:rsidRPr="00971013" w:rsidRDefault="002B6672" w:rsidP="002B6672">
            <w:pPr>
              <w:jc w:val="right"/>
              <w:rPr>
                <w:rFonts w:cstheme="minorHAnsi"/>
                <w:b/>
                <w:bCs/>
                <w:sz w:val="20"/>
                <w:szCs w:val="20"/>
              </w:rPr>
            </w:pPr>
            <w:r w:rsidRPr="00971013">
              <w:rPr>
                <w:rFonts w:cstheme="minorHAnsi"/>
                <w:b/>
                <w:bCs/>
                <w:sz w:val="20"/>
                <w:szCs w:val="20"/>
              </w:rPr>
              <w:t>Date:</w:t>
            </w:r>
          </w:p>
        </w:tc>
        <w:tc>
          <w:tcPr>
            <w:tcW w:w="2633" w:type="dxa"/>
          </w:tcPr>
          <w:p w14:paraId="41F4AB63" w14:textId="73F2F820" w:rsidR="002B6672" w:rsidRPr="00971013" w:rsidRDefault="002B6672" w:rsidP="0097676B">
            <w:pPr>
              <w:rPr>
                <w:rFonts w:cstheme="minorHAnsi"/>
                <w:sz w:val="20"/>
                <w:szCs w:val="20"/>
              </w:rPr>
            </w:pPr>
          </w:p>
        </w:tc>
        <w:tc>
          <w:tcPr>
            <w:tcW w:w="5328" w:type="dxa"/>
            <w:vMerge/>
          </w:tcPr>
          <w:p w14:paraId="6A9201AC" w14:textId="77777777" w:rsidR="002B6672" w:rsidRPr="00971013" w:rsidRDefault="002B6672" w:rsidP="0097676B">
            <w:pPr>
              <w:rPr>
                <w:rFonts w:cstheme="minorHAnsi"/>
                <w:sz w:val="20"/>
                <w:szCs w:val="20"/>
              </w:rPr>
            </w:pPr>
          </w:p>
        </w:tc>
      </w:tr>
    </w:tbl>
    <w:p w14:paraId="69A6D72A" w14:textId="77777777" w:rsidR="002B6672" w:rsidRPr="00971013" w:rsidRDefault="002B6672" w:rsidP="002B6672">
      <w:pPr>
        <w:pStyle w:val="NoSpacing"/>
        <w:rPr>
          <w:sz w:val="20"/>
          <w:szCs w:val="20"/>
        </w:rPr>
      </w:pPr>
    </w:p>
    <w:p w14:paraId="33146416" w14:textId="1BDEF00E" w:rsidR="004D0B74" w:rsidRDefault="0097676B" w:rsidP="004D0B74">
      <w:pPr>
        <w:rPr>
          <w:rFonts w:cstheme="minorHAnsi"/>
          <w:b/>
          <w:bCs/>
          <w:color w:val="C00000"/>
          <w:sz w:val="20"/>
          <w:szCs w:val="20"/>
        </w:rPr>
      </w:pPr>
      <w:r w:rsidRPr="00971013">
        <w:rPr>
          <w:rFonts w:cstheme="minorHAnsi"/>
          <w:b/>
          <w:bCs/>
          <w:color w:val="C00000"/>
          <w:sz w:val="20"/>
          <w:szCs w:val="20"/>
        </w:rPr>
        <w:t>OR</w:t>
      </w:r>
      <w:r w:rsidR="00823196">
        <w:rPr>
          <w:rFonts w:cstheme="minorHAnsi"/>
          <w:b/>
          <w:bCs/>
          <w:color w:val="C00000"/>
          <w:sz w:val="20"/>
          <w:szCs w:val="20"/>
        </w:rPr>
        <w:t xml:space="preserve"> – if the above doesn’t apply</w:t>
      </w:r>
      <w:r w:rsidR="00C61489">
        <w:rPr>
          <w:rFonts w:cstheme="minorHAnsi"/>
          <w:b/>
          <w:bCs/>
          <w:color w:val="C00000"/>
          <w:sz w:val="20"/>
          <w:szCs w:val="20"/>
        </w:rPr>
        <w:t>,</w:t>
      </w:r>
      <w:r w:rsidR="00823196">
        <w:rPr>
          <w:rFonts w:cstheme="minorHAnsi"/>
          <w:b/>
          <w:bCs/>
          <w:color w:val="C00000"/>
          <w:sz w:val="20"/>
          <w:szCs w:val="20"/>
        </w:rPr>
        <w:t xml:space="preserve"> sign and date below</w:t>
      </w:r>
    </w:p>
    <w:p w14:paraId="3E7C5DA2" w14:textId="77777777" w:rsidR="00EB0878" w:rsidRPr="00971013" w:rsidRDefault="00EB0878" w:rsidP="004D0B74">
      <w:pPr>
        <w:rPr>
          <w:rFonts w:cstheme="minorHAnsi"/>
          <w:b/>
          <w:bCs/>
          <w:color w:val="C00000"/>
          <w:sz w:val="20"/>
          <w:szCs w:val="20"/>
        </w:rPr>
      </w:pPr>
    </w:p>
    <w:p w14:paraId="3B593801" w14:textId="77777777" w:rsidR="00EB0878" w:rsidRDefault="00EB0878" w:rsidP="008E3611">
      <w:pPr>
        <w:pStyle w:val="NoSpacing"/>
        <w:ind w:left="720"/>
        <w:jc w:val="both"/>
        <w:rPr>
          <w:sz w:val="20"/>
          <w:szCs w:val="20"/>
        </w:rPr>
      </w:pPr>
    </w:p>
    <w:p w14:paraId="1B392839" w14:textId="68C642B2" w:rsidR="004D0B74" w:rsidRPr="000151FE" w:rsidRDefault="004D0B74" w:rsidP="008E3611">
      <w:pPr>
        <w:pStyle w:val="NoSpacing"/>
        <w:ind w:left="720"/>
        <w:jc w:val="both"/>
        <w:rPr>
          <w:sz w:val="20"/>
          <w:szCs w:val="20"/>
        </w:rPr>
      </w:pPr>
      <w:r w:rsidRPr="000151FE">
        <w:rPr>
          <w:sz w:val="20"/>
          <w:szCs w:val="20"/>
        </w:rPr>
        <w:t>After having researched agency records and</w:t>
      </w:r>
      <w:r w:rsidR="0097676B" w:rsidRPr="000151FE">
        <w:rPr>
          <w:sz w:val="20"/>
          <w:szCs w:val="20"/>
        </w:rPr>
        <w:t>/or</w:t>
      </w:r>
      <w:r w:rsidRPr="000151FE">
        <w:rPr>
          <w:sz w:val="20"/>
          <w:szCs w:val="20"/>
        </w:rPr>
        <w:t xml:space="preserve"> consulted with agency </w:t>
      </w:r>
      <w:r w:rsidR="0097676B" w:rsidRPr="000151FE">
        <w:rPr>
          <w:sz w:val="20"/>
          <w:szCs w:val="20"/>
        </w:rPr>
        <w:t>personnel</w:t>
      </w:r>
      <w:r w:rsidRPr="000151FE">
        <w:rPr>
          <w:sz w:val="20"/>
          <w:szCs w:val="20"/>
        </w:rPr>
        <w:t xml:space="preserve">, </w:t>
      </w:r>
      <w:r w:rsidRPr="000151FE">
        <w:rPr>
          <w:color w:val="FF0000"/>
          <w:sz w:val="20"/>
          <w:szCs w:val="20"/>
          <w:u w:val="single"/>
        </w:rPr>
        <w:t>I have identified potential</w:t>
      </w:r>
      <w:r w:rsidRPr="000151FE">
        <w:rPr>
          <w:color w:val="FF0000"/>
          <w:sz w:val="20"/>
          <w:szCs w:val="20"/>
        </w:rPr>
        <w:t xml:space="preserve"> </w:t>
      </w:r>
      <w:r w:rsidR="000151FE" w:rsidRPr="000151FE">
        <w:rPr>
          <w:sz w:val="20"/>
          <w:szCs w:val="20"/>
        </w:rPr>
        <w:t xml:space="preserve">Lease </w:t>
      </w:r>
      <w:r w:rsidRPr="000151FE">
        <w:rPr>
          <w:sz w:val="20"/>
          <w:szCs w:val="20"/>
        </w:rPr>
        <w:t xml:space="preserve">Transactions </w:t>
      </w:r>
      <w:r w:rsidR="00CF19B1" w:rsidRPr="000151FE">
        <w:rPr>
          <w:sz w:val="20"/>
          <w:szCs w:val="20"/>
        </w:rPr>
        <w:t xml:space="preserve">and provided </w:t>
      </w:r>
      <w:r w:rsidR="000151FE" w:rsidRPr="000151FE">
        <w:rPr>
          <w:sz w:val="20"/>
          <w:szCs w:val="20"/>
        </w:rPr>
        <w:t xml:space="preserve">the </w:t>
      </w:r>
      <w:r w:rsidR="00CF19B1" w:rsidRPr="000151FE">
        <w:rPr>
          <w:sz w:val="20"/>
          <w:szCs w:val="20"/>
        </w:rPr>
        <w:t xml:space="preserve">information in the </w:t>
      </w:r>
      <w:r w:rsidR="000151FE" w:rsidRPr="000151FE">
        <w:rPr>
          <w:sz w:val="20"/>
          <w:szCs w:val="20"/>
        </w:rPr>
        <w:t xml:space="preserve">excel spreadsheet listed separately on </w:t>
      </w:r>
      <w:hyperlink r:id="rId9" w:history="1">
        <w:r w:rsidR="000151FE" w:rsidRPr="000151FE">
          <w:rPr>
            <w:rStyle w:val="Hyperlink"/>
            <w:sz w:val="20"/>
            <w:szCs w:val="20"/>
          </w:rPr>
          <w:t>OSC's Web Site</w:t>
        </w:r>
      </w:hyperlink>
      <w:r w:rsidR="000151FE" w:rsidRPr="000151FE">
        <w:rPr>
          <w:sz w:val="20"/>
          <w:szCs w:val="20"/>
        </w:rPr>
        <w:t xml:space="preserve">). </w:t>
      </w:r>
    </w:p>
    <w:p w14:paraId="53F9B396" w14:textId="77777777" w:rsidR="002B6672" w:rsidRPr="00971013" w:rsidRDefault="002B6672" w:rsidP="002B6672">
      <w:pPr>
        <w:pStyle w:val="NoSpacing"/>
        <w:rPr>
          <w:sz w:val="20"/>
          <w:szCs w:val="20"/>
        </w:rPr>
      </w:pPr>
    </w:p>
    <w:tbl>
      <w:tblPr>
        <w:tblStyle w:val="TableGrid"/>
        <w:tblW w:w="0" w:type="auto"/>
        <w:tblInd w:w="720" w:type="dxa"/>
        <w:tblLook w:val="04A0" w:firstRow="1" w:lastRow="0" w:firstColumn="1" w:lastColumn="0" w:noHBand="0" w:noVBand="1"/>
      </w:tblPr>
      <w:tblGrid>
        <w:gridCol w:w="1594"/>
        <w:gridCol w:w="2569"/>
        <w:gridCol w:w="5187"/>
      </w:tblGrid>
      <w:tr w:rsidR="008E3611" w:rsidRPr="00971013" w14:paraId="33B44E97" w14:textId="77777777" w:rsidTr="007936BB">
        <w:tc>
          <w:tcPr>
            <w:tcW w:w="1615" w:type="dxa"/>
          </w:tcPr>
          <w:p w14:paraId="77A5C3A9" w14:textId="77777777" w:rsidR="008E3611" w:rsidRPr="00971013" w:rsidRDefault="008E3611" w:rsidP="008E3611">
            <w:pPr>
              <w:jc w:val="right"/>
              <w:rPr>
                <w:rFonts w:cstheme="minorHAnsi"/>
                <w:b/>
                <w:bCs/>
                <w:sz w:val="20"/>
                <w:szCs w:val="20"/>
              </w:rPr>
            </w:pPr>
          </w:p>
        </w:tc>
        <w:tc>
          <w:tcPr>
            <w:tcW w:w="2633" w:type="dxa"/>
          </w:tcPr>
          <w:p w14:paraId="2D501159" w14:textId="77777777" w:rsidR="008E3611" w:rsidRPr="00971013" w:rsidRDefault="008E3611" w:rsidP="008E3611">
            <w:pPr>
              <w:rPr>
                <w:rFonts w:cstheme="minorHAnsi"/>
                <w:b/>
                <w:bCs/>
                <w:sz w:val="20"/>
                <w:szCs w:val="20"/>
              </w:rPr>
            </w:pPr>
            <w:r w:rsidRPr="00971013">
              <w:rPr>
                <w:rFonts w:cstheme="minorHAnsi"/>
                <w:b/>
                <w:bCs/>
                <w:sz w:val="20"/>
                <w:szCs w:val="20"/>
              </w:rPr>
              <w:t>Typed Name</w:t>
            </w:r>
          </w:p>
        </w:tc>
        <w:tc>
          <w:tcPr>
            <w:tcW w:w="5328" w:type="dxa"/>
          </w:tcPr>
          <w:p w14:paraId="73B64CFC" w14:textId="12256DBC" w:rsidR="008E3611" w:rsidRPr="00971013" w:rsidRDefault="008E3611" w:rsidP="008E3611">
            <w:pPr>
              <w:rPr>
                <w:b/>
                <w:bCs/>
                <w:sz w:val="20"/>
                <w:szCs w:val="20"/>
              </w:rPr>
            </w:pPr>
            <w:r w:rsidRPr="00971013">
              <w:rPr>
                <w:b/>
                <w:bCs/>
                <w:sz w:val="20"/>
                <w:szCs w:val="20"/>
              </w:rPr>
              <w:t>Hand-written or Digital Signature (preferred)</w:t>
            </w:r>
          </w:p>
        </w:tc>
      </w:tr>
      <w:tr w:rsidR="002B6672" w:rsidRPr="00971013" w14:paraId="59D4B35A" w14:textId="77777777" w:rsidTr="006136FC">
        <w:trPr>
          <w:trHeight w:val="467"/>
        </w:trPr>
        <w:tc>
          <w:tcPr>
            <w:tcW w:w="1615" w:type="dxa"/>
          </w:tcPr>
          <w:p w14:paraId="2737D830" w14:textId="77777777" w:rsidR="002B6672" w:rsidRPr="00971013" w:rsidRDefault="002B6672" w:rsidP="007936BB">
            <w:pPr>
              <w:jc w:val="right"/>
              <w:rPr>
                <w:rFonts w:cstheme="minorHAnsi"/>
                <w:b/>
                <w:bCs/>
                <w:sz w:val="20"/>
                <w:szCs w:val="20"/>
              </w:rPr>
            </w:pPr>
            <w:r w:rsidRPr="00971013">
              <w:rPr>
                <w:rFonts w:cstheme="minorHAnsi"/>
                <w:b/>
                <w:bCs/>
                <w:sz w:val="20"/>
                <w:szCs w:val="20"/>
              </w:rPr>
              <w:t>Prepared by:</w:t>
            </w:r>
          </w:p>
        </w:tc>
        <w:tc>
          <w:tcPr>
            <w:tcW w:w="2633" w:type="dxa"/>
          </w:tcPr>
          <w:p w14:paraId="246D8168" w14:textId="4B25E89F" w:rsidR="002B6672" w:rsidRPr="00971013" w:rsidRDefault="002B6672" w:rsidP="007936BB">
            <w:pPr>
              <w:rPr>
                <w:rFonts w:cstheme="minorHAnsi"/>
                <w:sz w:val="20"/>
                <w:szCs w:val="20"/>
              </w:rPr>
            </w:pPr>
          </w:p>
        </w:tc>
        <w:tc>
          <w:tcPr>
            <w:tcW w:w="5328" w:type="dxa"/>
            <w:vMerge w:val="restart"/>
          </w:tcPr>
          <w:p w14:paraId="180A2FB3" w14:textId="77777777" w:rsidR="002B6672" w:rsidRPr="00971013" w:rsidRDefault="002B6672" w:rsidP="007936BB">
            <w:pPr>
              <w:rPr>
                <w:rFonts w:cstheme="minorHAnsi"/>
                <w:sz w:val="20"/>
                <w:szCs w:val="20"/>
              </w:rPr>
            </w:pPr>
          </w:p>
        </w:tc>
      </w:tr>
      <w:tr w:rsidR="002B6672" w:rsidRPr="00971013" w14:paraId="780AC664" w14:textId="77777777" w:rsidTr="006136FC">
        <w:trPr>
          <w:trHeight w:val="368"/>
        </w:trPr>
        <w:tc>
          <w:tcPr>
            <w:tcW w:w="1615" w:type="dxa"/>
          </w:tcPr>
          <w:p w14:paraId="4FF16EEB" w14:textId="77777777" w:rsidR="002B6672" w:rsidRPr="00971013" w:rsidRDefault="002B6672" w:rsidP="007936BB">
            <w:pPr>
              <w:jc w:val="right"/>
              <w:rPr>
                <w:rFonts w:cstheme="minorHAnsi"/>
                <w:b/>
                <w:bCs/>
                <w:sz w:val="20"/>
                <w:szCs w:val="20"/>
              </w:rPr>
            </w:pPr>
            <w:r w:rsidRPr="00971013">
              <w:rPr>
                <w:rFonts w:cstheme="minorHAnsi"/>
                <w:b/>
                <w:bCs/>
                <w:sz w:val="20"/>
                <w:szCs w:val="20"/>
              </w:rPr>
              <w:t>Date:</w:t>
            </w:r>
          </w:p>
        </w:tc>
        <w:tc>
          <w:tcPr>
            <w:tcW w:w="2633" w:type="dxa"/>
          </w:tcPr>
          <w:p w14:paraId="7C39046F" w14:textId="085A057D" w:rsidR="002B6672" w:rsidRPr="00971013" w:rsidRDefault="002B6672" w:rsidP="007936BB">
            <w:pPr>
              <w:rPr>
                <w:rFonts w:cstheme="minorHAnsi"/>
                <w:sz w:val="20"/>
                <w:szCs w:val="20"/>
              </w:rPr>
            </w:pPr>
          </w:p>
        </w:tc>
        <w:tc>
          <w:tcPr>
            <w:tcW w:w="5328" w:type="dxa"/>
            <w:vMerge/>
          </w:tcPr>
          <w:p w14:paraId="326C1913" w14:textId="77777777" w:rsidR="002B6672" w:rsidRPr="00971013" w:rsidRDefault="002B6672" w:rsidP="007936BB">
            <w:pPr>
              <w:rPr>
                <w:rFonts w:cstheme="minorHAnsi"/>
                <w:sz w:val="20"/>
                <w:szCs w:val="20"/>
              </w:rPr>
            </w:pPr>
          </w:p>
        </w:tc>
      </w:tr>
    </w:tbl>
    <w:p w14:paraId="68ABEEA9" w14:textId="77777777" w:rsidR="002B6672" w:rsidRPr="00971013" w:rsidRDefault="002B6672" w:rsidP="002B6672">
      <w:pPr>
        <w:pStyle w:val="NoSpacing"/>
        <w:rPr>
          <w:sz w:val="20"/>
          <w:szCs w:val="20"/>
        </w:rPr>
      </w:pPr>
    </w:p>
    <w:p w14:paraId="4DA518EB" w14:textId="706250BB" w:rsidR="008E3611" w:rsidRDefault="008E3611">
      <w:pPr>
        <w:rPr>
          <w:rFonts w:cstheme="minorHAnsi"/>
          <w:sz w:val="20"/>
          <w:szCs w:val="20"/>
        </w:rPr>
      </w:pPr>
      <w:r w:rsidRPr="00971013">
        <w:rPr>
          <w:rFonts w:cstheme="minorHAnsi"/>
          <w:sz w:val="20"/>
          <w:szCs w:val="20"/>
        </w:rPr>
        <w:t xml:space="preserve">If you have any questions </w:t>
      </w:r>
      <w:r w:rsidR="000151FE">
        <w:rPr>
          <w:rFonts w:cstheme="minorHAnsi"/>
          <w:sz w:val="20"/>
          <w:szCs w:val="20"/>
        </w:rPr>
        <w:t>about the</w:t>
      </w:r>
      <w:r w:rsidRPr="00971013">
        <w:rPr>
          <w:rFonts w:cstheme="minorHAnsi"/>
          <w:sz w:val="20"/>
          <w:szCs w:val="20"/>
        </w:rPr>
        <w:t xml:space="preserve"> interpretation of GASB standard</w:t>
      </w:r>
      <w:r w:rsidR="003B1E8F" w:rsidRPr="00971013">
        <w:rPr>
          <w:rFonts w:cstheme="minorHAnsi"/>
          <w:sz w:val="20"/>
          <w:szCs w:val="20"/>
        </w:rPr>
        <w:t xml:space="preserve"> </w:t>
      </w:r>
      <w:r w:rsidR="000151FE">
        <w:rPr>
          <w:rFonts w:cstheme="minorHAnsi"/>
          <w:sz w:val="20"/>
          <w:szCs w:val="20"/>
        </w:rPr>
        <w:t>87</w:t>
      </w:r>
      <w:r w:rsidR="003B1E8F" w:rsidRPr="00971013">
        <w:rPr>
          <w:rFonts w:cstheme="minorHAnsi"/>
          <w:sz w:val="20"/>
          <w:szCs w:val="20"/>
        </w:rPr>
        <w:t xml:space="preserve"> </w:t>
      </w:r>
      <w:proofErr w:type="gramStart"/>
      <w:r w:rsidRPr="00971013">
        <w:rPr>
          <w:rFonts w:cstheme="minorHAnsi"/>
          <w:sz w:val="20"/>
          <w:szCs w:val="20"/>
        </w:rPr>
        <w:t>survey</w:t>
      </w:r>
      <w:proofErr w:type="gramEnd"/>
      <w:r w:rsidRPr="00971013">
        <w:rPr>
          <w:rFonts w:cstheme="minorHAnsi"/>
          <w:sz w:val="20"/>
          <w:szCs w:val="20"/>
        </w:rPr>
        <w:t xml:space="preserve">, please contact your </w:t>
      </w:r>
      <w:r w:rsidRPr="006136FC">
        <w:rPr>
          <w:rFonts w:cstheme="minorHAnsi"/>
          <w:sz w:val="20"/>
          <w:szCs w:val="20"/>
          <w:u w:val="single"/>
        </w:rPr>
        <w:t>agency liaison</w:t>
      </w:r>
      <w:r w:rsidRPr="00971013">
        <w:rPr>
          <w:rFonts w:cstheme="minorHAnsi"/>
          <w:sz w:val="20"/>
          <w:szCs w:val="20"/>
        </w:rPr>
        <w:t xml:space="preserve">.  </w:t>
      </w:r>
    </w:p>
    <w:p w14:paraId="5330A03A" w14:textId="6BEFDDFE" w:rsidR="006136FC" w:rsidRPr="00971013" w:rsidRDefault="006136FC">
      <w:pPr>
        <w:rPr>
          <w:rFonts w:cstheme="minorHAnsi"/>
          <w:sz w:val="20"/>
          <w:szCs w:val="20"/>
        </w:rPr>
      </w:pPr>
      <w:r w:rsidRPr="003120CF">
        <w:rPr>
          <w:rFonts w:cstheme="minorHAnsi"/>
          <w:b/>
          <w:bCs/>
        </w:rPr>
        <w:t>Please return the completed survey to</w:t>
      </w:r>
      <w:r>
        <w:rPr>
          <w:rFonts w:cstheme="minorHAnsi"/>
        </w:rPr>
        <w:t xml:space="preserve"> </w:t>
      </w:r>
      <w:r w:rsidRPr="003120CF">
        <w:rPr>
          <w:rFonts w:cstheme="minorHAnsi"/>
          <w:b/>
          <w:bCs/>
        </w:rPr>
        <w:t>Kelli Lascko</w:t>
      </w:r>
      <w:r>
        <w:rPr>
          <w:rFonts w:cstheme="minorHAnsi"/>
          <w:b/>
          <w:bCs/>
          <w:u w:val="single"/>
        </w:rPr>
        <w:t xml:space="preserve"> </w:t>
      </w:r>
      <w:hyperlink r:id="rId10" w:history="1">
        <w:r w:rsidRPr="006775EB">
          <w:rPr>
            <w:rStyle w:val="Hyperlink"/>
            <w:rFonts w:cstheme="minorHAnsi"/>
            <w:b/>
            <w:bCs/>
          </w:rPr>
          <w:t>kelli.lascko@maine.gov</w:t>
        </w:r>
      </w:hyperlink>
      <w:r>
        <w:rPr>
          <w:rFonts w:cstheme="minorHAnsi"/>
          <w:b/>
          <w:bCs/>
          <w:u w:val="single"/>
        </w:rPr>
        <w:t>.</w:t>
      </w:r>
    </w:p>
    <w:p w14:paraId="376B107C" w14:textId="5942CEF7" w:rsidR="00C028D4" w:rsidRPr="004D0B74" w:rsidRDefault="00C028D4">
      <w:pPr>
        <w:rPr>
          <w:rFonts w:cstheme="minorHAnsi"/>
        </w:rPr>
      </w:pPr>
      <w:r w:rsidRPr="004D0B74">
        <w:rPr>
          <w:rFonts w:cstheme="minorHAnsi"/>
        </w:rPr>
        <w:br w:type="page"/>
      </w:r>
    </w:p>
    <w:p w14:paraId="2164293C" w14:textId="6834B9D7" w:rsidR="00C028D4" w:rsidRPr="004D0B74" w:rsidRDefault="00C028D4" w:rsidP="004D0B74">
      <w:pPr>
        <w:pStyle w:val="Heading1"/>
        <w:rPr>
          <w:spacing w:val="-2"/>
        </w:rPr>
      </w:pPr>
      <w:bookmarkStart w:id="0" w:name="_TOC_250004"/>
      <w:r w:rsidRPr="004D0B74">
        <w:lastRenderedPageBreak/>
        <w:t xml:space="preserve">GASB </w:t>
      </w:r>
      <w:r w:rsidR="00997279">
        <w:t>87</w:t>
      </w:r>
      <w:r w:rsidRPr="004D0B74">
        <w:t xml:space="preserve"> - </w:t>
      </w:r>
      <w:bookmarkEnd w:id="0"/>
      <w:r w:rsidR="00997279">
        <w:t>Leases</w:t>
      </w:r>
    </w:p>
    <w:p w14:paraId="0A64A747" w14:textId="77777777" w:rsidR="00C028D4" w:rsidRPr="003A37F3" w:rsidRDefault="00C028D4" w:rsidP="00C028D4">
      <w:pPr>
        <w:pStyle w:val="Heading2"/>
        <w:jc w:val="both"/>
        <w:rPr>
          <w:rFonts w:asciiTheme="minorHAnsi" w:hAnsiTheme="minorHAnsi" w:cstheme="minorHAnsi"/>
          <w:b w:val="0"/>
          <w:bCs w:val="0"/>
          <w:sz w:val="20"/>
          <w:szCs w:val="20"/>
        </w:rPr>
      </w:pPr>
    </w:p>
    <w:p w14:paraId="78550F43" w14:textId="16B8EEB8" w:rsidR="00997279" w:rsidRDefault="00997279" w:rsidP="00997279">
      <w:pPr>
        <w:autoSpaceDE w:val="0"/>
        <w:autoSpaceDN w:val="0"/>
        <w:adjustRightInd w:val="0"/>
        <w:jc w:val="both"/>
        <w:rPr>
          <w:rFonts w:ascii="Arial" w:hAnsi="Arial" w:cs="Arial"/>
          <w:sz w:val="20"/>
          <w:szCs w:val="20"/>
        </w:rPr>
      </w:pPr>
      <w:r w:rsidRPr="000753A1">
        <w:rPr>
          <w:rFonts w:ascii="Arial" w:hAnsi="Arial" w:cs="Arial"/>
          <w:sz w:val="20"/>
          <w:szCs w:val="20"/>
        </w:rPr>
        <w:t>GASB 87 defines a lease as a contract that conveys control of the right to use another</w:t>
      </w:r>
      <w:r>
        <w:rPr>
          <w:rFonts w:ascii="Arial" w:hAnsi="Arial" w:cs="Arial"/>
          <w:sz w:val="20"/>
          <w:szCs w:val="20"/>
        </w:rPr>
        <w:t xml:space="preserve"> entity’s non-financial asset as specified in the contract, for </w:t>
      </w:r>
      <w:proofErr w:type="gramStart"/>
      <w:r>
        <w:rPr>
          <w:rFonts w:ascii="Arial" w:hAnsi="Arial" w:cs="Arial"/>
          <w:sz w:val="20"/>
          <w:szCs w:val="20"/>
        </w:rPr>
        <w:t>a period of time</w:t>
      </w:r>
      <w:proofErr w:type="gramEnd"/>
      <w:r>
        <w:rPr>
          <w:rFonts w:ascii="Arial" w:hAnsi="Arial" w:cs="Arial"/>
          <w:sz w:val="20"/>
          <w:szCs w:val="20"/>
        </w:rPr>
        <w:t>, in an exchange or exchange-like transaction. GASB 87 applies to all contracts meeting this definition of a lease, unless specifically excluded.</w:t>
      </w:r>
    </w:p>
    <w:p w14:paraId="5231D959" w14:textId="77777777" w:rsidR="00997279" w:rsidRDefault="00997279" w:rsidP="00997279">
      <w:pPr>
        <w:autoSpaceDE w:val="0"/>
        <w:autoSpaceDN w:val="0"/>
        <w:adjustRightInd w:val="0"/>
        <w:jc w:val="both"/>
        <w:rPr>
          <w:rFonts w:ascii="Arial" w:hAnsi="Arial" w:cs="Arial"/>
          <w:b/>
          <w:bCs/>
          <w:sz w:val="20"/>
          <w:szCs w:val="20"/>
          <w:u w:val="single"/>
        </w:rPr>
      </w:pPr>
      <w:r w:rsidRPr="000753A1">
        <w:rPr>
          <w:rFonts w:ascii="Arial" w:hAnsi="Arial" w:cs="Arial"/>
          <w:b/>
          <w:bCs/>
          <w:sz w:val="20"/>
          <w:szCs w:val="20"/>
          <w:u w:val="single"/>
        </w:rPr>
        <w:t>Exclusions</w:t>
      </w:r>
      <w:r>
        <w:rPr>
          <w:rFonts w:ascii="Arial" w:hAnsi="Arial" w:cs="Arial"/>
          <w:b/>
          <w:bCs/>
          <w:sz w:val="20"/>
          <w:szCs w:val="20"/>
          <w:u w:val="single"/>
        </w:rPr>
        <w:t>:</w:t>
      </w:r>
    </w:p>
    <w:p w14:paraId="15962912"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sidRPr="000753A1">
        <w:rPr>
          <w:rFonts w:ascii="Arial" w:hAnsi="Arial" w:cs="Arial"/>
          <w:sz w:val="20"/>
          <w:szCs w:val="20"/>
        </w:rPr>
        <w:t>leases of intangible assets</w:t>
      </w:r>
    </w:p>
    <w:p w14:paraId="3CB2598D"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leases of biological assets</w:t>
      </w:r>
    </w:p>
    <w:p w14:paraId="2122510A"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leases of inventory</w:t>
      </w:r>
    </w:p>
    <w:p w14:paraId="3C8BA5CE"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service concession arrangements (as specified in GASB 60)</w:t>
      </w:r>
    </w:p>
    <w:p w14:paraId="54649A04"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leases of assets financed with outstanding conduit debt</w:t>
      </w:r>
    </w:p>
    <w:p w14:paraId="32755E8D"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supply contracts</w:t>
      </w:r>
    </w:p>
    <w:p w14:paraId="5BB90B8E"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leases of assets that are investments</w:t>
      </w:r>
    </w:p>
    <w:p w14:paraId="64FD3999" w14:textId="77777777" w:rsidR="00997279" w:rsidRDefault="00997279" w:rsidP="00997279">
      <w:pPr>
        <w:numPr>
          <w:ilvl w:val="0"/>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certain leases subject to external laws, regulations, or legal rulings</w:t>
      </w:r>
    </w:p>
    <w:p w14:paraId="61979BD0" w14:textId="77777777" w:rsidR="00997279" w:rsidRDefault="00997279" w:rsidP="00997279">
      <w:pPr>
        <w:autoSpaceDE w:val="0"/>
        <w:autoSpaceDN w:val="0"/>
        <w:adjustRightInd w:val="0"/>
        <w:jc w:val="both"/>
        <w:rPr>
          <w:rFonts w:ascii="Arial" w:hAnsi="Arial" w:cs="Arial"/>
          <w:sz w:val="20"/>
          <w:szCs w:val="20"/>
        </w:rPr>
      </w:pPr>
    </w:p>
    <w:p w14:paraId="104176B9" w14:textId="368A137F" w:rsidR="00997279" w:rsidRPr="00345081" w:rsidRDefault="00997279" w:rsidP="00997279">
      <w:pPr>
        <w:autoSpaceDE w:val="0"/>
        <w:autoSpaceDN w:val="0"/>
        <w:adjustRightInd w:val="0"/>
        <w:jc w:val="both"/>
        <w:rPr>
          <w:rFonts w:ascii="Arial" w:hAnsi="Arial" w:cs="Arial"/>
          <w:b/>
          <w:bCs/>
          <w:sz w:val="20"/>
          <w:szCs w:val="20"/>
        </w:rPr>
      </w:pPr>
      <w:r w:rsidRPr="00345081">
        <w:rPr>
          <w:rFonts w:ascii="Arial" w:hAnsi="Arial" w:cs="Arial"/>
          <w:b/>
          <w:bCs/>
          <w:sz w:val="20"/>
          <w:szCs w:val="20"/>
        </w:rPr>
        <w:t>GASB 87 requires different accounting treatment</w:t>
      </w:r>
      <w:r>
        <w:rPr>
          <w:rFonts w:ascii="Arial" w:hAnsi="Arial" w:cs="Arial"/>
          <w:b/>
          <w:bCs/>
          <w:sz w:val="20"/>
          <w:szCs w:val="20"/>
        </w:rPr>
        <w:t>s</w:t>
      </w:r>
      <w:r w:rsidRPr="00345081">
        <w:rPr>
          <w:rFonts w:ascii="Arial" w:hAnsi="Arial" w:cs="Arial"/>
          <w:b/>
          <w:bCs/>
          <w:sz w:val="20"/>
          <w:szCs w:val="20"/>
        </w:rPr>
        <w:t xml:space="preserve"> for each of the following three categories of contracts:</w:t>
      </w:r>
    </w:p>
    <w:p w14:paraId="3A7449DC" w14:textId="77777777" w:rsidR="00997279" w:rsidRPr="008A2275" w:rsidRDefault="00997279" w:rsidP="00997279">
      <w:pPr>
        <w:numPr>
          <w:ilvl w:val="0"/>
          <w:numId w:val="5"/>
        </w:numPr>
        <w:autoSpaceDE w:val="0"/>
        <w:autoSpaceDN w:val="0"/>
        <w:adjustRightInd w:val="0"/>
        <w:spacing w:after="0" w:line="240" w:lineRule="auto"/>
        <w:jc w:val="both"/>
        <w:rPr>
          <w:rFonts w:ascii="Arial" w:hAnsi="Arial" w:cs="Arial"/>
          <w:sz w:val="20"/>
          <w:szCs w:val="20"/>
        </w:rPr>
      </w:pPr>
      <w:r w:rsidRPr="008A2275">
        <w:rPr>
          <w:rFonts w:ascii="Arial" w:hAnsi="Arial" w:cs="Arial"/>
          <w:b/>
          <w:bCs/>
          <w:sz w:val="20"/>
          <w:szCs w:val="20"/>
        </w:rPr>
        <w:t xml:space="preserve">Short-term leases: </w:t>
      </w:r>
      <w:r w:rsidRPr="008A2275">
        <w:rPr>
          <w:rFonts w:ascii="Arial" w:hAnsi="Arial" w:cs="Arial"/>
          <w:sz w:val="20"/>
          <w:szCs w:val="20"/>
        </w:rPr>
        <w:t xml:space="preserve">Defined as a lease that, at the commencement of the lease term, has a maximum possible term under the lease contract of 12 months (or less), including any option to extend, regardless of their probability of being exercised. For a lease that is cancelable by either the lessees or </w:t>
      </w:r>
      <w:proofErr w:type="gramStart"/>
      <w:r w:rsidRPr="008A2275">
        <w:rPr>
          <w:rFonts w:ascii="Arial" w:hAnsi="Arial" w:cs="Arial"/>
          <w:sz w:val="20"/>
          <w:szCs w:val="20"/>
        </w:rPr>
        <w:t>lessor</w:t>
      </w:r>
      <w:proofErr w:type="gramEnd"/>
      <w:r w:rsidRPr="008A2275">
        <w:rPr>
          <w:rFonts w:ascii="Arial" w:hAnsi="Arial" w:cs="Arial"/>
          <w:sz w:val="20"/>
          <w:szCs w:val="20"/>
        </w:rPr>
        <w:t>, the maximum possible term is the amount of time either party is required to notify the other party of the cancellation (notice period). Lessees and lessors should recognize short-term lease payments as outflows or resources or inflows or resources, respectively, based on the payment provisions of the lease contract.</w:t>
      </w:r>
    </w:p>
    <w:p w14:paraId="1A424EAC" w14:textId="77777777" w:rsidR="00997279" w:rsidRPr="008A2275" w:rsidRDefault="00997279" w:rsidP="00997279">
      <w:pPr>
        <w:numPr>
          <w:ilvl w:val="0"/>
          <w:numId w:val="5"/>
        </w:numPr>
        <w:autoSpaceDE w:val="0"/>
        <w:autoSpaceDN w:val="0"/>
        <w:adjustRightInd w:val="0"/>
        <w:spacing w:after="0" w:line="240" w:lineRule="auto"/>
        <w:jc w:val="both"/>
        <w:rPr>
          <w:rFonts w:ascii="Arial" w:hAnsi="Arial" w:cs="Arial"/>
          <w:sz w:val="20"/>
          <w:szCs w:val="20"/>
        </w:rPr>
      </w:pPr>
      <w:r w:rsidRPr="008A2275">
        <w:rPr>
          <w:rFonts w:ascii="Arial" w:hAnsi="Arial" w:cs="Arial"/>
          <w:b/>
          <w:bCs/>
          <w:sz w:val="20"/>
          <w:szCs w:val="20"/>
        </w:rPr>
        <w:t>Contracts that transfer ownership (</w:t>
      </w:r>
      <w:r w:rsidRPr="008A2275">
        <w:rPr>
          <w:rFonts w:ascii="Arial" w:hAnsi="Arial" w:cs="Arial"/>
          <w:sz w:val="20"/>
          <w:szCs w:val="20"/>
        </w:rPr>
        <w:t>referred to as</w:t>
      </w:r>
      <w:r w:rsidRPr="008A2275">
        <w:rPr>
          <w:rFonts w:ascii="Arial" w:hAnsi="Arial" w:cs="Arial"/>
          <w:b/>
          <w:bCs/>
          <w:sz w:val="20"/>
          <w:szCs w:val="20"/>
        </w:rPr>
        <w:t xml:space="preserve"> “financed purchases): </w:t>
      </w:r>
      <w:r w:rsidRPr="00F93117">
        <w:rPr>
          <w:rFonts w:ascii="Arial" w:hAnsi="Arial" w:cs="Arial"/>
          <w:sz w:val="20"/>
          <w:szCs w:val="20"/>
        </w:rPr>
        <w:t>A</w:t>
      </w:r>
      <w:r w:rsidRPr="008A2275">
        <w:rPr>
          <w:rFonts w:ascii="Arial" w:hAnsi="Arial" w:cs="Arial"/>
          <w:sz w:val="20"/>
          <w:szCs w:val="20"/>
        </w:rPr>
        <w:t xml:space="preserve"> contract that transfers ownership of the underlying asset to the purchaser by the end of the contract and does not contain termination options</w:t>
      </w:r>
      <w:r>
        <w:rPr>
          <w:rFonts w:ascii="Arial" w:hAnsi="Arial" w:cs="Arial"/>
          <w:sz w:val="20"/>
          <w:szCs w:val="20"/>
        </w:rPr>
        <w:t xml:space="preserve"> but</w:t>
      </w:r>
      <w:r w:rsidRPr="008A2275">
        <w:rPr>
          <w:rFonts w:ascii="Arial" w:hAnsi="Arial" w:cs="Arial"/>
          <w:sz w:val="20"/>
          <w:szCs w:val="20"/>
        </w:rPr>
        <w:t xml:space="preserve"> may contain a fiscal funding or cancellation clause that is not reasonably certain of being exercised</w:t>
      </w:r>
      <w:r>
        <w:rPr>
          <w:rFonts w:ascii="Arial" w:hAnsi="Arial" w:cs="Arial"/>
          <w:sz w:val="20"/>
          <w:szCs w:val="20"/>
        </w:rPr>
        <w:t>, should be reported as a financed purchase of the underlying asset by the lessee or sale of the asset by the lessor</w:t>
      </w:r>
      <w:r w:rsidRPr="008A2275">
        <w:rPr>
          <w:rFonts w:ascii="Arial" w:hAnsi="Arial" w:cs="Arial"/>
          <w:sz w:val="20"/>
          <w:szCs w:val="20"/>
        </w:rPr>
        <w:t>.</w:t>
      </w:r>
    </w:p>
    <w:p w14:paraId="7CD0D67A" w14:textId="77777777" w:rsidR="00997279" w:rsidRDefault="00997279" w:rsidP="00997279">
      <w:pPr>
        <w:numPr>
          <w:ilvl w:val="0"/>
          <w:numId w:val="5"/>
        </w:numPr>
        <w:autoSpaceDE w:val="0"/>
        <w:autoSpaceDN w:val="0"/>
        <w:adjustRightInd w:val="0"/>
        <w:spacing w:after="0" w:line="240" w:lineRule="auto"/>
        <w:jc w:val="both"/>
        <w:rPr>
          <w:rFonts w:ascii="Arial" w:hAnsi="Arial" w:cs="Arial"/>
          <w:sz w:val="20"/>
          <w:szCs w:val="20"/>
        </w:rPr>
      </w:pPr>
      <w:r w:rsidRPr="004F6B01">
        <w:rPr>
          <w:rFonts w:ascii="Arial" w:hAnsi="Arial" w:cs="Arial"/>
          <w:b/>
          <w:bCs/>
          <w:sz w:val="20"/>
          <w:szCs w:val="20"/>
        </w:rPr>
        <w:t>Leases other than short-term leases and contracts tha</w:t>
      </w:r>
      <w:r>
        <w:rPr>
          <w:rFonts w:ascii="Arial" w:hAnsi="Arial" w:cs="Arial"/>
          <w:b/>
          <w:bCs/>
          <w:sz w:val="20"/>
          <w:szCs w:val="20"/>
        </w:rPr>
        <w:t>t</w:t>
      </w:r>
      <w:r w:rsidRPr="004F6B01">
        <w:rPr>
          <w:rFonts w:ascii="Arial" w:hAnsi="Arial" w:cs="Arial"/>
          <w:b/>
          <w:bCs/>
          <w:sz w:val="20"/>
          <w:szCs w:val="20"/>
        </w:rPr>
        <w:t xml:space="preserve"> transfer ownership</w:t>
      </w:r>
      <w:r>
        <w:rPr>
          <w:rFonts w:ascii="Arial" w:hAnsi="Arial" w:cs="Arial"/>
          <w:sz w:val="20"/>
          <w:szCs w:val="20"/>
        </w:rPr>
        <w:t xml:space="preserve"> (referred to as </w:t>
      </w:r>
      <w:r w:rsidRPr="004F6B01">
        <w:rPr>
          <w:rFonts w:ascii="Arial" w:hAnsi="Arial" w:cs="Arial"/>
          <w:b/>
          <w:bCs/>
          <w:sz w:val="20"/>
          <w:szCs w:val="20"/>
        </w:rPr>
        <w:t>Right to Use (RTU) leases</w:t>
      </w:r>
      <w:r>
        <w:rPr>
          <w:rFonts w:ascii="Arial" w:hAnsi="Arial" w:cs="Arial"/>
          <w:sz w:val="20"/>
          <w:szCs w:val="20"/>
        </w:rPr>
        <w:t xml:space="preserve">: All other leases that do not meet the definition of short-term leases or contracts that transfer ownership. </w:t>
      </w:r>
    </w:p>
    <w:p w14:paraId="72C0F6C9" w14:textId="77777777" w:rsidR="00997279" w:rsidRDefault="00997279" w:rsidP="00997279">
      <w:pPr>
        <w:autoSpaceDE w:val="0"/>
        <w:autoSpaceDN w:val="0"/>
        <w:adjustRightInd w:val="0"/>
        <w:ind w:left="720"/>
        <w:jc w:val="both"/>
        <w:rPr>
          <w:rFonts w:ascii="Arial" w:hAnsi="Arial" w:cs="Arial"/>
          <w:sz w:val="20"/>
          <w:szCs w:val="20"/>
        </w:rPr>
      </w:pPr>
    </w:p>
    <w:p w14:paraId="6FC86F95" w14:textId="77777777" w:rsidR="00997279" w:rsidRPr="00997279" w:rsidRDefault="00997279" w:rsidP="00997279">
      <w:pPr>
        <w:autoSpaceDE w:val="0"/>
        <w:autoSpaceDN w:val="0"/>
        <w:adjustRightInd w:val="0"/>
        <w:jc w:val="both"/>
        <w:rPr>
          <w:rFonts w:ascii="Arial" w:hAnsi="Arial" w:cs="Arial"/>
          <w:sz w:val="20"/>
          <w:szCs w:val="20"/>
        </w:rPr>
      </w:pPr>
      <w:r w:rsidRPr="00997279">
        <w:rPr>
          <w:rFonts w:ascii="Arial" w:hAnsi="Arial" w:cs="Arial"/>
          <w:sz w:val="20"/>
          <w:szCs w:val="20"/>
        </w:rPr>
        <w:t xml:space="preserve">At the commencement of the lease term, a lessee should recognize a lease liability and an intangible RTU lease asset. A lease liability should measure the lease liability at the present value of payments expected to be made during the lease term. Measurement of the lease liability should include items listed in paragraph 21 of GASB 87. As noted in </w:t>
      </w:r>
      <w:proofErr w:type="gramStart"/>
      <w:r w:rsidRPr="00997279">
        <w:rPr>
          <w:rFonts w:ascii="Arial" w:hAnsi="Arial" w:cs="Arial"/>
          <w:sz w:val="20"/>
          <w:szCs w:val="20"/>
        </w:rPr>
        <w:t>the Paragraph</w:t>
      </w:r>
      <w:proofErr w:type="gramEnd"/>
      <w:r w:rsidRPr="00997279">
        <w:rPr>
          <w:rFonts w:ascii="Arial" w:hAnsi="Arial" w:cs="Arial"/>
          <w:sz w:val="20"/>
          <w:szCs w:val="20"/>
        </w:rPr>
        <w:t xml:space="preserve"> 94 of GASB </w:t>
      </w:r>
      <w:proofErr w:type="gramStart"/>
      <w:r w:rsidRPr="00997279">
        <w:rPr>
          <w:rFonts w:ascii="Arial" w:hAnsi="Arial" w:cs="Arial"/>
          <w:sz w:val="20"/>
          <w:szCs w:val="20"/>
        </w:rPr>
        <w:t>87</w:t>
      </w:r>
      <w:proofErr w:type="gramEnd"/>
      <w:r w:rsidRPr="00997279">
        <w:rPr>
          <w:rFonts w:ascii="Arial" w:hAnsi="Arial" w:cs="Arial"/>
          <w:sz w:val="20"/>
          <w:szCs w:val="20"/>
        </w:rPr>
        <w:t xml:space="preserve"> the lease should be recognized and measured using the facts and circumstances that exist at the beginning of the period of implementation.</w:t>
      </w:r>
    </w:p>
    <w:p w14:paraId="432C8B79" w14:textId="77777777" w:rsidR="00997279" w:rsidRPr="00345081" w:rsidRDefault="00997279" w:rsidP="00997279">
      <w:pPr>
        <w:autoSpaceDE w:val="0"/>
        <w:autoSpaceDN w:val="0"/>
        <w:adjustRightInd w:val="0"/>
        <w:jc w:val="both"/>
        <w:rPr>
          <w:rFonts w:ascii="Arial" w:hAnsi="Arial" w:cs="Arial"/>
          <w:b/>
          <w:bCs/>
          <w:sz w:val="20"/>
          <w:szCs w:val="20"/>
        </w:rPr>
      </w:pPr>
      <w:r w:rsidRPr="00345081">
        <w:rPr>
          <w:rFonts w:ascii="Arial" w:hAnsi="Arial" w:cs="Arial"/>
          <w:b/>
          <w:bCs/>
          <w:sz w:val="20"/>
          <w:szCs w:val="20"/>
        </w:rPr>
        <w:t>Lease Asset</w:t>
      </w:r>
    </w:p>
    <w:p w14:paraId="1EEF7AA6" w14:textId="77777777"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A lessee initially should measure the lease asset as the sum of the following:</w:t>
      </w:r>
    </w:p>
    <w:p w14:paraId="6440F60A" w14:textId="77777777" w:rsidR="00997279" w:rsidRDefault="00997279" w:rsidP="00997279">
      <w:pPr>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amount of the initial measurement of the lease liability (see paragraph 21 of GASB 87).</w:t>
      </w:r>
    </w:p>
    <w:p w14:paraId="2B2BBF44" w14:textId="77777777" w:rsidR="00997279" w:rsidRDefault="00997279" w:rsidP="00997279">
      <w:pPr>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Lease payments made to the lessor at or before the commencement of the lease term, less any lease incentives (as discussed on paragraphs 61 and 62 of GASB 87) received from the lessor at or before the commencement of the lease term.</w:t>
      </w:r>
    </w:p>
    <w:p w14:paraId="4855612E" w14:textId="77777777" w:rsidR="00997279" w:rsidRDefault="00997279" w:rsidP="00997279">
      <w:pPr>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Initial direct costs that are ancillary charges </w:t>
      </w:r>
      <w:proofErr w:type="gramStart"/>
      <w:r>
        <w:rPr>
          <w:rFonts w:ascii="Arial" w:hAnsi="Arial" w:cs="Arial"/>
          <w:sz w:val="20"/>
          <w:szCs w:val="20"/>
        </w:rPr>
        <w:t>necessary</w:t>
      </w:r>
      <w:proofErr w:type="gramEnd"/>
      <w:r>
        <w:rPr>
          <w:rFonts w:ascii="Arial" w:hAnsi="Arial" w:cs="Arial"/>
          <w:sz w:val="20"/>
          <w:szCs w:val="20"/>
        </w:rPr>
        <w:t xml:space="preserve"> to place the lease asset into service.</w:t>
      </w:r>
    </w:p>
    <w:p w14:paraId="0E7DF483" w14:textId="77777777" w:rsidR="00997279" w:rsidRDefault="00997279" w:rsidP="00997279">
      <w:pPr>
        <w:autoSpaceDE w:val="0"/>
        <w:autoSpaceDN w:val="0"/>
        <w:adjustRightInd w:val="0"/>
        <w:jc w:val="both"/>
        <w:rPr>
          <w:rFonts w:ascii="Arial" w:hAnsi="Arial" w:cs="Arial"/>
          <w:sz w:val="20"/>
          <w:szCs w:val="20"/>
        </w:rPr>
      </w:pPr>
    </w:p>
    <w:p w14:paraId="49F8BFFE" w14:textId="77777777" w:rsidR="002D37DD" w:rsidRDefault="002D37DD" w:rsidP="00997279">
      <w:pPr>
        <w:autoSpaceDE w:val="0"/>
        <w:autoSpaceDN w:val="0"/>
        <w:adjustRightInd w:val="0"/>
        <w:jc w:val="both"/>
        <w:rPr>
          <w:rFonts w:ascii="Arial" w:hAnsi="Arial" w:cs="Arial"/>
          <w:sz w:val="20"/>
          <w:szCs w:val="20"/>
        </w:rPr>
      </w:pPr>
    </w:p>
    <w:p w14:paraId="48D61E17" w14:textId="77777777" w:rsidR="002D37DD" w:rsidRDefault="002D37DD" w:rsidP="00997279">
      <w:pPr>
        <w:autoSpaceDE w:val="0"/>
        <w:autoSpaceDN w:val="0"/>
        <w:adjustRightInd w:val="0"/>
        <w:jc w:val="both"/>
        <w:rPr>
          <w:rFonts w:ascii="Arial" w:hAnsi="Arial" w:cs="Arial"/>
          <w:sz w:val="20"/>
          <w:szCs w:val="20"/>
        </w:rPr>
      </w:pPr>
    </w:p>
    <w:p w14:paraId="1119EE0E" w14:textId="66EA629D"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A lease asset should be amortized in a systemic and rational manner over the shorter of the lease term or the useful life of the underlying asset. The amortization of the lease asset should be reported as an outflow of resources (amortization exp), which may be combined with depreciation expense related to other capital assets for financial reporting purposes.</w:t>
      </w:r>
    </w:p>
    <w:p w14:paraId="465ADA4B" w14:textId="77777777"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If a lease asset contains a purchase option that the lessee has determined is reasonably certain of being exercised, the lease asset should be amortized over the useful life of the underlying asset. In that circumstance, if the underlying asset is non-depreciable, such as land, the lease asset should not be amortized.</w:t>
      </w:r>
    </w:p>
    <w:p w14:paraId="7E02D155" w14:textId="77777777"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A lease asset generally should be adjusted by the same amount as the corresponding lease liability when that liability is remeasured based paragraphs 25-29 of GASB 87. However, if that change reduces the carrying value of the lease asset to zero, any remaining amount should be reported in the resource flows statement (for example, a gain).</w:t>
      </w:r>
    </w:p>
    <w:p w14:paraId="36A4D447" w14:textId="77777777" w:rsidR="00997279" w:rsidRPr="000D15D9" w:rsidRDefault="00997279" w:rsidP="00997279">
      <w:pPr>
        <w:autoSpaceDE w:val="0"/>
        <w:autoSpaceDN w:val="0"/>
        <w:adjustRightInd w:val="0"/>
        <w:jc w:val="both"/>
        <w:rPr>
          <w:b/>
          <w:bCs/>
        </w:rPr>
      </w:pPr>
      <w:r w:rsidRPr="000D15D9">
        <w:rPr>
          <w:rFonts w:ascii="Arial" w:hAnsi="Arial" w:cs="Arial"/>
          <w:b/>
          <w:bCs/>
          <w:sz w:val="20"/>
          <w:szCs w:val="20"/>
        </w:rPr>
        <w:t>Lease Liability</w:t>
      </w:r>
    </w:p>
    <w:p w14:paraId="6C706EF9" w14:textId="77777777" w:rsidR="00997279" w:rsidRPr="00962506" w:rsidRDefault="00997279" w:rsidP="00997279">
      <w:pPr>
        <w:rPr>
          <w:rFonts w:ascii="Arial" w:hAnsi="Arial" w:cs="Arial"/>
          <w:sz w:val="20"/>
          <w:szCs w:val="20"/>
        </w:rPr>
      </w:pPr>
      <w:r w:rsidRPr="00962506">
        <w:rPr>
          <w:rFonts w:ascii="Arial" w:hAnsi="Arial" w:cs="Arial"/>
          <w:sz w:val="20"/>
          <w:szCs w:val="20"/>
        </w:rPr>
        <w:t xml:space="preserve">The lease liability should be measured at the present value of payments expected to be made during the lease term (less any lease incentives). The lease asset should be measured at the amount of the initial measurement of the lease liability, plus any payments made to the lessor at or before the commencement of the lease term and certain direct costs. </w:t>
      </w:r>
    </w:p>
    <w:p w14:paraId="293FF05F" w14:textId="77777777" w:rsidR="00997279" w:rsidRDefault="00997279" w:rsidP="00997279">
      <w:pPr>
        <w:rPr>
          <w:rFonts w:ascii="Arial" w:hAnsi="Arial" w:cs="Arial"/>
          <w:sz w:val="20"/>
          <w:szCs w:val="20"/>
        </w:rPr>
      </w:pPr>
      <w:r w:rsidRPr="00962506">
        <w:rPr>
          <w:rFonts w:ascii="Arial" w:hAnsi="Arial" w:cs="Arial"/>
          <w:sz w:val="20"/>
          <w:szCs w:val="20"/>
        </w:rPr>
        <w:t xml:space="preserve">A lessee should reduce the lease liability as payments are made and recognize an outflow of resources (for example, expense) for interest on the liability. The lessee should amortize the lease asset in a systematic and rational manner over the shorter of the lease term or the useful life of the underlying asset. The notes </w:t>
      </w:r>
      <w:proofErr w:type="gramStart"/>
      <w:r w:rsidRPr="00962506">
        <w:rPr>
          <w:rFonts w:ascii="Arial" w:hAnsi="Arial" w:cs="Arial"/>
          <w:sz w:val="20"/>
          <w:szCs w:val="20"/>
        </w:rPr>
        <w:t>to</w:t>
      </w:r>
      <w:proofErr w:type="gramEnd"/>
      <w:r w:rsidRPr="00962506">
        <w:rPr>
          <w:rFonts w:ascii="Arial" w:hAnsi="Arial" w:cs="Arial"/>
          <w:sz w:val="20"/>
          <w:szCs w:val="20"/>
        </w:rPr>
        <w:t xml:space="preserve"> financial statements should include a description of leasing arrangements, the amount of lease assets recognized, and a schedule of future lease payments to be made.</w:t>
      </w:r>
    </w:p>
    <w:p w14:paraId="1D6B40F8" w14:textId="77777777" w:rsidR="00997279" w:rsidRDefault="00997279" w:rsidP="00997279">
      <w:pPr>
        <w:rPr>
          <w:rFonts w:ascii="Arial" w:hAnsi="Arial" w:cs="Arial"/>
          <w:sz w:val="20"/>
          <w:szCs w:val="20"/>
        </w:rPr>
      </w:pPr>
      <w:r w:rsidRPr="000D15D9">
        <w:rPr>
          <w:rFonts w:ascii="Arial" w:hAnsi="Arial" w:cs="Arial"/>
          <w:sz w:val="20"/>
          <w:szCs w:val="20"/>
        </w:rPr>
        <w:t xml:space="preserve">The lessee should remeasure the lease liability at subsequent financial reporting dates if one or more of the following changes have occurred at or before that financial reporting date, based on the most recent lease contract before the changes, and the changes individually or in the aggregate are expected to significantly affect the amount of the lease liability since the previous measurement: </w:t>
      </w:r>
    </w:p>
    <w:p w14:paraId="6CBF41F9" w14:textId="77777777" w:rsidR="00997279" w:rsidRDefault="00997279" w:rsidP="00997279">
      <w:pPr>
        <w:numPr>
          <w:ilvl w:val="0"/>
          <w:numId w:val="10"/>
        </w:numPr>
        <w:spacing w:after="0" w:line="240" w:lineRule="auto"/>
        <w:rPr>
          <w:rFonts w:ascii="Arial" w:hAnsi="Arial" w:cs="Arial"/>
          <w:sz w:val="20"/>
          <w:szCs w:val="20"/>
        </w:rPr>
      </w:pPr>
      <w:r w:rsidRPr="000D15D9">
        <w:rPr>
          <w:rFonts w:ascii="Arial" w:hAnsi="Arial" w:cs="Arial"/>
          <w:sz w:val="20"/>
          <w:szCs w:val="20"/>
        </w:rPr>
        <w:t>There is a change in the lease term.</w:t>
      </w:r>
    </w:p>
    <w:p w14:paraId="0052DEC1" w14:textId="77777777" w:rsidR="00997279" w:rsidRPr="000D15D9" w:rsidRDefault="00997279" w:rsidP="00997279">
      <w:pPr>
        <w:numPr>
          <w:ilvl w:val="0"/>
          <w:numId w:val="10"/>
        </w:numPr>
        <w:spacing w:after="0" w:line="240" w:lineRule="auto"/>
        <w:rPr>
          <w:rFonts w:ascii="Arial" w:hAnsi="Arial" w:cs="Arial"/>
          <w:sz w:val="20"/>
          <w:szCs w:val="20"/>
        </w:rPr>
      </w:pPr>
      <w:r w:rsidRPr="000D15D9">
        <w:rPr>
          <w:rFonts w:ascii="Arial" w:hAnsi="Arial" w:cs="Arial"/>
          <w:sz w:val="20"/>
          <w:szCs w:val="20"/>
        </w:rPr>
        <w:t>An assessment of all relevant factors indicates that the likelihood of a residual value guarantee being paid has changed from reasonably certain to not reasonably certain, or vice versa.</w:t>
      </w:r>
    </w:p>
    <w:p w14:paraId="063837CE" w14:textId="77777777" w:rsidR="00997279" w:rsidRPr="000D15D9" w:rsidRDefault="00997279" w:rsidP="00997279">
      <w:pPr>
        <w:numPr>
          <w:ilvl w:val="0"/>
          <w:numId w:val="10"/>
        </w:numPr>
        <w:spacing w:after="0" w:line="240" w:lineRule="auto"/>
        <w:rPr>
          <w:rFonts w:ascii="Arial" w:hAnsi="Arial" w:cs="Arial"/>
          <w:sz w:val="20"/>
          <w:szCs w:val="20"/>
        </w:rPr>
      </w:pPr>
      <w:r w:rsidRPr="000D15D9">
        <w:rPr>
          <w:rFonts w:ascii="Arial" w:hAnsi="Arial" w:cs="Arial"/>
          <w:sz w:val="20"/>
          <w:szCs w:val="20"/>
        </w:rPr>
        <w:t>An assessment of all relevant factors indicates that the likelihood of a purchase option being exercised has changed from reasonably certain to not reasonably certain, or vice versa.</w:t>
      </w:r>
    </w:p>
    <w:p w14:paraId="35C19B53" w14:textId="77777777" w:rsidR="00997279" w:rsidRPr="000D15D9" w:rsidRDefault="00997279" w:rsidP="00997279">
      <w:pPr>
        <w:numPr>
          <w:ilvl w:val="0"/>
          <w:numId w:val="10"/>
        </w:numPr>
        <w:spacing w:after="0" w:line="240" w:lineRule="auto"/>
        <w:rPr>
          <w:rFonts w:ascii="Arial" w:hAnsi="Arial" w:cs="Arial"/>
          <w:sz w:val="20"/>
          <w:szCs w:val="20"/>
        </w:rPr>
      </w:pPr>
      <w:r w:rsidRPr="000D15D9">
        <w:rPr>
          <w:rFonts w:ascii="Arial" w:hAnsi="Arial" w:cs="Arial"/>
          <w:sz w:val="20"/>
          <w:szCs w:val="20"/>
        </w:rPr>
        <w:t>There is a change in the estimated amounts for payments already included in the measurement of the lease liability (</w:t>
      </w:r>
      <w:r w:rsidRPr="00643AD9">
        <w:rPr>
          <w:rFonts w:ascii="Arial" w:hAnsi="Arial" w:cs="Arial"/>
          <w:sz w:val="20"/>
          <w:szCs w:val="20"/>
        </w:rPr>
        <w:t>except as provided in paragraph 26</w:t>
      </w:r>
      <w:r w:rsidRPr="000D15D9">
        <w:rPr>
          <w:rFonts w:ascii="Arial" w:hAnsi="Arial" w:cs="Arial"/>
          <w:sz w:val="20"/>
          <w:szCs w:val="20"/>
        </w:rPr>
        <w:t>).</w:t>
      </w:r>
    </w:p>
    <w:p w14:paraId="5F709DEC" w14:textId="77777777" w:rsidR="00997279" w:rsidRPr="000D15D9" w:rsidRDefault="00997279" w:rsidP="00997279">
      <w:pPr>
        <w:numPr>
          <w:ilvl w:val="0"/>
          <w:numId w:val="10"/>
        </w:numPr>
        <w:spacing w:after="0" w:line="240" w:lineRule="auto"/>
        <w:rPr>
          <w:rFonts w:ascii="Arial" w:hAnsi="Arial" w:cs="Arial"/>
          <w:sz w:val="20"/>
          <w:szCs w:val="20"/>
        </w:rPr>
      </w:pPr>
      <w:r w:rsidRPr="000D15D9">
        <w:rPr>
          <w:rFonts w:ascii="Arial" w:hAnsi="Arial" w:cs="Arial"/>
          <w:sz w:val="20"/>
          <w:szCs w:val="20"/>
        </w:rPr>
        <w:t>There is a change in the interest rate the lessor charges the lessee, if used as the initial discount rate.</w:t>
      </w:r>
    </w:p>
    <w:p w14:paraId="7E674777" w14:textId="77777777" w:rsidR="00997279" w:rsidRDefault="00997279" w:rsidP="00997279">
      <w:pPr>
        <w:rPr>
          <w:rFonts w:ascii="Arial" w:hAnsi="Arial" w:cs="Arial"/>
          <w:sz w:val="20"/>
          <w:szCs w:val="20"/>
        </w:rPr>
      </w:pPr>
    </w:p>
    <w:p w14:paraId="5B2D8D2D" w14:textId="77777777" w:rsidR="00997279" w:rsidRPr="000D15D9" w:rsidRDefault="00997279" w:rsidP="00997279">
      <w:pPr>
        <w:rPr>
          <w:rFonts w:ascii="Arial" w:hAnsi="Arial" w:cs="Arial"/>
          <w:sz w:val="20"/>
          <w:szCs w:val="20"/>
        </w:rPr>
      </w:pPr>
      <w:r w:rsidRPr="000D15D9">
        <w:rPr>
          <w:rFonts w:ascii="Arial" w:hAnsi="Arial" w:cs="Arial"/>
          <w:sz w:val="20"/>
          <w:szCs w:val="20"/>
        </w:rPr>
        <w:t>If a lease liability is remeasured for any of the changes</w:t>
      </w:r>
      <w:r>
        <w:rPr>
          <w:rFonts w:ascii="Arial" w:hAnsi="Arial" w:cs="Arial"/>
          <w:sz w:val="20"/>
          <w:szCs w:val="20"/>
        </w:rPr>
        <w:t xml:space="preserve"> above</w:t>
      </w:r>
      <w:r w:rsidRPr="000D15D9">
        <w:rPr>
          <w:rFonts w:ascii="Arial" w:hAnsi="Arial" w:cs="Arial"/>
          <w:sz w:val="20"/>
          <w:szCs w:val="20"/>
        </w:rPr>
        <w:t>, the liability also should be adjusted for any change in an index or rate used to determine variable payments if that change in the index or rate is expected to significantly affect the amount of the liability since the previous measurement. A lease liability is not required to be remeasured solely for a change in an index or rate used to determine variable payments.</w:t>
      </w:r>
    </w:p>
    <w:p w14:paraId="7D8DD561" w14:textId="77777777" w:rsidR="00997279" w:rsidRDefault="00997279" w:rsidP="00997279">
      <w:pPr>
        <w:autoSpaceDE w:val="0"/>
        <w:autoSpaceDN w:val="0"/>
        <w:adjustRightInd w:val="0"/>
        <w:ind w:left="720"/>
        <w:jc w:val="both"/>
        <w:rPr>
          <w:rFonts w:ascii="Arial" w:hAnsi="Arial" w:cs="Arial"/>
          <w:sz w:val="20"/>
          <w:szCs w:val="20"/>
        </w:rPr>
      </w:pPr>
    </w:p>
    <w:p w14:paraId="7679C902" w14:textId="77777777" w:rsidR="002D37DD" w:rsidRDefault="002D37DD" w:rsidP="00997279">
      <w:pPr>
        <w:autoSpaceDE w:val="0"/>
        <w:autoSpaceDN w:val="0"/>
        <w:adjustRightInd w:val="0"/>
        <w:jc w:val="both"/>
        <w:rPr>
          <w:rFonts w:ascii="Arial" w:hAnsi="Arial" w:cs="Arial"/>
          <w:b/>
          <w:bCs/>
          <w:sz w:val="20"/>
          <w:szCs w:val="20"/>
        </w:rPr>
      </w:pPr>
    </w:p>
    <w:p w14:paraId="4B13A04A" w14:textId="77777777" w:rsidR="002D37DD" w:rsidRDefault="002D37DD" w:rsidP="00997279">
      <w:pPr>
        <w:autoSpaceDE w:val="0"/>
        <w:autoSpaceDN w:val="0"/>
        <w:adjustRightInd w:val="0"/>
        <w:jc w:val="both"/>
        <w:rPr>
          <w:rFonts w:ascii="Arial" w:hAnsi="Arial" w:cs="Arial"/>
          <w:b/>
          <w:bCs/>
          <w:sz w:val="20"/>
          <w:szCs w:val="20"/>
        </w:rPr>
      </w:pPr>
    </w:p>
    <w:p w14:paraId="453FE8DE" w14:textId="206E85E7" w:rsidR="00997279" w:rsidRPr="00810CFB" w:rsidRDefault="00997279" w:rsidP="00997279">
      <w:pPr>
        <w:autoSpaceDE w:val="0"/>
        <w:autoSpaceDN w:val="0"/>
        <w:adjustRightInd w:val="0"/>
        <w:jc w:val="both"/>
        <w:rPr>
          <w:rFonts w:ascii="Arial" w:hAnsi="Arial" w:cs="Arial"/>
          <w:b/>
          <w:bCs/>
          <w:sz w:val="20"/>
          <w:szCs w:val="20"/>
        </w:rPr>
      </w:pPr>
      <w:r w:rsidRPr="00810CFB">
        <w:rPr>
          <w:rFonts w:ascii="Arial" w:hAnsi="Arial" w:cs="Arial"/>
          <w:b/>
          <w:bCs/>
          <w:sz w:val="20"/>
          <w:szCs w:val="20"/>
        </w:rPr>
        <w:t>Lease Term:</w:t>
      </w:r>
    </w:p>
    <w:p w14:paraId="3FD56597" w14:textId="77777777"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The lease term is the period during which a lessee has a noncancelable right to use an underlying asset (referred to as the noncancelable period), plus the following period, if applicable:</w:t>
      </w:r>
    </w:p>
    <w:p w14:paraId="78A71CA1" w14:textId="77777777" w:rsidR="00997279" w:rsidRDefault="00997279" w:rsidP="00997279">
      <w:pPr>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Periods covered by a lessee’s option to extend the lease if it is reasonably certain, </w:t>
      </w:r>
      <w:bookmarkStart w:id="1" w:name="_Hlk97123310"/>
      <w:r>
        <w:rPr>
          <w:rFonts w:ascii="Arial" w:hAnsi="Arial" w:cs="Arial"/>
          <w:sz w:val="20"/>
          <w:szCs w:val="20"/>
        </w:rPr>
        <w:t>based on all relevant factors</w:t>
      </w:r>
      <w:bookmarkEnd w:id="1"/>
      <w:r>
        <w:rPr>
          <w:rFonts w:ascii="Arial" w:hAnsi="Arial" w:cs="Arial"/>
          <w:sz w:val="20"/>
          <w:szCs w:val="20"/>
        </w:rPr>
        <w:t>, that the lessee will exercise that option.</w:t>
      </w:r>
    </w:p>
    <w:p w14:paraId="3E025755" w14:textId="77777777" w:rsidR="00997279" w:rsidRDefault="00997279" w:rsidP="00997279">
      <w:pPr>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Periods covered by the lessee’s </w:t>
      </w:r>
      <w:proofErr w:type="gramStart"/>
      <w:r>
        <w:rPr>
          <w:rFonts w:ascii="Arial" w:hAnsi="Arial" w:cs="Arial"/>
          <w:sz w:val="20"/>
          <w:szCs w:val="20"/>
        </w:rPr>
        <w:t>option</w:t>
      </w:r>
      <w:proofErr w:type="gramEnd"/>
      <w:r>
        <w:rPr>
          <w:rFonts w:ascii="Arial" w:hAnsi="Arial" w:cs="Arial"/>
          <w:sz w:val="20"/>
          <w:szCs w:val="20"/>
        </w:rPr>
        <w:t xml:space="preserve"> to terminate the lease if it is reasonably certain,</w:t>
      </w:r>
      <w:r w:rsidRPr="00E26F4D">
        <w:rPr>
          <w:rFonts w:ascii="Arial" w:hAnsi="Arial" w:cs="Arial"/>
          <w:sz w:val="20"/>
          <w:szCs w:val="20"/>
        </w:rPr>
        <w:t xml:space="preserve"> </w:t>
      </w:r>
      <w:r>
        <w:rPr>
          <w:rFonts w:ascii="Arial" w:hAnsi="Arial" w:cs="Arial"/>
          <w:sz w:val="20"/>
          <w:szCs w:val="20"/>
        </w:rPr>
        <w:t xml:space="preserve">based on all relevant factors, that the lessee will </w:t>
      </w:r>
      <w:r w:rsidRPr="00E26F4D">
        <w:rPr>
          <w:rFonts w:ascii="Arial" w:hAnsi="Arial" w:cs="Arial"/>
          <w:i/>
          <w:iCs/>
          <w:sz w:val="20"/>
          <w:szCs w:val="20"/>
        </w:rPr>
        <w:t>not</w:t>
      </w:r>
      <w:r>
        <w:rPr>
          <w:rFonts w:ascii="Arial" w:hAnsi="Arial" w:cs="Arial"/>
          <w:sz w:val="20"/>
          <w:szCs w:val="20"/>
        </w:rPr>
        <w:t xml:space="preserve"> exercise that option.</w:t>
      </w:r>
    </w:p>
    <w:p w14:paraId="7ADD21AE" w14:textId="77777777" w:rsidR="00997279" w:rsidRDefault="00997279" w:rsidP="00997279">
      <w:pPr>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Periods covered by a lessor’s option to extend the lease if it is reasonably certain, based on all relevant factors, </w:t>
      </w:r>
      <w:bookmarkStart w:id="2" w:name="_Hlk97123483"/>
      <w:r>
        <w:rPr>
          <w:rFonts w:ascii="Arial" w:hAnsi="Arial" w:cs="Arial"/>
          <w:sz w:val="20"/>
          <w:szCs w:val="20"/>
        </w:rPr>
        <w:t>that the lessor will exercise that option</w:t>
      </w:r>
      <w:bookmarkEnd w:id="2"/>
      <w:r>
        <w:rPr>
          <w:rFonts w:ascii="Arial" w:hAnsi="Arial" w:cs="Arial"/>
          <w:sz w:val="20"/>
          <w:szCs w:val="20"/>
        </w:rPr>
        <w:t>.</w:t>
      </w:r>
    </w:p>
    <w:p w14:paraId="10620D32" w14:textId="77777777" w:rsidR="00997279" w:rsidRDefault="00997279" w:rsidP="00997279">
      <w:pPr>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Periods covered by a lessor’s option to terminate the lease if it is reasonably certain, based on all relevant factors,</w:t>
      </w:r>
      <w:r w:rsidRPr="00E26F4D">
        <w:rPr>
          <w:rFonts w:ascii="Arial" w:hAnsi="Arial" w:cs="Arial"/>
          <w:sz w:val="20"/>
          <w:szCs w:val="20"/>
        </w:rPr>
        <w:t xml:space="preserve"> </w:t>
      </w:r>
      <w:r>
        <w:rPr>
          <w:rFonts w:ascii="Arial" w:hAnsi="Arial" w:cs="Arial"/>
          <w:sz w:val="20"/>
          <w:szCs w:val="20"/>
        </w:rPr>
        <w:t xml:space="preserve">that the lessor will </w:t>
      </w:r>
      <w:r w:rsidRPr="00E26F4D">
        <w:rPr>
          <w:rFonts w:ascii="Arial" w:hAnsi="Arial" w:cs="Arial"/>
          <w:i/>
          <w:iCs/>
          <w:sz w:val="20"/>
          <w:szCs w:val="20"/>
        </w:rPr>
        <w:t>not</w:t>
      </w:r>
      <w:r>
        <w:rPr>
          <w:rFonts w:ascii="Arial" w:hAnsi="Arial" w:cs="Arial"/>
          <w:sz w:val="20"/>
          <w:szCs w:val="20"/>
        </w:rPr>
        <w:t xml:space="preserve"> exercise that option.</w:t>
      </w:r>
    </w:p>
    <w:p w14:paraId="1CA0E9BE" w14:textId="77777777" w:rsidR="00997279" w:rsidRDefault="00997279" w:rsidP="00997279">
      <w:pPr>
        <w:autoSpaceDE w:val="0"/>
        <w:autoSpaceDN w:val="0"/>
        <w:adjustRightInd w:val="0"/>
        <w:ind w:left="360"/>
        <w:jc w:val="both"/>
        <w:rPr>
          <w:rFonts w:ascii="Arial" w:hAnsi="Arial" w:cs="Arial"/>
          <w:sz w:val="20"/>
          <w:szCs w:val="20"/>
        </w:rPr>
      </w:pPr>
      <w:r>
        <w:rPr>
          <w:rFonts w:ascii="Arial" w:hAnsi="Arial" w:cs="Arial"/>
          <w:sz w:val="20"/>
          <w:szCs w:val="20"/>
        </w:rPr>
        <w:t xml:space="preserve">Periods for which both the lessee and the lessor have an option to terminate the lease without permission from the other party (or if both parties </w:t>
      </w:r>
      <w:proofErr w:type="gramStart"/>
      <w:r>
        <w:rPr>
          <w:rFonts w:ascii="Arial" w:hAnsi="Arial" w:cs="Arial"/>
          <w:sz w:val="20"/>
          <w:szCs w:val="20"/>
        </w:rPr>
        <w:t>have to</w:t>
      </w:r>
      <w:proofErr w:type="gramEnd"/>
      <w:r>
        <w:rPr>
          <w:rFonts w:ascii="Arial" w:hAnsi="Arial" w:cs="Arial"/>
          <w:sz w:val="20"/>
          <w:szCs w:val="20"/>
        </w:rPr>
        <w:t xml:space="preserve"> agree to </w:t>
      </w:r>
      <w:proofErr w:type="gramStart"/>
      <w:r>
        <w:rPr>
          <w:rFonts w:ascii="Arial" w:hAnsi="Arial" w:cs="Arial"/>
          <w:sz w:val="20"/>
          <w:szCs w:val="20"/>
        </w:rPr>
        <w:t>extend</w:t>
      </w:r>
      <w:proofErr w:type="gramEnd"/>
      <w:r>
        <w:rPr>
          <w:rFonts w:ascii="Arial" w:hAnsi="Arial" w:cs="Arial"/>
          <w:sz w:val="20"/>
          <w:szCs w:val="20"/>
        </w:rPr>
        <w:t>) are cancelable periods and are excluded from the lease term.</w:t>
      </w:r>
    </w:p>
    <w:p w14:paraId="3676E4F4" w14:textId="77777777"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Lease term should be reassessed if only one or more of the following occur:</w:t>
      </w:r>
    </w:p>
    <w:p w14:paraId="0A3A2E60" w14:textId="77777777" w:rsidR="00997279" w:rsidRDefault="00997279" w:rsidP="00997279">
      <w:pPr>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Lessee or Lessor elects to exercise an option even though previously determined that it was reasonably certain they would not exercise that option.</w:t>
      </w:r>
    </w:p>
    <w:p w14:paraId="7511C228" w14:textId="77777777" w:rsidR="00997279" w:rsidRDefault="00997279" w:rsidP="00997279">
      <w:pPr>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Lessee or Lessor elects not to exercise an option even though it was previously determined that it was reasonably certain they would exercise that option.</w:t>
      </w:r>
    </w:p>
    <w:p w14:paraId="45527BF5" w14:textId="77777777" w:rsidR="00997279" w:rsidRDefault="00997279" w:rsidP="00997279">
      <w:pPr>
        <w:numPr>
          <w:ilvl w:val="0"/>
          <w:numId w:val="8"/>
        </w:num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Event</w:t>
      </w:r>
      <w:proofErr w:type="gramEnd"/>
      <w:r>
        <w:rPr>
          <w:rFonts w:ascii="Arial" w:hAnsi="Arial" w:cs="Arial"/>
          <w:sz w:val="20"/>
          <w:szCs w:val="20"/>
        </w:rPr>
        <w:t xml:space="preserve"> specified in the lease contract that requires an extension or termination takes place.</w:t>
      </w:r>
    </w:p>
    <w:p w14:paraId="086A3090" w14:textId="77777777" w:rsidR="00997279" w:rsidRDefault="00997279" w:rsidP="00997279">
      <w:pPr>
        <w:autoSpaceDE w:val="0"/>
        <w:autoSpaceDN w:val="0"/>
        <w:adjustRightInd w:val="0"/>
        <w:jc w:val="both"/>
        <w:rPr>
          <w:rFonts w:ascii="Arial" w:hAnsi="Arial" w:cs="Arial"/>
          <w:sz w:val="20"/>
          <w:szCs w:val="20"/>
        </w:rPr>
      </w:pPr>
    </w:p>
    <w:p w14:paraId="6CD5AD85" w14:textId="77777777" w:rsidR="00997279" w:rsidRPr="00990B49" w:rsidRDefault="00997279" w:rsidP="00997279">
      <w:pPr>
        <w:autoSpaceDE w:val="0"/>
        <w:autoSpaceDN w:val="0"/>
        <w:adjustRightInd w:val="0"/>
        <w:jc w:val="both"/>
        <w:rPr>
          <w:rFonts w:ascii="Arial" w:hAnsi="Arial" w:cs="Arial"/>
          <w:sz w:val="20"/>
          <w:szCs w:val="20"/>
        </w:rPr>
      </w:pPr>
      <w:r>
        <w:rPr>
          <w:rFonts w:ascii="Arial" w:hAnsi="Arial" w:cs="Arial"/>
          <w:sz w:val="20"/>
          <w:szCs w:val="20"/>
        </w:rPr>
        <w:t>Lease Modifications</w:t>
      </w:r>
      <w:bookmarkStart w:id="3" w:name="_Hlk97633682"/>
      <w:r>
        <w:rPr>
          <w:rFonts w:ascii="Arial" w:hAnsi="Arial" w:cs="Arial"/>
          <w:sz w:val="20"/>
          <w:szCs w:val="20"/>
        </w:rPr>
        <w:t xml:space="preserve"> - </w:t>
      </w:r>
      <w:bookmarkEnd w:id="3"/>
      <w:r w:rsidRPr="00990B49">
        <w:rPr>
          <w:rFonts w:ascii="Arial" w:hAnsi="Arial" w:cs="Arial"/>
          <w:sz w:val="20"/>
          <w:szCs w:val="20"/>
        </w:rPr>
        <w:t>A lease amendment or modification should be accounted for as a separate lease by both the lessee and the lessor if it adds one or more underlying assets that were not included in the original lease contract; and the increase in lease payments for the additional lease asset does not appear to be unreasonable.</w:t>
      </w:r>
    </w:p>
    <w:p w14:paraId="20595188" w14:textId="77777777" w:rsidR="00997279" w:rsidRDefault="00997279" w:rsidP="00997279">
      <w:pPr>
        <w:autoSpaceDE w:val="0"/>
        <w:autoSpaceDN w:val="0"/>
        <w:adjustRightInd w:val="0"/>
        <w:jc w:val="both"/>
        <w:rPr>
          <w:rFonts w:ascii="Arial" w:hAnsi="Arial" w:cs="Arial"/>
          <w:sz w:val="20"/>
          <w:szCs w:val="20"/>
        </w:rPr>
      </w:pPr>
      <w:r>
        <w:rPr>
          <w:rFonts w:ascii="Arial" w:hAnsi="Arial" w:cs="Arial"/>
          <w:sz w:val="20"/>
          <w:szCs w:val="20"/>
        </w:rPr>
        <w:t xml:space="preserve">Lease Termination - </w:t>
      </w:r>
      <w:r w:rsidRPr="00990B49">
        <w:rPr>
          <w:rFonts w:ascii="Arial" w:hAnsi="Arial" w:cs="Arial"/>
          <w:sz w:val="20"/>
          <w:szCs w:val="20"/>
        </w:rPr>
        <w:t xml:space="preserve">An amendment which results in a decrease </w:t>
      </w:r>
      <w:proofErr w:type="gramStart"/>
      <w:r w:rsidRPr="00990B49">
        <w:rPr>
          <w:rFonts w:ascii="Arial" w:hAnsi="Arial" w:cs="Arial"/>
          <w:sz w:val="20"/>
          <w:szCs w:val="20"/>
        </w:rPr>
        <w:t>of</w:t>
      </w:r>
      <w:proofErr w:type="gramEnd"/>
      <w:r w:rsidRPr="00990B49">
        <w:rPr>
          <w:rFonts w:ascii="Arial" w:hAnsi="Arial" w:cs="Arial"/>
          <w:sz w:val="20"/>
          <w:szCs w:val="20"/>
        </w:rPr>
        <w:t xml:space="preserve"> the lessee’s right to use the underlying asset </w:t>
      </w:r>
      <w:proofErr w:type="gramStart"/>
      <w:r w:rsidRPr="00990B49">
        <w:rPr>
          <w:rFonts w:ascii="Arial" w:hAnsi="Arial" w:cs="Arial"/>
          <w:sz w:val="20"/>
          <w:szCs w:val="20"/>
        </w:rPr>
        <w:t>is considered to be</w:t>
      </w:r>
      <w:proofErr w:type="gramEnd"/>
      <w:r w:rsidRPr="00990B49">
        <w:rPr>
          <w:rFonts w:ascii="Arial" w:hAnsi="Arial" w:cs="Arial"/>
          <w:sz w:val="20"/>
          <w:szCs w:val="20"/>
        </w:rPr>
        <w:t xml:space="preserve"> a full or partial termination</w:t>
      </w:r>
      <w:r>
        <w:rPr>
          <w:rFonts w:ascii="Arial" w:hAnsi="Arial" w:cs="Arial"/>
          <w:sz w:val="20"/>
          <w:szCs w:val="20"/>
        </w:rPr>
        <w:t>.</w:t>
      </w:r>
    </w:p>
    <w:p w14:paraId="1D9996A4" w14:textId="27B7DFC5" w:rsidR="00997279" w:rsidRDefault="00997279" w:rsidP="00997279">
      <w:pPr>
        <w:numPr>
          <w:ilvl w:val="0"/>
          <w:numId w:val="9"/>
        </w:numPr>
        <w:autoSpaceDE w:val="0"/>
        <w:autoSpaceDN w:val="0"/>
        <w:adjustRightInd w:val="0"/>
        <w:spacing w:after="0" w:line="240" w:lineRule="auto"/>
        <w:jc w:val="both"/>
        <w:rPr>
          <w:rFonts w:ascii="Arial" w:hAnsi="Arial" w:cs="Arial"/>
          <w:sz w:val="20"/>
          <w:szCs w:val="20"/>
        </w:rPr>
      </w:pPr>
      <w:r w:rsidRPr="00990B49">
        <w:rPr>
          <w:rFonts w:ascii="Arial" w:hAnsi="Arial" w:cs="Arial"/>
          <w:sz w:val="20"/>
          <w:szCs w:val="20"/>
        </w:rPr>
        <w:t xml:space="preserve">A lessee should reduce the carrying values of the lease liability and related </w:t>
      </w:r>
      <w:r w:rsidR="002D37DD" w:rsidRPr="00990B49">
        <w:rPr>
          <w:rFonts w:ascii="Arial" w:hAnsi="Arial" w:cs="Arial"/>
          <w:sz w:val="20"/>
          <w:szCs w:val="20"/>
        </w:rPr>
        <w:t>asset and</w:t>
      </w:r>
      <w:r w:rsidRPr="00990B49">
        <w:rPr>
          <w:rFonts w:ascii="Arial" w:hAnsi="Arial" w:cs="Arial"/>
          <w:sz w:val="20"/>
          <w:szCs w:val="20"/>
        </w:rPr>
        <w:t xml:space="preserve"> recognize a gain or loss for the difference.</w:t>
      </w:r>
    </w:p>
    <w:p w14:paraId="2834C8F4" w14:textId="4F3C9E9A" w:rsidR="00997279" w:rsidRDefault="00997279" w:rsidP="00997279">
      <w:pPr>
        <w:numPr>
          <w:ilvl w:val="0"/>
          <w:numId w:val="9"/>
        </w:numPr>
        <w:autoSpaceDE w:val="0"/>
        <w:autoSpaceDN w:val="0"/>
        <w:adjustRightInd w:val="0"/>
        <w:spacing w:after="0" w:line="240" w:lineRule="auto"/>
        <w:jc w:val="both"/>
        <w:rPr>
          <w:rFonts w:ascii="Arial" w:hAnsi="Arial" w:cs="Arial"/>
          <w:sz w:val="20"/>
          <w:szCs w:val="20"/>
        </w:rPr>
      </w:pPr>
      <w:r w:rsidRPr="00990B49">
        <w:rPr>
          <w:rFonts w:ascii="Arial" w:hAnsi="Arial" w:cs="Arial"/>
          <w:sz w:val="20"/>
          <w:szCs w:val="20"/>
        </w:rPr>
        <w:t xml:space="preserve">A lessor should reduce the carrying values of the lease receivable and related deferred inflow of </w:t>
      </w:r>
      <w:r w:rsidR="002D37DD" w:rsidRPr="00990B49">
        <w:rPr>
          <w:rFonts w:ascii="Arial" w:hAnsi="Arial" w:cs="Arial"/>
          <w:sz w:val="20"/>
          <w:szCs w:val="20"/>
        </w:rPr>
        <w:t>resources and</w:t>
      </w:r>
      <w:r w:rsidRPr="00990B49">
        <w:rPr>
          <w:rFonts w:ascii="Arial" w:hAnsi="Arial" w:cs="Arial"/>
          <w:sz w:val="20"/>
          <w:szCs w:val="20"/>
        </w:rPr>
        <w:t xml:space="preserve"> recognize a gain or loss for the difference.</w:t>
      </w:r>
    </w:p>
    <w:sectPr w:rsidR="00997279" w:rsidSect="0097676B">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D932" w14:textId="4D69E264" w:rsidR="0099103A" w:rsidRDefault="003C780F" w:rsidP="00794D88">
    <w:pPr>
      <w:pStyle w:val="Footer"/>
      <w:tabs>
        <w:tab w:val="clear" w:pos="4680"/>
        <w:tab w:val="clear" w:pos="9360"/>
        <w:tab w:val="right" w:pos="10080"/>
      </w:tabs>
    </w:pPr>
    <w:fldSimple w:instr=" FILENAME   \* MERGEFORMAT ">
      <w:r>
        <w:rPr>
          <w:noProof/>
        </w:rPr>
        <w:t>2024 Survey - GASB 87 Leases</w:t>
      </w:r>
    </w:fldSimple>
    <w:r w:rsidR="00794D88">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fldSimple w:instr=" NUMPAGES   \* MERGEFORMAT ">
      <w:r w:rsidR="0099103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C35" w14:textId="17F7771C"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587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proofErr w:type="gramStart"/>
    <w:r>
      <w:t>For</w:t>
    </w:r>
    <w:proofErr w:type="gramEnd"/>
    <w:r>
      <w:t xml:space="preserve"> </w:t>
    </w:r>
    <w:r w:rsidR="00CF19B1">
      <w:t xml:space="preserve">ACFR </w:t>
    </w:r>
    <w:r w:rsidR="005552CA">
      <w:t>Fiscal Year: 202</w:t>
    </w:r>
    <w:r w:rsidR="00473A9C">
      <w:t>5</w:t>
    </w:r>
  </w:p>
  <w:p w14:paraId="0CF9F799" w14:textId="1D8CBFDA" w:rsidR="00BD20B0" w:rsidRDefault="004B730F" w:rsidP="004B730F">
    <w:pPr>
      <w:pStyle w:val="Header"/>
      <w:tabs>
        <w:tab w:val="clear" w:pos="4680"/>
        <w:tab w:val="clear" w:pos="9360"/>
        <w:tab w:val="left" w:pos="1080"/>
        <w:tab w:val="right" w:pos="10080"/>
      </w:tabs>
    </w:pPr>
    <w:r>
      <w:tab/>
    </w:r>
    <w:r w:rsidR="00A9740F">
      <w:t>Leases – GASB 87</w:t>
    </w:r>
    <w:r w:rsidR="004E7856">
      <w:t xml:space="preserve">                                                                                                       Due date</w:t>
    </w:r>
    <w:r w:rsidR="00921C6E">
      <w:t>:</w:t>
    </w:r>
    <w:r w:rsidR="004E7856">
      <w:t xml:space="preserve"> 9/1/2025 </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B63"/>
    <w:multiLevelType w:val="hybridMultilevel"/>
    <w:tmpl w:val="437C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96B40"/>
    <w:multiLevelType w:val="hybridMultilevel"/>
    <w:tmpl w:val="8D3A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D62"/>
    <w:multiLevelType w:val="multilevel"/>
    <w:tmpl w:val="BA4C6640"/>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b w:val="0"/>
        <w:bCs w:val="0"/>
        <w:i w:val="0"/>
        <w:iCs w:val="0"/>
        <w:spacing w:val="-1"/>
        <w:w w:val="100"/>
        <w:sz w:val="20"/>
        <w:szCs w:val="20"/>
        <w:lang w:val="en-US" w:eastAsia="en-US" w:bidi="ar-S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015B02"/>
    <w:multiLevelType w:val="hybridMultilevel"/>
    <w:tmpl w:val="6C32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61D5F"/>
    <w:multiLevelType w:val="hybridMultilevel"/>
    <w:tmpl w:val="E620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36251"/>
    <w:multiLevelType w:val="hybridMultilevel"/>
    <w:tmpl w:val="FF1A2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C3362"/>
    <w:multiLevelType w:val="hybridMultilevel"/>
    <w:tmpl w:val="DD2ED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819B3"/>
    <w:multiLevelType w:val="hybridMultilevel"/>
    <w:tmpl w:val="2B0A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E6238"/>
    <w:multiLevelType w:val="hybridMultilevel"/>
    <w:tmpl w:val="DDCA24E2"/>
    <w:lvl w:ilvl="0" w:tplc="82FEE800">
      <w:start w:val="4"/>
      <w:numFmt w:val="decimal"/>
      <w:lvlText w:val="%1."/>
      <w:lvlJc w:val="left"/>
      <w:pPr>
        <w:ind w:left="180" w:hanging="548"/>
        <w:jc w:val="left"/>
      </w:pPr>
      <w:rPr>
        <w:rFonts w:asciiTheme="minorHAnsi" w:eastAsia="Times New Roman" w:hAnsiTheme="minorHAnsi" w:cstheme="minorHAnsi" w:hint="default"/>
        <w:b w:val="0"/>
        <w:bCs w:val="0"/>
        <w:i w:val="0"/>
        <w:iCs w:val="0"/>
        <w:spacing w:val="0"/>
        <w:w w:val="100"/>
        <w:sz w:val="20"/>
        <w:szCs w:val="20"/>
        <w:lang w:val="en-US" w:eastAsia="en-US" w:bidi="ar-SA"/>
      </w:rPr>
    </w:lvl>
    <w:lvl w:ilvl="1" w:tplc="7E3A033A">
      <w:start w:val="1"/>
      <w:numFmt w:val="lowerLetter"/>
      <w:lvlText w:val="%2."/>
      <w:lvlJc w:val="left"/>
      <w:pPr>
        <w:ind w:left="727" w:hanging="548"/>
        <w:jc w:val="left"/>
      </w:pPr>
      <w:rPr>
        <w:rFonts w:asciiTheme="minorHAnsi" w:eastAsia="Times New Roman" w:hAnsiTheme="minorHAnsi" w:cstheme="minorHAnsi" w:hint="default"/>
        <w:b w:val="0"/>
        <w:bCs w:val="0"/>
        <w:i w:val="0"/>
        <w:iCs w:val="0"/>
        <w:spacing w:val="-1"/>
        <w:w w:val="100"/>
        <w:sz w:val="20"/>
        <w:szCs w:val="20"/>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9" w15:restartNumberingAfterBreak="0">
    <w:nsid w:val="4C0064DC"/>
    <w:multiLevelType w:val="hybridMultilevel"/>
    <w:tmpl w:val="123E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83882"/>
    <w:multiLevelType w:val="hybridMultilevel"/>
    <w:tmpl w:val="3190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80ACE"/>
    <w:multiLevelType w:val="multilevel"/>
    <w:tmpl w:val="08C846B4"/>
    <w:lvl w:ilvl="0">
      <w:start w:val="1"/>
      <w:numFmt w:val="decimal"/>
      <w:pStyle w:val="Level1"/>
      <w:lvlText w:val="%1."/>
      <w:lvlJc w:val="left"/>
      <w:pPr>
        <w:ind w:left="360" w:hanging="360"/>
      </w:pPr>
      <w:rPr>
        <w:color w:val="E36C0A" w:themeColor="accent6" w:themeShade="BF"/>
      </w:rPr>
    </w:lvl>
    <w:lvl w:ilvl="1">
      <w:start w:val="1"/>
      <w:numFmt w:val="decimal"/>
      <w:lvlText w:val="%1.%2."/>
      <w:lvlJc w:val="left"/>
      <w:pPr>
        <w:ind w:left="792" w:hanging="432"/>
      </w:pPr>
      <w:rPr>
        <w:b/>
        <w:bCs/>
        <w:color w:val="E36C0A" w:themeColor="accent6" w:themeShade="BF"/>
      </w:rPr>
    </w:lvl>
    <w:lvl w:ilvl="2">
      <w:start w:val="1"/>
      <w:numFmt w:val="decimal"/>
      <w:lvlText w:val="%1.%2.%3."/>
      <w:lvlJc w:val="left"/>
      <w:pPr>
        <w:ind w:left="1224" w:hanging="504"/>
      </w:pPr>
      <w:rPr>
        <w:b/>
        <w:bCs/>
        <w:color w:val="E36C0A" w:themeColor="accent6"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A721B1"/>
    <w:multiLevelType w:val="hybridMultilevel"/>
    <w:tmpl w:val="9292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094172">
    <w:abstractNumId w:val="11"/>
  </w:num>
  <w:num w:numId="2" w16cid:durableId="1530606529">
    <w:abstractNumId w:val="8"/>
  </w:num>
  <w:num w:numId="3" w16cid:durableId="335301818">
    <w:abstractNumId w:val="2"/>
  </w:num>
  <w:num w:numId="4" w16cid:durableId="823010124">
    <w:abstractNumId w:val="12"/>
  </w:num>
  <w:num w:numId="5" w16cid:durableId="1633516127">
    <w:abstractNumId w:val="10"/>
  </w:num>
  <w:num w:numId="6" w16cid:durableId="1359233920">
    <w:abstractNumId w:val="3"/>
  </w:num>
  <w:num w:numId="7" w16cid:durableId="1450659553">
    <w:abstractNumId w:val="0"/>
  </w:num>
  <w:num w:numId="8" w16cid:durableId="1703553065">
    <w:abstractNumId w:val="7"/>
  </w:num>
  <w:num w:numId="9" w16cid:durableId="2005081677">
    <w:abstractNumId w:val="4"/>
  </w:num>
  <w:num w:numId="10" w16cid:durableId="1077509082">
    <w:abstractNumId w:val="1"/>
  </w:num>
  <w:num w:numId="11" w16cid:durableId="541136065">
    <w:abstractNumId w:val="9"/>
  </w:num>
  <w:num w:numId="12" w16cid:durableId="1287661560">
    <w:abstractNumId w:val="6"/>
  </w:num>
  <w:num w:numId="13" w16cid:durableId="293297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005F0B"/>
    <w:rsid w:val="000151FE"/>
    <w:rsid w:val="001433D6"/>
    <w:rsid w:val="001A5FDF"/>
    <w:rsid w:val="00224087"/>
    <w:rsid w:val="002273A5"/>
    <w:rsid w:val="002A0DC6"/>
    <w:rsid w:val="002B6672"/>
    <w:rsid w:val="002D37DD"/>
    <w:rsid w:val="003A37F3"/>
    <w:rsid w:val="003B1E8F"/>
    <w:rsid w:val="003C780F"/>
    <w:rsid w:val="003D2190"/>
    <w:rsid w:val="0046096A"/>
    <w:rsid w:val="00473A9C"/>
    <w:rsid w:val="004B730F"/>
    <w:rsid w:val="004D0B74"/>
    <w:rsid w:val="004E33AA"/>
    <w:rsid w:val="004E6863"/>
    <w:rsid w:val="004E7856"/>
    <w:rsid w:val="00541009"/>
    <w:rsid w:val="005552CA"/>
    <w:rsid w:val="006136FC"/>
    <w:rsid w:val="00624456"/>
    <w:rsid w:val="0071029A"/>
    <w:rsid w:val="00794D88"/>
    <w:rsid w:val="007A2B1B"/>
    <w:rsid w:val="007D4BBB"/>
    <w:rsid w:val="00823196"/>
    <w:rsid w:val="008276DD"/>
    <w:rsid w:val="008A7265"/>
    <w:rsid w:val="008E3611"/>
    <w:rsid w:val="0091109C"/>
    <w:rsid w:val="00913E62"/>
    <w:rsid w:val="00921C6E"/>
    <w:rsid w:val="0093332F"/>
    <w:rsid w:val="00944961"/>
    <w:rsid w:val="00971013"/>
    <w:rsid w:val="0097676B"/>
    <w:rsid w:val="0099103A"/>
    <w:rsid w:val="00997279"/>
    <w:rsid w:val="009E5343"/>
    <w:rsid w:val="00A5037C"/>
    <w:rsid w:val="00A9740F"/>
    <w:rsid w:val="00B90231"/>
    <w:rsid w:val="00BA593B"/>
    <w:rsid w:val="00BD20B0"/>
    <w:rsid w:val="00C028D4"/>
    <w:rsid w:val="00C0776B"/>
    <w:rsid w:val="00C61489"/>
    <w:rsid w:val="00C80CDB"/>
    <w:rsid w:val="00CF19B1"/>
    <w:rsid w:val="00D01111"/>
    <w:rsid w:val="00E41405"/>
    <w:rsid w:val="00EA169F"/>
    <w:rsid w:val="00EA454C"/>
    <w:rsid w:val="00EB0878"/>
    <w:rsid w:val="00EC7063"/>
    <w:rsid w:val="00EF13B8"/>
    <w:rsid w:val="00FB2308"/>
    <w:rsid w:val="00FB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6FC"/>
    <w:rPr>
      <w:color w:val="0000FF" w:themeColor="hyperlink"/>
      <w:u w:val="single"/>
    </w:rPr>
  </w:style>
  <w:style w:type="character" w:styleId="FollowedHyperlink">
    <w:name w:val="FollowedHyperlink"/>
    <w:basedOn w:val="DefaultParagraphFont"/>
    <w:uiPriority w:val="99"/>
    <w:semiHidden/>
    <w:unhideWhenUsed/>
    <w:rsid w:val="00613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osc/financial-reporting/closing-package-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ne.gov/osc/financial-reporting/closing-package-inform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elli.lascko@maine.gov" TargetMode="External"/><Relationship Id="rId4" Type="http://schemas.openxmlformats.org/officeDocument/2006/relationships/webSettings" Target="webSettings.xml"/><Relationship Id="rId9" Type="http://schemas.openxmlformats.org/officeDocument/2006/relationships/hyperlink" Target="https://www.maine.gov/osc/financial-reporting/closing-package-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10314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cp:lastPrinted>2025-03-31T20:12:00Z</cp:lastPrinted>
  <dcterms:created xsi:type="dcterms:W3CDTF">2025-06-09T14:43:00Z</dcterms:created>
  <dcterms:modified xsi:type="dcterms:W3CDTF">2025-06-09T14:43:00Z</dcterms:modified>
</cp:coreProperties>
</file>