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442B589D"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06FD2C81" w14:textId="746A2A56" w:rsidR="008A7265" w:rsidRPr="004D0B74" w:rsidRDefault="005552CA" w:rsidP="005552CA">
      <w:pPr>
        <w:pStyle w:val="NoSpacing"/>
        <w:jc w:val="center"/>
        <w:rPr>
          <w:rFonts w:cstheme="minorHAnsi"/>
          <w:b/>
          <w:bCs/>
          <w:caps/>
        </w:rPr>
      </w:pPr>
      <w:r w:rsidRPr="004D0B74">
        <w:rPr>
          <w:rFonts w:cstheme="minorHAnsi"/>
          <w:b/>
          <w:bCs/>
          <w:caps/>
          <w:color w:val="0070C0"/>
        </w:rPr>
        <w:t>Related Party Transactions</w:t>
      </w:r>
    </w:p>
    <w:p w14:paraId="7088F2C3" w14:textId="572AB850" w:rsidR="004D0B74" w:rsidRPr="004D0B74" w:rsidRDefault="004D0B74" w:rsidP="004D0B74">
      <w:pPr>
        <w:jc w:val="center"/>
        <w:rPr>
          <w:rFonts w:cstheme="minorHAnsi"/>
        </w:rPr>
      </w:pPr>
      <w:r>
        <w:rPr>
          <w:rFonts w:cstheme="minorHAnsi"/>
        </w:rPr>
        <w:t>[</w:t>
      </w:r>
      <w:r w:rsidRPr="004D0B74">
        <w:rPr>
          <w:rFonts w:cstheme="minorHAnsi"/>
        </w:rPr>
        <w:t>GASB Standards 56 and 62</w:t>
      </w:r>
      <w:r>
        <w:rPr>
          <w:rFonts w:cstheme="minorHAnsi"/>
        </w:rPr>
        <w:t>]</w:t>
      </w:r>
    </w:p>
    <w:p w14:paraId="48C760FF" w14:textId="54C0C6DC" w:rsidR="005552CA" w:rsidRPr="00971013" w:rsidRDefault="00C028D4" w:rsidP="008E3611">
      <w:pPr>
        <w:pStyle w:val="NoSpacing"/>
        <w:jc w:val="both"/>
        <w:rPr>
          <w:sz w:val="20"/>
          <w:szCs w:val="20"/>
        </w:rPr>
      </w:pPr>
      <w:r w:rsidRPr="00971013">
        <w:rPr>
          <w:sz w:val="20"/>
          <w:szCs w:val="20"/>
        </w:rPr>
        <w:t xml:space="preserve">In general, </w:t>
      </w:r>
      <w:r w:rsidRPr="00971013">
        <w:rPr>
          <w:b/>
          <w:bCs/>
          <w:sz w:val="20"/>
          <w:szCs w:val="20"/>
        </w:rPr>
        <w:t>Related Party Transactions</w:t>
      </w:r>
      <w:r w:rsidRPr="00971013">
        <w:rPr>
          <w:sz w:val="20"/>
          <w:szCs w:val="20"/>
        </w:rPr>
        <w:t xml:space="preserve"> include those that occur “</w:t>
      </w:r>
      <w:r w:rsidRPr="00971013">
        <w:rPr>
          <w:b/>
          <w:bCs/>
          <w:sz w:val="20"/>
          <w:szCs w:val="20"/>
        </w:rPr>
        <w:t xml:space="preserve">outside the </w:t>
      </w:r>
      <w:r w:rsidR="004D0B74" w:rsidRPr="00971013">
        <w:rPr>
          <w:b/>
          <w:bCs/>
          <w:sz w:val="20"/>
          <w:szCs w:val="20"/>
        </w:rPr>
        <w:t>ordinary</w:t>
      </w:r>
      <w:r w:rsidRPr="00971013">
        <w:rPr>
          <w:b/>
          <w:bCs/>
          <w:sz w:val="20"/>
          <w:szCs w:val="20"/>
        </w:rPr>
        <w:t xml:space="preserve"> course of operations</w:t>
      </w:r>
      <w:r w:rsidRPr="00971013">
        <w:rPr>
          <w:sz w:val="20"/>
          <w:szCs w:val="20"/>
        </w:rPr>
        <w:t>.”</w:t>
      </w:r>
      <w:r w:rsidR="004D0B74" w:rsidRPr="00971013">
        <w:rPr>
          <w:sz w:val="20"/>
          <w:szCs w:val="20"/>
        </w:rPr>
        <w:t xml:space="preserve">  Sometimes the relationship between the parties to a transaction is so close that a reasonable observer would conclude that one or both parties might be disinclined to fully pursue their separate interests (</w:t>
      </w:r>
      <w:r w:rsidR="004D0B74" w:rsidRPr="00971013">
        <w:rPr>
          <w:i/>
          <w:iCs/>
          <w:sz w:val="20"/>
          <w:szCs w:val="20"/>
        </w:rPr>
        <w:t>related party transactions</w:t>
      </w:r>
      <w:r w:rsidR="004D0B74" w:rsidRPr="00971013">
        <w:rPr>
          <w:sz w:val="20"/>
          <w:szCs w:val="20"/>
        </w:rPr>
        <w:t>).</w:t>
      </w:r>
      <w:r w:rsidR="0097676B" w:rsidRPr="00971013">
        <w:rPr>
          <w:sz w:val="20"/>
          <w:szCs w:val="20"/>
        </w:rPr>
        <w:t xml:space="preserve">  Related party transactions may include exchange or exchange-like transactions or non-exchange transactions.  For more information about related party transactions, refer to relevant text of GASB standards included at the end this survey.</w:t>
      </w:r>
    </w:p>
    <w:p w14:paraId="34546A1F" w14:textId="77777777" w:rsidR="00971013" w:rsidRPr="00971013" w:rsidRDefault="00971013" w:rsidP="008E3611">
      <w:pPr>
        <w:pStyle w:val="NoSpacing"/>
        <w:jc w:val="both"/>
        <w:rPr>
          <w:sz w:val="20"/>
          <w:szCs w:val="20"/>
        </w:rPr>
      </w:pPr>
    </w:p>
    <w:p w14:paraId="2B01923B" w14:textId="5C63262E" w:rsidR="00971013" w:rsidRPr="00971013" w:rsidRDefault="00971013" w:rsidP="008E3611">
      <w:pPr>
        <w:pStyle w:val="NoSpacing"/>
        <w:jc w:val="both"/>
        <w:rPr>
          <w:sz w:val="20"/>
          <w:szCs w:val="20"/>
        </w:rPr>
      </w:pPr>
      <w:r w:rsidRPr="00971013">
        <w:rPr>
          <w:sz w:val="20"/>
          <w:szCs w:val="20"/>
        </w:rPr>
        <w:t xml:space="preserve">Examples of related party transactions </w:t>
      </w:r>
      <w:r>
        <w:rPr>
          <w:sz w:val="20"/>
          <w:szCs w:val="20"/>
        </w:rPr>
        <w:t xml:space="preserve">per GASB 56 </w:t>
      </w:r>
      <w:r w:rsidRPr="00971013">
        <w:rPr>
          <w:sz w:val="20"/>
          <w:szCs w:val="20"/>
        </w:rPr>
        <w:t xml:space="preserve">include: </w:t>
      </w:r>
    </w:p>
    <w:p w14:paraId="2DE90F4E"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Borrowing or lending on an interest-free basis or at a rate of interest significantly above or below market rates prevailing at the time of the transaction</w:t>
      </w:r>
    </w:p>
    <w:p w14:paraId="60FCF6CE"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Selling real estate at a price that differs significantly from its appraised value</w:t>
      </w:r>
    </w:p>
    <w:p w14:paraId="63952403"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Exchanging property for similar property in a nonmonetary transaction</w:t>
      </w:r>
    </w:p>
    <w:p w14:paraId="6B93657F" w14:textId="77777777" w:rsidR="00971013" w:rsidRPr="00971013" w:rsidRDefault="00971013" w:rsidP="00971013">
      <w:pPr>
        <w:pStyle w:val="ListParagraph"/>
        <w:numPr>
          <w:ilvl w:val="1"/>
          <w:numId w:val="2"/>
        </w:numPr>
        <w:tabs>
          <w:tab w:val="left" w:pos="727"/>
        </w:tabs>
        <w:ind w:right="158"/>
        <w:rPr>
          <w:rFonts w:asciiTheme="minorHAnsi" w:hAnsiTheme="minorHAnsi" w:cstheme="minorHAnsi"/>
          <w:sz w:val="20"/>
          <w:szCs w:val="20"/>
        </w:rPr>
      </w:pPr>
      <w:r w:rsidRPr="00971013">
        <w:rPr>
          <w:rFonts w:asciiTheme="minorHAnsi" w:hAnsiTheme="minorHAnsi" w:cstheme="minorHAnsi"/>
          <w:sz w:val="20"/>
          <w:szCs w:val="20"/>
        </w:rPr>
        <w:t>Making</w:t>
      </w:r>
      <w:r w:rsidRPr="00971013">
        <w:rPr>
          <w:rFonts w:asciiTheme="minorHAnsi" w:hAnsiTheme="minorHAnsi" w:cstheme="minorHAnsi"/>
          <w:spacing w:val="-6"/>
          <w:sz w:val="20"/>
          <w:szCs w:val="20"/>
        </w:rPr>
        <w:t xml:space="preserve"> </w:t>
      </w:r>
      <w:r w:rsidRPr="00971013">
        <w:rPr>
          <w:rFonts w:asciiTheme="minorHAnsi" w:hAnsiTheme="minorHAnsi" w:cstheme="minorHAnsi"/>
          <w:sz w:val="20"/>
          <w:szCs w:val="20"/>
        </w:rPr>
        <w:t>loans with no scheduled</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terms for</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when or how</w:t>
      </w:r>
      <w:r w:rsidRPr="00971013">
        <w:rPr>
          <w:rFonts w:asciiTheme="minorHAnsi" w:hAnsiTheme="minorHAnsi" w:cstheme="minorHAnsi"/>
          <w:spacing w:val="-3"/>
          <w:sz w:val="20"/>
          <w:szCs w:val="20"/>
        </w:rPr>
        <w:t xml:space="preserve"> </w:t>
      </w:r>
      <w:r w:rsidRPr="00971013">
        <w:rPr>
          <w:rFonts w:asciiTheme="minorHAnsi" w:hAnsiTheme="minorHAnsi" w:cstheme="minorHAnsi"/>
          <w:sz w:val="20"/>
          <w:szCs w:val="20"/>
        </w:rPr>
        <w:t>the</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loans</w:t>
      </w:r>
      <w:r w:rsidRPr="00971013">
        <w:rPr>
          <w:rFonts w:asciiTheme="minorHAnsi" w:hAnsiTheme="minorHAnsi" w:cstheme="minorHAnsi"/>
          <w:spacing w:val="-1"/>
          <w:sz w:val="20"/>
          <w:szCs w:val="20"/>
        </w:rPr>
        <w:t xml:space="preserve"> </w:t>
      </w:r>
      <w:r w:rsidRPr="00971013">
        <w:rPr>
          <w:rFonts w:asciiTheme="minorHAnsi" w:hAnsiTheme="minorHAnsi" w:cstheme="minorHAnsi"/>
          <w:sz w:val="20"/>
          <w:szCs w:val="20"/>
        </w:rPr>
        <w:t>will be</w:t>
      </w:r>
      <w:r w:rsidRPr="00971013">
        <w:rPr>
          <w:rFonts w:asciiTheme="minorHAnsi" w:hAnsiTheme="minorHAnsi" w:cstheme="minorHAnsi"/>
          <w:spacing w:val="-1"/>
          <w:sz w:val="20"/>
          <w:szCs w:val="20"/>
        </w:rPr>
        <w:t xml:space="preserve"> </w:t>
      </w:r>
      <w:r w:rsidRPr="00971013">
        <w:rPr>
          <w:rFonts w:asciiTheme="minorHAnsi" w:hAnsiTheme="minorHAnsi" w:cstheme="minorHAnsi"/>
          <w:spacing w:val="-2"/>
          <w:sz w:val="20"/>
          <w:szCs w:val="20"/>
        </w:rPr>
        <w:t>repaid.</w:t>
      </w:r>
    </w:p>
    <w:p w14:paraId="0C5C0961" w14:textId="77777777" w:rsidR="002B6672" w:rsidRPr="00971013" w:rsidRDefault="002B6672" w:rsidP="008E3611">
      <w:pPr>
        <w:pStyle w:val="NoSpacing"/>
        <w:rPr>
          <w:sz w:val="20"/>
          <w:szCs w:val="20"/>
        </w:rPr>
      </w:pPr>
    </w:p>
    <w:p w14:paraId="71342878" w14:textId="3B488FDD" w:rsidR="0097676B" w:rsidRPr="00971013" w:rsidRDefault="0097676B" w:rsidP="0097676B">
      <w:pPr>
        <w:pStyle w:val="NoSpacing"/>
        <w:rPr>
          <w:rFonts w:ascii="Calibri" w:hAnsi="Calibri" w:cs="Calibri"/>
          <w:sz w:val="20"/>
          <w:szCs w:val="20"/>
        </w:rPr>
      </w:pPr>
      <w:r w:rsidRPr="00971013">
        <w:rPr>
          <w:rFonts w:ascii="Calibri" w:hAnsi="Calibri" w:cs="Calibri"/>
          <w:b/>
          <w:bCs/>
          <w:sz w:val="20"/>
          <w:szCs w:val="20"/>
        </w:rPr>
        <w:t xml:space="preserve">List Department Codes for which </w:t>
      </w:r>
      <w:r w:rsidR="002B6672" w:rsidRPr="00971013">
        <w:rPr>
          <w:rFonts w:ascii="Calibri" w:hAnsi="Calibri" w:cs="Calibri"/>
          <w:b/>
          <w:bCs/>
          <w:sz w:val="20"/>
          <w:szCs w:val="20"/>
        </w:rPr>
        <w:t>this survey is being submitted</w:t>
      </w:r>
      <w:r w:rsidRPr="00971013">
        <w:rPr>
          <w:rFonts w:ascii="Calibri" w:hAnsi="Calibri" w:cs="Calibri"/>
          <w:b/>
          <w:bCs/>
          <w:sz w:val="20"/>
          <w:szCs w:val="20"/>
        </w:rPr>
        <w:t>:</w:t>
      </w:r>
      <w:r w:rsidRPr="00971013">
        <w:rPr>
          <w:rFonts w:ascii="Calibri" w:hAnsi="Calibri" w:cs="Calibri"/>
          <w:b/>
          <w:bCs/>
          <w:sz w:val="20"/>
          <w:szCs w:val="20"/>
        </w:rPr>
        <w:tab/>
      </w:r>
      <w:r w:rsidR="00FB307E" w:rsidRPr="00C80CDB">
        <w:rPr>
          <w:rFonts w:ascii="Calibri" w:hAnsi="Calibri" w:cs="Calibri"/>
          <w:b/>
          <w:bCs/>
          <w:color w:val="FF0000"/>
          <w:sz w:val="20"/>
          <w:szCs w:val="20"/>
        </w:rPr>
        <w:t xml:space="preserve">ex: </w:t>
      </w:r>
      <w:r w:rsidR="00CF19B1" w:rsidRPr="00971013">
        <w:rPr>
          <w:rFonts w:ascii="Calibri" w:hAnsi="Calibri" w:cs="Calibri"/>
          <w:sz w:val="20"/>
          <w:szCs w:val="20"/>
        </w:rPr>
        <w:t>01A, 06A, 09A, 13A</w:t>
      </w:r>
    </w:p>
    <w:p w14:paraId="4A271B0F" w14:textId="77777777" w:rsidR="0097676B" w:rsidRPr="00971013" w:rsidRDefault="0097676B" w:rsidP="002B6672">
      <w:pPr>
        <w:pStyle w:val="NoSpacing"/>
        <w:rPr>
          <w:sz w:val="20"/>
          <w:szCs w:val="20"/>
        </w:rPr>
      </w:pPr>
    </w:p>
    <w:p w14:paraId="15EED569" w14:textId="5220C60A" w:rsidR="004D0B74" w:rsidRPr="00971013" w:rsidRDefault="004D0B74">
      <w:pPr>
        <w:rPr>
          <w:rFonts w:cstheme="minorHAnsi"/>
          <w:b/>
          <w:bCs/>
          <w:sz w:val="20"/>
          <w:szCs w:val="20"/>
        </w:rPr>
      </w:pPr>
      <w:r w:rsidRPr="00971013">
        <w:rPr>
          <w:rFonts w:cstheme="minorHAnsi"/>
          <w:b/>
          <w:bCs/>
          <w:sz w:val="20"/>
          <w:szCs w:val="20"/>
        </w:rPr>
        <w:t>Department or Service Center Attestatio</w:t>
      </w:r>
      <w:r w:rsidR="00944961" w:rsidRPr="00971013">
        <w:rPr>
          <w:rFonts w:cstheme="minorHAnsi"/>
          <w:b/>
          <w:bCs/>
          <w:sz w:val="20"/>
          <w:szCs w:val="20"/>
        </w:rPr>
        <w:t>n</w:t>
      </w:r>
      <w:r w:rsidRPr="00971013">
        <w:rPr>
          <w:rFonts w:cstheme="minorHAnsi"/>
          <w:b/>
          <w:bCs/>
          <w:sz w:val="20"/>
          <w:szCs w:val="20"/>
        </w:rPr>
        <w:t>:</w:t>
      </w:r>
    </w:p>
    <w:p w14:paraId="2C809E96" w14:textId="18DFB2BD" w:rsidR="004D0B74" w:rsidRPr="00971013" w:rsidRDefault="004D0B74" w:rsidP="008E3611">
      <w:pPr>
        <w:pStyle w:val="NoSpacing"/>
        <w:ind w:left="720"/>
        <w:jc w:val="both"/>
        <w:rPr>
          <w:sz w:val="20"/>
          <w:szCs w:val="20"/>
        </w:rPr>
      </w:pPr>
      <w:r w:rsidRPr="00971013">
        <w:rPr>
          <w:sz w:val="20"/>
          <w:szCs w:val="20"/>
        </w:rPr>
        <w:t>After having researched agency records and</w:t>
      </w:r>
      <w:r w:rsidR="0097676B" w:rsidRPr="00971013">
        <w:rPr>
          <w:sz w:val="20"/>
          <w:szCs w:val="20"/>
        </w:rPr>
        <w:t>/or</w:t>
      </w:r>
      <w:r w:rsidRPr="00971013">
        <w:rPr>
          <w:sz w:val="20"/>
          <w:szCs w:val="20"/>
        </w:rPr>
        <w:t xml:space="preserve"> consulted with agency </w:t>
      </w:r>
      <w:r w:rsidR="0097676B" w:rsidRPr="00971013">
        <w:rPr>
          <w:sz w:val="20"/>
          <w:szCs w:val="20"/>
        </w:rPr>
        <w:t>personnel</w:t>
      </w:r>
      <w:r w:rsidRPr="00971013">
        <w:rPr>
          <w:sz w:val="20"/>
          <w:szCs w:val="20"/>
        </w:rPr>
        <w:t>, I</w:t>
      </w:r>
      <w:r w:rsidR="002273A5" w:rsidRPr="00971013">
        <w:rPr>
          <w:sz w:val="20"/>
          <w:szCs w:val="20"/>
        </w:rPr>
        <w:t xml:space="preserve"> a</w:t>
      </w:r>
      <w:r w:rsidRPr="00971013">
        <w:rPr>
          <w:sz w:val="20"/>
          <w:szCs w:val="20"/>
        </w:rPr>
        <w:t xml:space="preserve">m </w:t>
      </w:r>
      <w:r w:rsidRPr="00823196">
        <w:rPr>
          <w:color w:val="FF0000"/>
          <w:sz w:val="20"/>
          <w:szCs w:val="20"/>
          <w:u w:val="single"/>
        </w:rPr>
        <w:t>NOT</w:t>
      </w:r>
      <w:r w:rsidRPr="00971013">
        <w:rPr>
          <w:sz w:val="20"/>
          <w:szCs w:val="20"/>
        </w:rPr>
        <w:t xml:space="preserve"> aware of any potential Related Party Transactions that should be disclosed in the State of Maine’s financial statements.</w:t>
      </w:r>
    </w:p>
    <w:p w14:paraId="6C47C148" w14:textId="77777777" w:rsidR="008E3611" w:rsidRPr="00971013" w:rsidRDefault="008E3611" w:rsidP="008E3611">
      <w:pPr>
        <w:pStyle w:val="NoSpacing"/>
        <w:rPr>
          <w:sz w:val="20"/>
          <w:szCs w:val="20"/>
        </w:rPr>
      </w:pPr>
    </w:p>
    <w:tbl>
      <w:tblPr>
        <w:tblStyle w:val="TableGrid"/>
        <w:tblW w:w="0" w:type="auto"/>
        <w:tblInd w:w="720" w:type="dxa"/>
        <w:tblLook w:val="04A0" w:firstRow="1" w:lastRow="0" w:firstColumn="1" w:lastColumn="0" w:noHBand="0" w:noVBand="1"/>
      </w:tblPr>
      <w:tblGrid>
        <w:gridCol w:w="1594"/>
        <w:gridCol w:w="2569"/>
        <w:gridCol w:w="5187"/>
      </w:tblGrid>
      <w:tr w:rsidR="002B6672" w:rsidRPr="00971013" w14:paraId="55FDDD57" w14:textId="77777777" w:rsidTr="002B6672">
        <w:tc>
          <w:tcPr>
            <w:tcW w:w="1615" w:type="dxa"/>
          </w:tcPr>
          <w:p w14:paraId="427E4402" w14:textId="77777777" w:rsidR="002B6672" w:rsidRPr="00971013" w:rsidRDefault="002B6672" w:rsidP="002B6672">
            <w:pPr>
              <w:jc w:val="right"/>
              <w:rPr>
                <w:rFonts w:cstheme="minorHAnsi"/>
                <w:b/>
                <w:bCs/>
                <w:sz w:val="20"/>
                <w:szCs w:val="20"/>
              </w:rPr>
            </w:pPr>
          </w:p>
        </w:tc>
        <w:tc>
          <w:tcPr>
            <w:tcW w:w="2633" w:type="dxa"/>
          </w:tcPr>
          <w:p w14:paraId="0103CA63" w14:textId="79C35B5D" w:rsidR="002B6672" w:rsidRPr="00971013" w:rsidRDefault="002B6672" w:rsidP="0097676B">
            <w:pPr>
              <w:rPr>
                <w:rFonts w:cstheme="minorHAnsi"/>
                <w:b/>
                <w:bCs/>
                <w:sz w:val="20"/>
                <w:szCs w:val="20"/>
              </w:rPr>
            </w:pPr>
            <w:r w:rsidRPr="00971013">
              <w:rPr>
                <w:rFonts w:cstheme="minorHAnsi"/>
                <w:b/>
                <w:bCs/>
                <w:sz w:val="20"/>
                <w:szCs w:val="20"/>
              </w:rPr>
              <w:t>Typed Name</w:t>
            </w:r>
          </w:p>
        </w:tc>
        <w:tc>
          <w:tcPr>
            <w:tcW w:w="5328" w:type="dxa"/>
          </w:tcPr>
          <w:p w14:paraId="0977DA49" w14:textId="11CA42BA" w:rsidR="002B6672" w:rsidRPr="00971013" w:rsidRDefault="002B6672" w:rsidP="0097676B">
            <w:pPr>
              <w:rPr>
                <w:b/>
                <w:bCs/>
                <w:sz w:val="20"/>
                <w:szCs w:val="20"/>
              </w:rPr>
            </w:pPr>
            <w:r w:rsidRPr="00971013">
              <w:rPr>
                <w:b/>
                <w:bCs/>
                <w:sz w:val="20"/>
                <w:szCs w:val="20"/>
              </w:rPr>
              <w:t xml:space="preserve">Hand-written </w:t>
            </w:r>
            <w:r w:rsidR="008E3611" w:rsidRPr="00971013">
              <w:rPr>
                <w:b/>
                <w:bCs/>
                <w:sz w:val="20"/>
                <w:szCs w:val="20"/>
              </w:rPr>
              <w:t xml:space="preserve">or Digital </w:t>
            </w:r>
            <w:r w:rsidRPr="00971013">
              <w:rPr>
                <w:b/>
                <w:bCs/>
                <w:sz w:val="20"/>
                <w:szCs w:val="20"/>
              </w:rPr>
              <w:t>Signature</w:t>
            </w:r>
            <w:r w:rsidR="008E3611" w:rsidRPr="00971013">
              <w:rPr>
                <w:b/>
                <w:bCs/>
                <w:sz w:val="20"/>
                <w:szCs w:val="20"/>
              </w:rPr>
              <w:t xml:space="preserve"> (preferred)</w:t>
            </w:r>
          </w:p>
        </w:tc>
      </w:tr>
      <w:tr w:rsidR="002B6672" w:rsidRPr="00971013" w14:paraId="129D745A" w14:textId="645F64B3" w:rsidTr="002B6672">
        <w:trPr>
          <w:trHeight w:val="720"/>
        </w:trPr>
        <w:tc>
          <w:tcPr>
            <w:tcW w:w="1615" w:type="dxa"/>
          </w:tcPr>
          <w:p w14:paraId="342EDD92" w14:textId="2506FD2D" w:rsidR="002B6672" w:rsidRPr="00971013" w:rsidRDefault="002B6672" w:rsidP="002B6672">
            <w:pPr>
              <w:jc w:val="right"/>
              <w:rPr>
                <w:rFonts w:cstheme="minorHAnsi"/>
                <w:b/>
                <w:bCs/>
                <w:sz w:val="20"/>
                <w:szCs w:val="20"/>
              </w:rPr>
            </w:pPr>
            <w:r w:rsidRPr="00971013">
              <w:rPr>
                <w:rFonts w:cstheme="minorHAnsi"/>
                <w:b/>
                <w:bCs/>
                <w:sz w:val="20"/>
                <w:szCs w:val="20"/>
              </w:rPr>
              <w:t>Prepared by:</w:t>
            </w:r>
          </w:p>
        </w:tc>
        <w:tc>
          <w:tcPr>
            <w:tcW w:w="2633" w:type="dxa"/>
          </w:tcPr>
          <w:p w14:paraId="04F70A2D" w14:textId="59E57BC5" w:rsidR="002B6672" w:rsidRPr="00971013" w:rsidRDefault="002B6672" w:rsidP="0097676B">
            <w:pPr>
              <w:rPr>
                <w:rFonts w:cstheme="minorHAnsi"/>
                <w:sz w:val="20"/>
                <w:szCs w:val="20"/>
              </w:rPr>
            </w:pPr>
          </w:p>
        </w:tc>
        <w:tc>
          <w:tcPr>
            <w:tcW w:w="5328" w:type="dxa"/>
            <w:vMerge w:val="restart"/>
          </w:tcPr>
          <w:p w14:paraId="3AA71A91" w14:textId="77777777" w:rsidR="002B6672" w:rsidRPr="00971013" w:rsidRDefault="002B6672" w:rsidP="0097676B">
            <w:pPr>
              <w:rPr>
                <w:rFonts w:cstheme="minorHAnsi"/>
                <w:sz w:val="20"/>
                <w:szCs w:val="20"/>
              </w:rPr>
            </w:pPr>
          </w:p>
        </w:tc>
      </w:tr>
      <w:tr w:rsidR="002B6672" w:rsidRPr="00971013" w14:paraId="0DCD4632" w14:textId="37B309F6" w:rsidTr="002B6672">
        <w:trPr>
          <w:trHeight w:val="720"/>
        </w:trPr>
        <w:tc>
          <w:tcPr>
            <w:tcW w:w="1615" w:type="dxa"/>
          </w:tcPr>
          <w:p w14:paraId="3D856807" w14:textId="40994767" w:rsidR="002B6672" w:rsidRPr="00971013" w:rsidRDefault="002B6672" w:rsidP="002B6672">
            <w:pPr>
              <w:jc w:val="right"/>
              <w:rPr>
                <w:rFonts w:cstheme="minorHAnsi"/>
                <w:b/>
                <w:bCs/>
                <w:sz w:val="20"/>
                <w:szCs w:val="20"/>
              </w:rPr>
            </w:pPr>
            <w:r w:rsidRPr="00971013">
              <w:rPr>
                <w:rFonts w:cstheme="minorHAnsi"/>
                <w:b/>
                <w:bCs/>
                <w:sz w:val="20"/>
                <w:szCs w:val="20"/>
              </w:rPr>
              <w:t>Date:</w:t>
            </w:r>
          </w:p>
        </w:tc>
        <w:tc>
          <w:tcPr>
            <w:tcW w:w="2633" w:type="dxa"/>
          </w:tcPr>
          <w:p w14:paraId="41F4AB63" w14:textId="53CA2303" w:rsidR="002B6672" w:rsidRPr="00971013" w:rsidRDefault="002B6672" w:rsidP="0097676B">
            <w:pPr>
              <w:rPr>
                <w:rFonts w:cstheme="minorHAnsi"/>
                <w:sz w:val="20"/>
                <w:szCs w:val="20"/>
              </w:rPr>
            </w:pPr>
          </w:p>
        </w:tc>
        <w:tc>
          <w:tcPr>
            <w:tcW w:w="5328" w:type="dxa"/>
            <w:vMerge/>
          </w:tcPr>
          <w:p w14:paraId="6A9201AC" w14:textId="77777777" w:rsidR="002B6672" w:rsidRPr="00971013" w:rsidRDefault="002B6672" w:rsidP="0097676B">
            <w:pPr>
              <w:rPr>
                <w:rFonts w:cstheme="minorHAnsi"/>
                <w:sz w:val="20"/>
                <w:szCs w:val="20"/>
              </w:rPr>
            </w:pPr>
          </w:p>
        </w:tc>
      </w:tr>
    </w:tbl>
    <w:p w14:paraId="69A6D72A" w14:textId="77777777" w:rsidR="002B6672" w:rsidRPr="00971013" w:rsidRDefault="002B6672" w:rsidP="002B6672">
      <w:pPr>
        <w:pStyle w:val="NoSpacing"/>
        <w:rPr>
          <w:sz w:val="20"/>
          <w:szCs w:val="20"/>
        </w:rPr>
      </w:pPr>
    </w:p>
    <w:p w14:paraId="33146416" w14:textId="1BDEF00E" w:rsidR="004D0B74" w:rsidRPr="00971013" w:rsidRDefault="0097676B" w:rsidP="004D0B74">
      <w:pPr>
        <w:rPr>
          <w:rFonts w:cstheme="minorHAnsi"/>
          <w:b/>
          <w:bCs/>
          <w:color w:val="C00000"/>
          <w:sz w:val="20"/>
          <w:szCs w:val="20"/>
        </w:rPr>
      </w:pPr>
      <w:r w:rsidRPr="00971013">
        <w:rPr>
          <w:rFonts w:cstheme="minorHAnsi"/>
          <w:b/>
          <w:bCs/>
          <w:color w:val="C00000"/>
          <w:sz w:val="20"/>
          <w:szCs w:val="20"/>
        </w:rPr>
        <w:t>OR</w:t>
      </w:r>
      <w:r w:rsidR="00823196">
        <w:rPr>
          <w:rFonts w:cstheme="minorHAnsi"/>
          <w:b/>
          <w:bCs/>
          <w:color w:val="C00000"/>
          <w:sz w:val="20"/>
          <w:szCs w:val="20"/>
        </w:rPr>
        <w:t xml:space="preserve"> – if the above doesn’t apply</w:t>
      </w:r>
      <w:r w:rsidR="00C61489">
        <w:rPr>
          <w:rFonts w:cstheme="minorHAnsi"/>
          <w:b/>
          <w:bCs/>
          <w:color w:val="C00000"/>
          <w:sz w:val="20"/>
          <w:szCs w:val="20"/>
        </w:rPr>
        <w:t>,</w:t>
      </w:r>
      <w:r w:rsidR="00823196">
        <w:rPr>
          <w:rFonts w:cstheme="minorHAnsi"/>
          <w:b/>
          <w:bCs/>
          <w:color w:val="C00000"/>
          <w:sz w:val="20"/>
          <w:szCs w:val="20"/>
        </w:rPr>
        <w:t xml:space="preserve"> sign and date below</w:t>
      </w:r>
    </w:p>
    <w:p w14:paraId="1B392839" w14:textId="58D8B887" w:rsidR="004D0B74" w:rsidRPr="00971013" w:rsidRDefault="004D0B74" w:rsidP="008E3611">
      <w:pPr>
        <w:pStyle w:val="NoSpacing"/>
        <w:ind w:left="720"/>
        <w:jc w:val="both"/>
        <w:rPr>
          <w:sz w:val="20"/>
          <w:szCs w:val="20"/>
        </w:rPr>
      </w:pPr>
      <w:r w:rsidRPr="00971013">
        <w:rPr>
          <w:sz w:val="20"/>
          <w:szCs w:val="20"/>
        </w:rPr>
        <w:t>After having researched agency records and</w:t>
      </w:r>
      <w:r w:rsidR="0097676B" w:rsidRPr="00971013">
        <w:rPr>
          <w:sz w:val="20"/>
          <w:szCs w:val="20"/>
        </w:rPr>
        <w:t>/or</w:t>
      </w:r>
      <w:r w:rsidRPr="00971013">
        <w:rPr>
          <w:sz w:val="20"/>
          <w:szCs w:val="20"/>
        </w:rPr>
        <w:t xml:space="preserve"> consulted with agency </w:t>
      </w:r>
      <w:r w:rsidR="0097676B" w:rsidRPr="00971013">
        <w:rPr>
          <w:sz w:val="20"/>
          <w:szCs w:val="20"/>
        </w:rPr>
        <w:t>personnel</w:t>
      </w:r>
      <w:r w:rsidRPr="00971013">
        <w:rPr>
          <w:sz w:val="20"/>
          <w:szCs w:val="20"/>
        </w:rPr>
        <w:t xml:space="preserve">, </w:t>
      </w:r>
      <w:r w:rsidRPr="00823196">
        <w:rPr>
          <w:color w:val="FF0000"/>
          <w:sz w:val="20"/>
          <w:szCs w:val="20"/>
          <w:u w:val="single"/>
        </w:rPr>
        <w:t>I have identified potential</w:t>
      </w:r>
      <w:r w:rsidRPr="00823196">
        <w:rPr>
          <w:color w:val="FF0000"/>
          <w:sz w:val="20"/>
          <w:szCs w:val="20"/>
        </w:rPr>
        <w:t xml:space="preserve"> </w:t>
      </w:r>
      <w:r w:rsidRPr="00971013">
        <w:rPr>
          <w:sz w:val="20"/>
          <w:szCs w:val="20"/>
        </w:rPr>
        <w:t xml:space="preserve">Related Party Transactions </w:t>
      </w:r>
      <w:r w:rsidR="00CF19B1" w:rsidRPr="00971013">
        <w:rPr>
          <w:sz w:val="20"/>
          <w:szCs w:val="20"/>
        </w:rPr>
        <w:t>and provided information in the table on page 2, or in attached documents, in order for the Office of the State Controller to make a final determination as to what information should be disclosed in the Note</w:t>
      </w:r>
      <w:r w:rsidR="002273A5" w:rsidRPr="00971013">
        <w:rPr>
          <w:sz w:val="20"/>
          <w:szCs w:val="20"/>
        </w:rPr>
        <w:t>s</w:t>
      </w:r>
      <w:r w:rsidR="00CF19B1" w:rsidRPr="00971013">
        <w:rPr>
          <w:sz w:val="20"/>
          <w:szCs w:val="20"/>
        </w:rPr>
        <w:t xml:space="preserve"> to the Financial Statements.</w:t>
      </w:r>
    </w:p>
    <w:p w14:paraId="53F9B396" w14:textId="77777777" w:rsidR="002B6672" w:rsidRPr="00971013" w:rsidRDefault="002B6672" w:rsidP="002B6672">
      <w:pPr>
        <w:pStyle w:val="NoSpacing"/>
        <w:rPr>
          <w:sz w:val="20"/>
          <w:szCs w:val="20"/>
        </w:rPr>
      </w:pPr>
    </w:p>
    <w:tbl>
      <w:tblPr>
        <w:tblStyle w:val="TableGrid"/>
        <w:tblW w:w="0" w:type="auto"/>
        <w:tblInd w:w="720" w:type="dxa"/>
        <w:tblLook w:val="04A0" w:firstRow="1" w:lastRow="0" w:firstColumn="1" w:lastColumn="0" w:noHBand="0" w:noVBand="1"/>
      </w:tblPr>
      <w:tblGrid>
        <w:gridCol w:w="1594"/>
        <w:gridCol w:w="2569"/>
        <w:gridCol w:w="5187"/>
      </w:tblGrid>
      <w:tr w:rsidR="008E3611" w:rsidRPr="00971013" w14:paraId="33B44E97" w14:textId="77777777" w:rsidTr="007936BB">
        <w:tc>
          <w:tcPr>
            <w:tcW w:w="1615" w:type="dxa"/>
          </w:tcPr>
          <w:p w14:paraId="77A5C3A9" w14:textId="77777777" w:rsidR="008E3611" w:rsidRPr="00971013" w:rsidRDefault="008E3611" w:rsidP="008E3611">
            <w:pPr>
              <w:jc w:val="right"/>
              <w:rPr>
                <w:rFonts w:cstheme="minorHAnsi"/>
                <w:b/>
                <w:bCs/>
                <w:sz w:val="20"/>
                <w:szCs w:val="20"/>
              </w:rPr>
            </w:pPr>
          </w:p>
        </w:tc>
        <w:tc>
          <w:tcPr>
            <w:tcW w:w="2633" w:type="dxa"/>
          </w:tcPr>
          <w:p w14:paraId="2D501159" w14:textId="77777777" w:rsidR="008E3611" w:rsidRPr="00971013" w:rsidRDefault="008E3611" w:rsidP="008E3611">
            <w:pPr>
              <w:rPr>
                <w:rFonts w:cstheme="minorHAnsi"/>
                <w:b/>
                <w:bCs/>
                <w:sz w:val="20"/>
                <w:szCs w:val="20"/>
              </w:rPr>
            </w:pPr>
            <w:r w:rsidRPr="00971013">
              <w:rPr>
                <w:rFonts w:cstheme="minorHAnsi"/>
                <w:b/>
                <w:bCs/>
                <w:sz w:val="20"/>
                <w:szCs w:val="20"/>
              </w:rPr>
              <w:t>Typed Name</w:t>
            </w:r>
          </w:p>
        </w:tc>
        <w:tc>
          <w:tcPr>
            <w:tcW w:w="5328" w:type="dxa"/>
          </w:tcPr>
          <w:p w14:paraId="73B64CFC" w14:textId="12256DBC" w:rsidR="008E3611" w:rsidRPr="00971013" w:rsidRDefault="008E3611" w:rsidP="008E3611">
            <w:pPr>
              <w:rPr>
                <w:b/>
                <w:bCs/>
                <w:sz w:val="20"/>
                <w:szCs w:val="20"/>
              </w:rPr>
            </w:pPr>
            <w:r w:rsidRPr="00971013">
              <w:rPr>
                <w:b/>
                <w:bCs/>
                <w:sz w:val="20"/>
                <w:szCs w:val="20"/>
              </w:rPr>
              <w:t>Hand-written or Digital Signature (preferred)</w:t>
            </w:r>
          </w:p>
        </w:tc>
      </w:tr>
      <w:tr w:rsidR="002B6672" w:rsidRPr="00971013" w14:paraId="59D4B35A" w14:textId="77777777" w:rsidTr="006136FC">
        <w:trPr>
          <w:trHeight w:val="467"/>
        </w:trPr>
        <w:tc>
          <w:tcPr>
            <w:tcW w:w="1615" w:type="dxa"/>
          </w:tcPr>
          <w:p w14:paraId="2737D830" w14:textId="77777777" w:rsidR="002B6672" w:rsidRPr="00971013" w:rsidRDefault="002B6672" w:rsidP="007936BB">
            <w:pPr>
              <w:jc w:val="right"/>
              <w:rPr>
                <w:rFonts w:cstheme="minorHAnsi"/>
                <w:b/>
                <w:bCs/>
                <w:sz w:val="20"/>
                <w:szCs w:val="20"/>
              </w:rPr>
            </w:pPr>
            <w:r w:rsidRPr="00971013">
              <w:rPr>
                <w:rFonts w:cstheme="minorHAnsi"/>
                <w:b/>
                <w:bCs/>
                <w:sz w:val="20"/>
                <w:szCs w:val="20"/>
              </w:rPr>
              <w:t>Prepared by:</w:t>
            </w:r>
          </w:p>
        </w:tc>
        <w:tc>
          <w:tcPr>
            <w:tcW w:w="2633" w:type="dxa"/>
          </w:tcPr>
          <w:p w14:paraId="246D8168" w14:textId="0CADF9E4" w:rsidR="002B6672" w:rsidRPr="00971013" w:rsidRDefault="002B6672" w:rsidP="007936BB">
            <w:pPr>
              <w:rPr>
                <w:rFonts w:cstheme="minorHAnsi"/>
                <w:sz w:val="20"/>
                <w:szCs w:val="20"/>
              </w:rPr>
            </w:pPr>
          </w:p>
        </w:tc>
        <w:tc>
          <w:tcPr>
            <w:tcW w:w="5328" w:type="dxa"/>
            <w:vMerge w:val="restart"/>
          </w:tcPr>
          <w:p w14:paraId="180A2FB3" w14:textId="77777777" w:rsidR="002B6672" w:rsidRPr="00971013" w:rsidRDefault="002B6672" w:rsidP="007936BB">
            <w:pPr>
              <w:rPr>
                <w:rFonts w:cstheme="minorHAnsi"/>
                <w:sz w:val="20"/>
                <w:szCs w:val="20"/>
              </w:rPr>
            </w:pPr>
          </w:p>
        </w:tc>
      </w:tr>
      <w:tr w:rsidR="002B6672" w:rsidRPr="00971013" w14:paraId="780AC664" w14:textId="77777777" w:rsidTr="006136FC">
        <w:trPr>
          <w:trHeight w:val="368"/>
        </w:trPr>
        <w:tc>
          <w:tcPr>
            <w:tcW w:w="1615" w:type="dxa"/>
          </w:tcPr>
          <w:p w14:paraId="4FF16EEB" w14:textId="77777777" w:rsidR="002B6672" w:rsidRPr="00971013" w:rsidRDefault="002B6672" w:rsidP="007936BB">
            <w:pPr>
              <w:jc w:val="right"/>
              <w:rPr>
                <w:rFonts w:cstheme="minorHAnsi"/>
                <w:b/>
                <w:bCs/>
                <w:sz w:val="20"/>
                <w:szCs w:val="20"/>
              </w:rPr>
            </w:pPr>
            <w:r w:rsidRPr="00971013">
              <w:rPr>
                <w:rFonts w:cstheme="minorHAnsi"/>
                <w:b/>
                <w:bCs/>
                <w:sz w:val="20"/>
                <w:szCs w:val="20"/>
              </w:rPr>
              <w:t>Date:</w:t>
            </w:r>
          </w:p>
        </w:tc>
        <w:tc>
          <w:tcPr>
            <w:tcW w:w="2633" w:type="dxa"/>
          </w:tcPr>
          <w:p w14:paraId="7C39046F" w14:textId="09586477" w:rsidR="002B6672" w:rsidRPr="00971013" w:rsidRDefault="002B6672" w:rsidP="007936BB">
            <w:pPr>
              <w:rPr>
                <w:rFonts w:cstheme="minorHAnsi"/>
                <w:sz w:val="20"/>
                <w:szCs w:val="20"/>
              </w:rPr>
            </w:pPr>
          </w:p>
        </w:tc>
        <w:tc>
          <w:tcPr>
            <w:tcW w:w="5328" w:type="dxa"/>
            <w:vMerge/>
          </w:tcPr>
          <w:p w14:paraId="326C1913" w14:textId="77777777" w:rsidR="002B6672" w:rsidRPr="00971013" w:rsidRDefault="002B6672" w:rsidP="007936BB">
            <w:pPr>
              <w:rPr>
                <w:rFonts w:cstheme="minorHAnsi"/>
                <w:sz w:val="20"/>
                <w:szCs w:val="20"/>
              </w:rPr>
            </w:pPr>
          </w:p>
        </w:tc>
      </w:tr>
    </w:tbl>
    <w:p w14:paraId="68ABEEA9" w14:textId="77777777" w:rsidR="002B6672" w:rsidRPr="00971013" w:rsidRDefault="002B6672" w:rsidP="002B6672">
      <w:pPr>
        <w:pStyle w:val="NoSpacing"/>
        <w:rPr>
          <w:sz w:val="20"/>
          <w:szCs w:val="20"/>
        </w:rPr>
      </w:pPr>
    </w:p>
    <w:p w14:paraId="4DA518EB" w14:textId="5B5F9BE2" w:rsidR="008E3611" w:rsidRDefault="008E3611">
      <w:pPr>
        <w:rPr>
          <w:rFonts w:cstheme="minorHAnsi"/>
          <w:sz w:val="20"/>
          <w:szCs w:val="20"/>
        </w:rPr>
      </w:pPr>
      <w:r w:rsidRPr="00971013">
        <w:rPr>
          <w:rFonts w:cstheme="minorHAnsi"/>
          <w:sz w:val="20"/>
          <w:szCs w:val="20"/>
        </w:rPr>
        <w:t>If you have any questions about interpretation of GASB standards</w:t>
      </w:r>
      <w:r w:rsidR="003B1E8F" w:rsidRPr="00971013">
        <w:rPr>
          <w:rFonts w:cstheme="minorHAnsi"/>
          <w:sz w:val="20"/>
          <w:szCs w:val="20"/>
        </w:rPr>
        <w:t xml:space="preserve"> 56 and 62</w:t>
      </w:r>
      <w:r w:rsidRPr="00971013">
        <w:rPr>
          <w:rFonts w:cstheme="minorHAnsi"/>
          <w:sz w:val="20"/>
          <w:szCs w:val="20"/>
        </w:rPr>
        <w:t xml:space="preserve"> provided</w:t>
      </w:r>
      <w:r w:rsidR="003B1E8F" w:rsidRPr="00971013">
        <w:rPr>
          <w:rFonts w:cstheme="minorHAnsi"/>
          <w:sz w:val="20"/>
          <w:szCs w:val="20"/>
        </w:rPr>
        <w:t xml:space="preserve"> </w:t>
      </w:r>
      <w:r w:rsidRPr="00971013">
        <w:rPr>
          <w:rFonts w:cstheme="minorHAnsi"/>
          <w:sz w:val="20"/>
          <w:szCs w:val="20"/>
        </w:rPr>
        <w:t xml:space="preserve">or how to complete the survey, please contact your </w:t>
      </w:r>
      <w:r w:rsidRPr="006136FC">
        <w:rPr>
          <w:rFonts w:cstheme="minorHAnsi"/>
          <w:sz w:val="20"/>
          <w:szCs w:val="20"/>
          <w:u w:val="single"/>
        </w:rPr>
        <w:t>agency liaison</w:t>
      </w:r>
      <w:r w:rsidRPr="00971013">
        <w:rPr>
          <w:rFonts w:cstheme="minorHAnsi"/>
          <w:sz w:val="20"/>
          <w:szCs w:val="20"/>
        </w:rPr>
        <w:t>.  Note that related party transactions may not necessarily be limited to those provided as examples in the standards.</w:t>
      </w:r>
    </w:p>
    <w:p w14:paraId="5330A03A" w14:textId="6BEFDDFE" w:rsidR="006136FC" w:rsidRPr="00971013" w:rsidRDefault="006136FC">
      <w:pPr>
        <w:rPr>
          <w:rFonts w:cstheme="minorHAnsi"/>
          <w:sz w:val="20"/>
          <w:szCs w:val="20"/>
        </w:rPr>
      </w:pPr>
      <w:r w:rsidRPr="003120CF">
        <w:rPr>
          <w:rFonts w:cstheme="minorHAnsi"/>
          <w:b/>
          <w:bCs/>
        </w:rPr>
        <w:t>Please return the completed survey to</w:t>
      </w:r>
      <w:r>
        <w:rPr>
          <w:rFonts w:cstheme="minorHAnsi"/>
        </w:rPr>
        <w:t xml:space="preserve"> </w:t>
      </w:r>
      <w:r w:rsidRPr="003120CF">
        <w:rPr>
          <w:rFonts w:cstheme="minorHAnsi"/>
          <w:b/>
          <w:bCs/>
        </w:rPr>
        <w:t>Kelli Lascko</w:t>
      </w:r>
      <w:r>
        <w:rPr>
          <w:rFonts w:cstheme="minorHAnsi"/>
          <w:b/>
          <w:bCs/>
          <w:u w:val="single"/>
        </w:rPr>
        <w:t xml:space="preserve"> </w:t>
      </w:r>
      <w:hyperlink r:id="rId7" w:history="1">
        <w:r w:rsidRPr="006775EB">
          <w:rPr>
            <w:rStyle w:val="Hyperlink"/>
            <w:rFonts w:cstheme="minorHAnsi"/>
            <w:b/>
            <w:bCs/>
          </w:rPr>
          <w:t>kelli.lascko@maine.gov</w:t>
        </w:r>
      </w:hyperlink>
      <w:r>
        <w:rPr>
          <w:rFonts w:cstheme="minorHAnsi"/>
          <w:b/>
          <w:bCs/>
          <w:u w:val="single"/>
        </w:rPr>
        <w:t>.</w:t>
      </w:r>
    </w:p>
    <w:tbl>
      <w:tblPr>
        <w:tblStyle w:val="TableGrid"/>
        <w:tblW w:w="0" w:type="auto"/>
        <w:tblLook w:val="04A0" w:firstRow="1" w:lastRow="0" w:firstColumn="1" w:lastColumn="0" w:noHBand="0" w:noVBand="1"/>
      </w:tblPr>
      <w:tblGrid>
        <w:gridCol w:w="3310"/>
        <w:gridCol w:w="6760"/>
      </w:tblGrid>
      <w:tr w:rsidR="00CF19B1" w14:paraId="406B7E5A" w14:textId="77777777" w:rsidTr="00CF19B1">
        <w:tc>
          <w:tcPr>
            <w:tcW w:w="3348" w:type="dxa"/>
          </w:tcPr>
          <w:p w14:paraId="61956F8F" w14:textId="0F65B58A" w:rsidR="00CF19B1" w:rsidRPr="00CF19B1" w:rsidRDefault="00CF19B1">
            <w:pPr>
              <w:rPr>
                <w:rFonts w:cstheme="minorHAnsi"/>
                <w:b/>
                <w:bCs/>
              </w:rPr>
            </w:pPr>
            <w:r w:rsidRPr="00CF19B1">
              <w:rPr>
                <w:rFonts w:cstheme="minorHAnsi"/>
                <w:b/>
                <w:bCs/>
              </w:rPr>
              <w:lastRenderedPageBreak/>
              <w:t>Vendor</w:t>
            </w:r>
            <w:r w:rsidR="002B6672">
              <w:rPr>
                <w:rFonts w:cstheme="minorHAnsi"/>
                <w:b/>
                <w:bCs/>
              </w:rPr>
              <w:t xml:space="preserve"> or </w:t>
            </w:r>
            <w:r w:rsidRPr="00CF19B1">
              <w:rPr>
                <w:rFonts w:cstheme="minorHAnsi"/>
                <w:b/>
                <w:bCs/>
              </w:rPr>
              <w:t>Entity Name</w:t>
            </w:r>
          </w:p>
        </w:tc>
        <w:tc>
          <w:tcPr>
            <w:tcW w:w="6840" w:type="dxa"/>
          </w:tcPr>
          <w:p w14:paraId="17842B95" w14:textId="6A416AAD" w:rsidR="00CF19B1" w:rsidRDefault="00CF19B1">
            <w:pPr>
              <w:rPr>
                <w:rFonts w:cstheme="minorHAnsi"/>
                <w:b/>
                <w:bCs/>
              </w:rPr>
            </w:pPr>
            <w:r w:rsidRPr="00CF19B1">
              <w:rPr>
                <w:rFonts w:cstheme="minorHAnsi"/>
                <w:b/>
                <w:bCs/>
              </w:rPr>
              <w:t>Description of Related Party Transaction</w:t>
            </w:r>
            <w:r w:rsidR="00BD20B0">
              <w:rPr>
                <w:rFonts w:cstheme="minorHAnsi"/>
                <w:b/>
                <w:bCs/>
              </w:rPr>
              <w:t>(s)</w:t>
            </w:r>
            <w:r w:rsidRPr="00CF19B1">
              <w:rPr>
                <w:rFonts w:cstheme="minorHAnsi"/>
                <w:b/>
                <w:bCs/>
              </w:rPr>
              <w:t xml:space="preserve"> and/or Relationship</w:t>
            </w:r>
          </w:p>
          <w:p w14:paraId="3CE5A308" w14:textId="2AF49312" w:rsidR="002B6672" w:rsidRPr="002B6672" w:rsidRDefault="002B6672">
            <w:pPr>
              <w:rPr>
                <w:rFonts w:cstheme="minorHAnsi"/>
              </w:rPr>
            </w:pPr>
            <w:r>
              <w:rPr>
                <w:rFonts w:cstheme="minorHAnsi"/>
              </w:rPr>
              <w:t>(Attach additional documentation such as vendor queries, cash receipts, contracts, MOUs, etc., if necessary)</w:t>
            </w:r>
          </w:p>
        </w:tc>
      </w:tr>
      <w:tr w:rsidR="002B6672" w14:paraId="30D06C5C" w14:textId="77777777" w:rsidTr="002B6672">
        <w:trPr>
          <w:trHeight w:val="720"/>
        </w:trPr>
        <w:tc>
          <w:tcPr>
            <w:tcW w:w="3348" w:type="dxa"/>
          </w:tcPr>
          <w:p w14:paraId="1100F44F" w14:textId="77777777" w:rsidR="002B6672" w:rsidRDefault="002B6672">
            <w:pPr>
              <w:rPr>
                <w:rFonts w:cstheme="minorHAnsi"/>
              </w:rPr>
            </w:pPr>
          </w:p>
        </w:tc>
        <w:tc>
          <w:tcPr>
            <w:tcW w:w="6840" w:type="dxa"/>
          </w:tcPr>
          <w:p w14:paraId="6CA92A80" w14:textId="234D2E21" w:rsidR="002B6672" w:rsidRDefault="002B6672" w:rsidP="002B6672">
            <w:pPr>
              <w:rPr>
                <w:rFonts w:cstheme="minorHAnsi"/>
              </w:rPr>
            </w:pPr>
          </w:p>
        </w:tc>
      </w:tr>
      <w:tr w:rsidR="002B6672" w14:paraId="25A44D3F" w14:textId="77777777" w:rsidTr="002B6672">
        <w:trPr>
          <w:trHeight w:val="720"/>
        </w:trPr>
        <w:tc>
          <w:tcPr>
            <w:tcW w:w="3348" w:type="dxa"/>
          </w:tcPr>
          <w:p w14:paraId="46D9C2A3" w14:textId="77777777" w:rsidR="002B6672" w:rsidRDefault="002B6672">
            <w:pPr>
              <w:rPr>
                <w:rFonts w:cstheme="minorHAnsi"/>
              </w:rPr>
            </w:pPr>
          </w:p>
        </w:tc>
        <w:tc>
          <w:tcPr>
            <w:tcW w:w="6840" w:type="dxa"/>
          </w:tcPr>
          <w:p w14:paraId="2B0CD06A" w14:textId="77777777" w:rsidR="002B6672" w:rsidRDefault="002B6672">
            <w:pPr>
              <w:rPr>
                <w:rFonts w:cstheme="minorHAnsi"/>
              </w:rPr>
            </w:pPr>
          </w:p>
        </w:tc>
      </w:tr>
      <w:tr w:rsidR="002B6672" w14:paraId="2EF703C6" w14:textId="77777777" w:rsidTr="002B6672">
        <w:trPr>
          <w:trHeight w:val="720"/>
        </w:trPr>
        <w:tc>
          <w:tcPr>
            <w:tcW w:w="3348" w:type="dxa"/>
          </w:tcPr>
          <w:p w14:paraId="2B344274" w14:textId="77777777" w:rsidR="002B6672" w:rsidRDefault="002B6672">
            <w:pPr>
              <w:rPr>
                <w:rFonts w:cstheme="minorHAnsi"/>
              </w:rPr>
            </w:pPr>
          </w:p>
        </w:tc>
        <w:tc>
          <w:tcPr>
            <w:tcW w:w="6840" w:type="dxa"/>
          </w:tcPr>
          <w:p w14:paraId="0EE62A72" w14:textId="77777777" w:rsidR="002B6672" w:rsidRDefault="002B6672">
            <w:pPr>
              <w:rPr>
                <w:rFonts w:cstheme="minorHAnsi"/>
              </w:rPr>
            </w:pPr>
          </w:p>
        </w:tc>
      </w:tr>
      <w:tr w:rsidR="002B6672" w14:paraId="321CCECB" w14:textId="77777777" w:rsidTr="002B6672">
        <w:trPr>
          <w:trHeight w:val="720"/>
        </w:trPr>
        <w:tc>
          <w:tcPr>
            <w:tcW w:w="3348" w:type="dxa"/>
          </w:tcPr>
          <w:p w14:paraId="55588AC9" w14:textId="77777777" w:rsidR="002B6672" w:rsidRDefault="002B6672">
            <w:pPr>
              <w:rPr>
                <w:rFonts w:cstheme="minorHAnsi"/>
              </w:rPr>
            </w:pPr>
          </w:p>
        </w:tc>
        <w:tc>
          <w:tcPr>
            <w:tcW w:w="6840" w:type="dxa"/>
          </w:tcPr>
          <w:p w14:paraId="40D12247" w14:textId="77777777" w:rsidR="002B6672" w:rsidRDefault="002B6672">
            <w:pPr>
              <w:rPr>
                <w:rFonts w:cstheme="minorHAnsi"/>
              </w:rPr>
            </w:pPr>
          </w:p>
        </w:tc>
      </w:tr>
      <w:tr w:rsidR="002B6672" w14:paraId="268D09D7" w14:textId="77777777" w:rsidTr="002B6672">
        <w:trPr>
          <w:trHeight w:val="720"/>
        </w:trPr>
        <w:tc>
          <w:tcPr>
            <w:tcW w:w="3348" w:type="dxa"/>
          </w:tcPr>
          <w:p w14:paraId="163602C9" w14:textId="77777777" w:rsidR="002B6672" w:rsidRDefault="002B6672">
            <w:pPr>
              <w:rPr>
                <w:rFonts w:cstheme="minorHAnsi"/>
              </w:rPr>
            </w:pPr>
          </w:p>
        </w:tc>
        <w:tc>
          <w:tcPr>
            <w:tcW w:w="6840" w:type="dxa"/>
          </w:tcPr>
          <w:p w14:paraId="3115A5F9" w14:textId="77777777" w:rsidR="002B6672" w:rsidRDefault="002B6672">
            <w:pPr>
              <w:rPr>
                <w:rFonts w:cstheme="minorHAnsi"/>
              </w:rPr>
            </w:pPr>
          </w:p>
        </w:tc>
      </w:tr>
      <w:tr w:rsidR="00CF19B1" w14:paraId="683394E0" w14:textId="77777777" w:rsidTr="002B6672">
        <w:trPr>
          <w:trHeight w:val="720"/>
        </w:trPr>
        <w:tc>
          <w:tcPr>
            <w:tcW w:w="3348" w:type="dxa"/>
          </w:tcPr>
          <w:p w14:paraId="76DB1976" w14:textId="77777777" w:rsidR="00CF19B1" w:rsidRDefault="00CF19B1">
            <w:pPr>
              <w:rPr>
                <w:rFonts w:cstheme="minorHAnsi"/>
              </w:rPr>
            </w:pPr>
          </w:p>
        </w:tc>
        <w:tc>
          <w:tcPr>
            <w:tcW w:w="6840" w:type="dxa"/>
          </w:tcPr>
          <w:p w14:paraId="4E6CAABE" w14:textId="77777777" w:rsidR="00CF19B1" w:rsidRDefault="00CF19B1">
            <w:pPr>
              <w:rPr>
                <w:rFonts w:cstheme="minorHAnsi"/>
              </w:rPr>
            </w:pPr>
          </w:p>
        </w:tc>
      </w:tr>
      <w:tr w:rsidR="00CF19B1" w14:paraId="701D14B1" w14:textId="77777777" w:rsidTr="002B6672">
        <w:trPr>
          <w:trHeight w:val="720"/>
        </w:trPr>
        <w:tc>
          <w:tcPr>
            <w:tcW w:w="3348" w:type="dxa"/>
          </w:tcPr>
          <w:p w14:paraId="1DE332AA" w14:textId="77777777" w:rsidR="00CF19B1" w:rsidRDefault="00CF19B1">
            <w:pPr>
              <w:rPr>
                <w:rFonts w:cstheme="minorHAnsi"/>
              </w:rPr>
            </w:pPr>
          </w:p>
        </w:tc>
        <w:tc>
          <w:tcPr>
            <w:tcW w:w="6840" w:type="dxa"/>
          </w:tcPr>
          <w:p w14:paraId="301B5CB4" w14:textId="77777777" w:rsidR="00CF19B1" w:rsidRDefault="00CF19B1">
            <w:pPr>
              <w:rPr>
                <w:rFonts w:cstheme="minorHAnsi"/>
              </w:rPr>
            </w:pPr>
          </w:p>
        </w:tc>
      </w:tr>
      <w:tr w:rsidR="00CF19B1" w14:paraId="6401280C" w14:textId="77777777" w:rsidTr="002B6672">
        <w:trPr>
          <w:trHeight w:val="720"/>
        </w:trPr>
        <w:tc>
          <w:tcPr>
            <w:tcW w:w="3348" w:type="dxa"/>
          </w:tcPr>
          <w:p w14:paraId="26AFBB98" w14:textId="77777777" w:rsidR="00CF19B1" w:rsidRDefault="00CF19B1">
            <w:pPr>
              <w:rPr>
                <w:rFonts w:cstheme="minorHAnsi"/>
              </w:rPr>
            </w:pPr>
          </w:p>
        </w:tc>
        <w:tc>
          <w:tcPr>
            <w:tcW w:w="6840" w:type="dxa"/>
          </w:tcPr>
          <w:p w14:paraId="3EBC8245" w14:textId="77777777" w:rsidR="00CF19B1" w:rsidRDefault="00CF19B1">
            <w:pPr>
              <w:rPr>
                <w:rFonts w:cstheme="minorHAnsi"/>
              </w:rPr>
            </w:pPr>
          </w:p>
        </w:tc>
      </w:tr>
      <w:tr w:rsidR="00CF19B1" w14:paraId="721EE7C3" w14:textId="77777777" w:rsidTr="002B6672">
        <w:trPr>
          <w:trHeight w:val="720"/>
        </w:trPr>
        <w:tc>
          <w:tcPr>
            <w:tcW w:w="3348" w:type="dxa"/>
          </w:tcPr>
          <w:p w14:paraId="1B6A402F" w14:textId="77777777" w:rsidR="00CF19B1" w:rsidRDefault="00CF19B1">
            <w:pPr>
              <w:rPr>
                <w:rFonts w:cstheme="minorHAnsi"/>
              </w:rPr>
            </w:pPr>
          </w:p>
        </w:tc>
        <w:tc>
          <w:tcPr>
            <w:tcW w:w="6840" w:type="dxa"/>
          </w:tcPr>
          <w:p w14:paraId="562D0D29" w14:textId="77777777" w:rsidR="00CF19B1" w:rsidRDefault="00CF19B1">
            <w:pPr>
              <w:rPr>
                <w:rFonts w:cstheme="minorHAnsi"/>
              </w:rPr>
            </w:pPr>
          </w:p>
        </w:tc>
      </w:tr>
      <w:tr w:rsidR="00CF19B1" w14:paraId="3DE4F973" w14:textId="77777777" w:rsidTr="002B6672">
        <w:trPr>
          <w:trHeight w:val="720"/>
        </w:trPr>
        <w:tc>
          <w:tcPr>
            <w:tcW w:w="3348" w:type="dxa"/>
          </w:tcPr>
          <w:p w14:paraId="26AE204C" w14:textId="77777777" w:rsidR="00CF19B1" w:rsidRDefault="00CF19B1">
            <w:pPr>
              <w:rPr>
                <w:rFonts w:cstheme="minorHAnsi"/>
              </w:rPr>
            </w:pPr>
          </w:p>
        </w:tc>
        <w:tc>
          <w:tcPr>
            <w:tcW w:w="6840" w:type="dxa"/>
          </w:tcPr>
          <w:p w14:paraId="0119D237" w14:textId="77777777" w:rsidR="00CF19B1" w:rsidRDefault="00CF19B1">
            <w:pPr>
              <w:rPr>
                <w:rFonts w:cstheme="minorHAnsi"/>
              </w:rPr>
            </w:pPr>
          </w:p>
        </w:tc>
      </w:tr>
    </w:tbl>
    <w:p w14:paraId="730AC51A" w14:textId="7F385B72" w:rsidR="00BD20B0" w:rsidRDefault="00BD20B0">
      <w:pPr>
        <w:rPr>
          <w:rFonts w:cstheme="minorHAnsi"/>
        </w:rPr>
      </w:pPr>
      <w:r>
        <w:rPr>
          <w:rFonts w:cstheme="minorHAnsi"/>
        </w:rPr>
        <w:t>Insert as many rows as necessary.</w:t>
      </w:r>
    </w:p>
    <w:p w14:paraId="376B107C" w14:textId="5942CEF7" w:rsidR="00C028D4" w:rsidRPr="004D0B74" w:rsidRDefault="00C028D4">
      <w:pPr>
        <w:rPr>
          <w:rFonts w:cstheme="minorHAnsi"/>
        </w:rPr>
      </w:pPr>
      <w:r w:rsidRPr="004D0B74">
        <w:rPr>
          <w:rFonts w:cstheme="minorHAnsi"/>
        </w:rPr>
        <w:br w:type="page"/>
      </w:r>
    </w:p>
    <w:p w14:paraId="2164293C" w14:textId="62985E40" w:rsidR="00C028D4" w:rsidRPr="004D0B74" w:rsidRDefault="00C028D4" w:rsidP="004D0B74">
      <w:pPr>
        <w:pStyle w:val="Heading1"/>
        <w:rPr>
          <w:spacing w:val="-2"/>
        </w:rPr>
      </w:pPr>
      <w:bookmarkStart w:id="0" w:name="_TOC_250004"/>
      <w:r w:rsidRPr="004D0B74">
        <w:lastRenderedPageBreak/>
        <w:t>GASB 56 - Related</w:t>
      </w:r>
      <w:r w:rsidRPr="004D0B74">
        <w:rPr>
          <w:spacing w:val="-5"/>
        </w:rPr>
        <w:t xml:space="preserve"> </w:t>
      </w:r>
      <w:r w:rsidRPr="004D0B74">
        <w:t>Party</w:t>
      </w:r>
      <w:r w:rsidRPr="004D0B74">
        <w:rPr>
          <w:spacing w:val="-4"/>
        </w:rPr>
        <w:t xml:space="preserve"> </w:t>
      </w:r>
      <w:bookmarkEnd w:id="0"/>
      <w:r w:rsidRPr="004D0B74">
        <w:rPr>
          <w:spacing w:val="-2"/>
        </w:rPr>
        <w:t>Transactions</w:t>
      </w:r>
    </w:p>
    <w:p w14:paraId="0A64A747" w14:textId="77777777" w:rsidR="00C028D4" w:rsidRPr="003A37F3" w:rsidRDefault="00C028D4" w:rsidP="00C028D4">
      <w:pPr>
        <w:pStyle w:val="Heading2"/>
        <w:jc w:val="both"/>
        <w:rPr>
          <w:rFonts w:asciiTheme="minorHAnsi" w:hAnsiTheme="minorHAnsi" w:cstheme="minorHAnsi"/>
          <w:b w:val="0"/>
          <w:bCs w:val="0"/>
          <w:sz w:val="20"/>
          <w:szCs w:val="20"/>
        </w:rPr>
      </w:pPr>
    </w:p>
    <w:p w14:paraId="1A8EA184" w14:textId="3238760B" w:rsidR="00C028D4" w:rsidRPr="003A37F3" w:rsidRDefault="00C028D4" w:rsidP="00C028D4">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State and local governments are required to disclose certain related party transactions.</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If the substance of a particular transaction is significantly different from its form because of the involvement of related parties, financial statements should recognize the substance of the transaction rather than merely its legal form.</w:t>
      </w:r>
    </w:p>
    <w:p w14:paraId="6CD6F9B3" w14:textId="77777777" w:rsidR="00C028D4" w:rsidRPr="003A37F3" w:rsidRDefault="00C028D4" w:rsidP="0099103A">
      <w:pPr>
        <w:pStyle w:val="NoSpacing"/>
        <w:rPr>
          <w:rFonts w:cstheme="minorHAnsi"/>
          <w:sz w:val="20"/>
          <w:szCs w:val="20"/>
        </w:rPr>
      </w:pPr>
    </w:p>
    <w:p w14:paraId="0B343912" w14:textId="412FEA78" w:rsidR="00C028D4" w:rsidRPr="003A37F3" w:rsidRDefault="00C028D4" w:rsidP="0099103A">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Examples of transactions with related parties that have features that may indicate</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that governments should consider whether a form-over-substance condition exists include:</w:t>
      </w:r>
    </w:p>
    <w:p w14:paraId="6D7E19AA" w14:textId="77777777" w:rsidR="00C028D4" w:rsidRPr="003A37F3" w:rsidRDefault="00C028D4" w:rsidP="00C028D4">
      <w:pPr>
        <w:pStyle w:val="BodyText"/>
        <w:spacing w:before="11"/>
        <w:rPr>
          <w:rFonts w:asciiTheme="minorHAnsi" w:hAnsiTheme="minorHAnsi" w:cstheme="minorHAnsi"/>
          <w:sz w:val="20"/>
          <w:szCs w:val="20"/>
        </w:rPr>
      </w:pPr>
    </w:p>
    <w:p w14:paraId="19AB7C75" w14:textId="77777777"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Borrowing or lending on an interest-free basis or at a rate of interest significantly above or below market rates prevailing at the time of the transaction</w:t>
      </w:r>
    </w:p>
    <w:p w14:paraId="62D244FB" w14:textId="3D17F25C"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Selling real estate at a price that differs significantly from its appraised value</w:t>
      </w:r>
    </w:p>
    <w:p w14:paraId="37AD3F08" w14:textId="77777777"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Exchanging property for similar property in a nonmonetary transaction</w:t>
      </w:r>
    </w:p>
    <w:p w14:paraId="0C57D453" w14:textId="77777777" w:rsidR="00C028D4" w:rsidRPr="003A37F3" w:rsidRDefault="00C028D4" w:rsidP="00C028D4">
      <w:pPr>
        <w:pStyle w:val="ListParagraph"/>
        <w:numPr>
          <w:ilvl w:val="1"/>
          <w:numId w:val="2"/>
        </w:numPr>
        <w:tabs>
          <w:tab w:val="left" w:pos="727"/>
        </w:tabs>
        <w:ind w:right="158"/>
        <w:rPr>
          <w:rFonts w:asciiTheme="minorHAnsi" w:hAnsiTheme="minorHAnsi" w:cstheme="minorHAnsi"/>
          <w:sz w:val="20"/>
          <w:szCs w:val="20"/>
        </w:rPr>
      </w:pPr>
      <w:r w:rsidRPr="003A37F3">
        <w:rPr>
          <w:rFonts w:asciiTheme="minorHAnsi" w:hAnsiTheme="minorHAnsi" w:cstheme="minorHAnsi"/>
          <w:sz w:val="20"/>
          <w:szCs w:val="20"/>
        </w:rPr>
        <w:t>Making</w:t>
      </w:r>
      <w:r w:rsidRPr="003A37F3">
        <w:rPr>
          <w:rFonts w:asciiTheme="minorHAnsi" w:hAnsiTheme="minorHAnsi" w:cstheme="minorHAnsi"/>
          <w:spacing w:val="-6"/>
          <w:sz w:val="20"/>
          <w:szCs w:val="20"/>
        </w:rPr>
        <w:t xml:space="preserve"> </w:t>
      </w:r>
      <w:r w:rsidRPr="003A37F3">
        <w:rPr>
          <w:rFonts w:asciiTheme="minorHAnsi" w:hAnsiTheme="minorHAnsi" w:cstheme="minorHAnsi"/>
          <w:sz w:val="20"/>
          <w:szCs w:val="20"/>
        </w:rPr>
        <w:t>loans with no scheduled</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terms for</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when or how</w:t>
      </w:r>
      <w:r w:rsidRPr="003A37F3">
        <w:rPr>
          <w:rFonts w:asciiTheme="minorHAnsi" w:hAnsiTheme="minorHAnsi" w:cstheme="minorHAnsi"/>
          <w:spacing w:val="-3"/>
          <w:sz w:val="20"/>
          <w:szCs w:val="20"/>
        </w:rPr>
        <w:t xml:space="preserve"> </w:t>
      </w:r>
      <w:r w:rsidRPr="003A37F3">
        <w:rPr>
          <w:rFonts w:asciiTheme="minorHAnsi" w:hAnsiTheme="minorHAnsi" w:cstheme="minorHAnsi"/>
          <w:sz w:val="20"/>
          <w:szCs w:val="20"/>
        </w:rPr>
        <w:t>the</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loans</w:t>
      </w:r>
      <w:r w:rsidRPr="003A37F3">
        <w:rPr>
          <w:rFonts w:asciiTheme="minorHAnsi" w:hAnsiTheme="minorHAnsi" w:cstheme="minorHAnsi"/>
          <w:spacing w:val="-1"/>
          <w:sz w:val="20"/>
          <w:szCs w:val="20"/>
        </w:rPr>
        <w:t xml:space="preserve"> </w:t>
      </w:r>
      <w:r w:rsidRPr="003A37F3">
        <w:rPr>
          <w:rFonts w:asciiTheme="minorHAnsi" w:hAnsiTheme="minorHAnsi" w:cstheme="minorHAnsi"/>
          <w:sz w:val="20"/>
          <w:szCs w:val="20"/>
        </w:rPr>
        <w:t>will be</w:t>
      </w:r>
      <w:r w:rsidRPr="003A37F3">
        <w:rPr>
          <w:rFonts w:asciiTheme="minorHAnsi" w:hAnsiTheme="minorHAnsi" w:cstheme="minorHAnsi"/>
          <w:spacing w:val="-1"/>
          <w:sz w:val="20"/>
          <w:szCs w:val="20"/>
        </w:rPr>
        <w:t xml:space="preserve"> </w:t>
      </w:r>
      <w:r w:rsidRPr="003A37F3">
        <w:rPr>
          <w:rFonts w:asciiTheme="minorHAnsi" w:hAnsiTheme="minorHAnsi" w:cstheme="minorHAnsi"/>
          <w:spacing w:val="-2"/>
          <w:sz w:val="20"/>
          <w:szCs w:val="20"/>
        </w:rPr>
        <w:t>repaid.</w:t>
      </w:r>
    </w:p>
    <w:p w14:paraId="20793365" w14:textId="77777777" w:rsidR="00C028D4" w:rsidRPr="003A37F3" w:rsidRDefault="00C028D4" w:rsidP="0099103A">
      <w:pPr>
        <w:pStyle w:val="NoSpacing"/>
        <w:rPr>
          <w:rFonts w:cstheme="minorHAnsi"/>
          <w:sz w:val="20"/>
          <w:szCs w:val="20"/>
        </w:rPr>
      </w:pPr>
    </w:p>
    <w:p w14:paraId="64B568DB" w14:textId="7595E727" w:rsidR="00C028D4" w:rsidRPr="003A37F3" w:rsidRDefault="00C028D4" w:rsidP="0099103A">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Determining the substance of a related party transaction may pose challenges not present in assessing transactions between unrelated parties. For example, a related party relationship may result in transactions that would not take place between unrelated parties or would be subject to different terms and conditions. In such cases, the substance of the related party transaction may differ from its legal form due to the related party relationship.</w:t>
      </w:r>
    </w:p>
    <w:p w14:paraId="1E84781F" w14:textId="77777777" w:rsidR="00C028D4" w:rsidRPr="003A37F3" w:rsidRDefault="00C028D4" w:rsidP="008E3611">
      <w:pPr>
        <w:pStyle w:val="NoSpacing"/>
        <w:rPr>
          <w:sz w:val="20"/>
          <w:szCs w:val="20"/>
        </w:rPr>
      </w:pPr>
    </w:p>
    <w:p w14:paraId="3C45ACEE" w14:textId="0C6A5702" w:rsidR="004D0B74" w:rsidRPr="003A37F3" w:rsidRDefault="00C028D4" w:rsidP="0099103A">
      <w:pPr>
        <w:pStyle w:val="ListParagraph"/>
        <w:numPr>
          <w:ilvl w:val="0"/>
          <w:numId w:val="2"/>
        </w:numPr>
        <w:tabs>
          <w:tab w:val="left" w:pos="727"/>
        </w:tabs>
        <w:ind w:left="173" w:right="158" w:hanging="547"/>
        <w:rPr>
          <w:rFonts w:asciiTheme="minorHAnsi" w:hAnsiTheme="minorHAnsi" w:cstheme="minorHAnsi"/>
          <w:sz w:val="20"/>
          <w:szCs w:val="20"/>
        </w:rPr>
      </w:pPr>
      <w:r w:rsidRPr="003A37F3">
        <w:rPr>
          <w:rFonts w:asciiTheme="minorHAnsi" w:hAnsiTheme="minorHAnsi" w:cstheme="minorHAnsi"/>
          <w:sz w:val="20"/>
          <w:szCs w:val="20"/>
        </w:rPr>
        <w:t>It may not be possible to determine whether a particular transaction would have taken place if the parties had not been related, or what the terms and conditions would</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have been. Therefore, it may be difficult to determine whether a transaction was consummated on terms comparable to those that would be present in arm’s-length transactions. Furthermore, governments frequently enter into transactions and engage in activities that are driven by societal needs and concern for the ―public good.</w:t>
      </w:r>
      <w:r w:rsidR="0099103A" w:rsidRPr="003A37F3">
        <w:rPr>
          <w:rFonts w:asciiTheme="minorHAnsi" w:hAnsiTheme="minorHAnsi" w:cstheme="minorHAnsi"/>
          <w:sz w:val="20"/>
          <w:szCs w:val="20"/>
        </w:rPr>
        <w:t xml:space="preserve"> </w:t>
      </w:r>
      <w:r w:rsidRPr="003A37F3">
        <w:rPr>
          <w:rFonts w:asciiTheme="minorHAnsi" w:hAnsiTheme="minorHAnsi" w:cstheme="minorHAnsi"/>
          <w:sz w:val="20"/>
          <w:szCs w:val="20"/>
        </w:rPr>
        <w:t xml:space="preserve"> Therefore, it may not be appropriate to compare some governmental programs and arrangements to what might have occurred in an arm’s-length transaction in the private sector or with unrelated parties.</w:t>
      </w:r>
    </w:p>
    <w:p w14:paraId="6698AE88" w14:textId="13406940" w:rsidR="004D0B74" w:rsidRDefault="004D0B74" w:rsidP="00A5037C">
      <w:pPr>
        <w:pStyle w:val="NoSpacing"/>
      </w:pPr>
    </w:p>
    <w:p w14:paraId="0A6C8A33" w14:textId="77777777" w:rsidR="004D0B74" w:rsidRPr="005F5AB9" w:rsidRDefault="004D0B74" w:rsidP="004D0B74">
      <w:pPr>
        <w:pStyle w:val="Heading1"/>
      </w:pPr>
      <w:bookmarkStart w:id="1" w:name="_Toc151889284"/>
      <w:r w:rsidRPr="005F5AB9">
        <w:t>GASB 62</w:t>
      </w:r>
      <w:bookmarkEnd w:id="1"/>
    </w:p>
    <w:p w14:paraId="00FE847F"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Issue Date: December 2010 (financial statement periods beginning after December 15, 2011)</w:t>
      </w:r>
    </w:p>
    <w:p w14:paraId="3F2DB7EE" w14:textId="77777777" w:rsidR="004D0B74" w:rsidRPr="003A37F3" w:rsidRDefault="004D0B74" w:rsidP="004D0B74">
      <w:pPr>
        <w:pStyle w:val="NoSpacing"/>
        <w:rPr>
          <w:sz w:val="20"/>
          <w:szCs w:val="20"/>
        </w:rPr>
      </w:pPr>
    </w:p>
    <w:p w14:paraId="57F5FD5A"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color w:val="auto"/>
          <w:sz w:val="20"/>
          <w:szCs w:val="20"/>
        </w:rPr>
        <w:t>Related Parties</w:t>
      </w:r>
    </w:p>
    <w:p w14:paraId="13054D79" w14:textId="77777777" w:rsidR="004D0B74" w:rsidRPr="003A37F3" w:rsidRDefault="004D0B74" w:rsidP="0093332F">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Paragraphs 54–57 provide guidance on disclosures of transactions between </w:t>
      </w:r>
      <w:r w:rsidRPr="003A37F3">
        <w:rPr>
          <w:rFonts w:asciiTheme="minorHAnsi" w:hAnsiTheme="minorHAnsi" w:cstheme="minorHAnsi"/>
          <w:b/>
          <w:bCs/>
          <w:sz w:val="20"/>
          <w:szCs w:val="20"/>
        </w:rPr>
        <w:t>related parties.</w:t>
      </w:r>
      <w:r w:rsidRPr="003A37F3">
        <w:rPr>
          <w:rFonts w:asciiTheme="minorHAnsi" w:hAnsiTheme="minorHAnsi" w:cstheme="minorHAnsi"/>
          <w:sz w:val="20"/>
          <w:szCs w:val="20"/>
        </w:rPr>
        <w:t xml:space="preserve"> Examples of related party transactions include transactions (a) between a government and its related organizations, joint ventures, and jointly governed organizations; (b) between a government and its elected and appointed officials, </w:t>
      </w:r>
      <w:r w:rsidRPr="003A37F3">
        <w:rPr>
          <w:rFonts w:asciiTheme="minorHAnsi" w:hAnsiTheme="minorHAnsi" w:cstheme="minorHAnsi"/>
          <w:b/>
          <w:bCs/>
          <w:sz w:val="20"/>
          <w:szCs w:val="20"/>
        </w:rPr>
        <w:t xml:space="preserve">management, </w:t>
      </w:r>
      <w:r w:rsidRPr="003A37F3">
        <w:rPr>
          <w:rFonts w:asciiTheme="minorHAnsi" w:hAnsiTheme="minorHAnsi" w:cstheme="minorHAnsi"/>
          <w:sz w:val="20"/>
          <w:szCs w:val="20"/>
        </w:rPr>
        <w:t xml:space="preserve">or members of their </w:t>
      </w:r>
      <w:r w:rsidRPr="003A37F3">
        <w:rPr>
          <w:rFonts w:asciiTheme="minorHAnsi" w:hAnsiTheme="minorHAnsi" w:cstheme="minorHAnsi"/>
          <w:b/>
          <w:bCs/>
          <w:sz w:val="20"/>
          <w:szCs w:val="20"/>
        </w:rPr>
        <w:t xml:space="preserve">immediate families; </w:t>
      </w:r>
      <w:r w:rsidRPr="003A37F3">
        <w:rPr>
          <w:rFonts w:asciiTheme="minorHAnsi" w:hAnsiTheme="minorHAnsi" w:cstheme="minorHAnsi"/>
          <w:sz w:val="20"/>
          <w:szCs w:val="20"/>
        </w:rPr>
        <w:t xml:space="preserve">and (c) between a government and trusts for the benefit of employees, such as pension and other postemployment benefit trusts that are managed by or under the trusteeship of the government’s management. Transactions between related parties commonly occur in the normal course of operations. Some examples of common types of transactions with related parties are sales, purchases, and transfers of realty and personal property; services received or furnished, for example, accounting, management, engineering, and legal services; use of capital assets by lease or otherwise; borrowings and lendings; guarantees; and reimbursements based on allocations of common costs. Transactions between related parties are considered to be related party transactions even though they may not be given accounting recognition. For example, a government may receive services from a related party without charge and not record receipt of the services. </w:t>
      </w:r>
    </w:p>
    <w:p w14:paraId="4D79E463" w14:textId="6B29A9C5" w:rsidR="003A37F3" w:rsidRDefault="003A37F3">
      <w:pPr>
        <w:rPr>
          <w:sz w:val="20"/>
          <w:szCs w:val="20"/>
        </w:rPr>
      </w:pPr>
      <w:r>
        <w:rPr>
          <w:sz w:val="20"/>
          <w:szCs w:val="20"/>
        </w:rPr>
        <w:br w:type="page"/>
      </w:r>
    </w:p>
    <w:p w14:paraId="3862D93C" w14:textId="77777777" w:rsidR="004D0B74" w:rsidRPr="003A37F3" w:rsidRDefault="004D0B74" w:rsidP="008E3611">
      <w:pPr>
        <w:pStyle w:val="NoSpacing"/>
        <w:rPr>
          <w:sz w:val="20"/>
          <w:szCs w:val="20"/>
        </w:rPr>
      </w:pPr>
    </w:p>
    <w:p w14:paraId="583B841A" w14:textId="77777777" w:rsidR="004D0B74" w:rsidRPr="003A37F3" w:rsidRDefault="004D0B74" w:rsidP="004D0B74">
      <w:pPr>
        <w:pStyle w:val="Default"/>
        <w:ind w:firstLine="360"/>
        <w:jc w:val="both"/>
        <w:rPr>
          <w:rFonts w:asciiTheme="minorHAnsi" w:hAnsiTheme="minorHAnsi" w:cstheme="minorHAnsi"/>
          <w:color w:val="auto"/>
          <w:sz w:val="20"/>
          <w:szCs w:val="20"/>
        </w:rPr>
      </w:pPr>
      <w:r w:rsidRPr="003A37F3">
        <w:rPr>
          <w:rFonts w:asciiTheme="minorHAnsi" w:hAnsiTheme="minorHAnsi" w:cstheme="minorHAnsi"/>
          <w:b/>
          <w:bCs/>
          <w:color w:val="auto"/>
          <w:sz w:val="20"/>
          <w:szCs w:val="20"/>
        </w:rPr>
        <w:t>Disclosures</w:t>
      </w:r>
    </w:p>
    <w:p w14:paraId="7E47C6FD" w14:textId="77777777" w:rsidR="004D0B74" w:rsidRPr="003A37F3" w:rsidRDefault="004D0B74" w:rsidP="004D0B74">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Financial statements should include disclosures of related party transactions, other than compensation arrangements, expense/expenditure allowances, and other similar items in the ordinary course of operations. The disclosures should include: </w:t>
      </w:r>
    </w:p>
    <w:p w14:paraId="22A9C72E" w14:textId="77777777" w:rsidR="004D0B74" w:rsidRPr="003A37F3" w:rsidRDefault="004D0B74" w:rsidP="008E3611">
      <w:pPr>
        <w:pStyle w:val="NoSpacing"/>
        <w:rPr>
          <w:sz w:val="20"/>
          <w:szCs w:val="20"/>
        </w:rPr>
      </w:pPr>
    </w:p>
    <w:p w14:paraId="664AFF82"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The nature of the relationship(s) involved </w:t>
      </w:r>
    </w:p>
    <w:p w14:paraId="66390939"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A description of the transactions, including transactions to which no amounts or nominal amounts were ascribed, for each of the periods for which financial statements are presented, and such other information deemed necessary to gain an understanding of the effects of the transactions on the financial statements </w:t>
      </w:r>
    </w:p>
    <w:p w14:paraId="3523B83C"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The dollar amounts of transactions for each of the periods for which financial statements are presented and the effects of any change in the method of establishing the terms from that used in the preceding period </w:t>
      </w:r>
    </w:p>
    <w:p w14:paraId="365F982F" w14:textId="77777777" w:rsidR="004D0B74" w:rsidRPr="003A37F3" w:rsidRDefault="004D0B74" w:rsidP="004D0B74">
      <w:pPr>
        <w:pStyle w:val="Default"/>
        <w:numPr>
          <w:ilvl w:val="1"/>
          <w:numId w:val="3"/>
        </w:numPr>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Amounts due from or to related parties as of the date of each statement of net assets28 presented and, if not otherwise apparent, the terms and manner of settlement. </w:t>
      </w:r>
    </w:p>
    <w:p w14:paraId="0C5E1A5F" w14:textId="77777777" w:rsidR="004D0B74" w:rsidRPr="003A37F3" w:rsidRDefault="004D0B74" w:rsidP="008E3611">
      <w:pPr>
        <w:pStyle w:val="NoSpacing"/>
        <w:rPr>
          <w:sz w:val="20"/>
          <w:szCs w:val="20"/>
        </w:rPr>
      </w:pPr>
    </w:p>
    <w:p w14:paraId="11265314" w14:textId="77777777" w:rsidR="004D0B74" w:rsidRPr="003A37F3" w:rsidRDefault="004D0B74" w:rsidP="004D0B74">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Transactions involving related parties cannot be presumed to be carried out on an arm’s-length basis, as the requisite conditions of competitive, free-market dealings may not exist. Representations about transactions with related parties, if made, should not imply that the related party transactions were consummated on terms equivalent to those that prevail in arm’s-length transactions unless such representations can be substantiated. </w:t>
      </w:r>
    </w:p>
    <w:p w14:paraId="3970638E" w14:textId="77777777" w:rsidR="003A37F3" w:rsidRPr="003A37F3" w:rsidRDefault="003A37F3" w:rsidP="004D0B74">
      <w:pPr>
        <w:pStyle w:val="Default"/>
        <w:jc w:val="both"/>
        <w:rPr>
          <w:rFonts w:asciiTheme="minorHAnsi" w:hAnsiTheme="minorHAnsi" w:cstheme="minorHAnsi"/>
          <w:b/>
          <w:bCs/>
          <w:color w:val="auto"/>
          <w:sz w:val="20"/>
          <w:szCs w:val="20"/>
        </w:rPr>
      </w:pPr>
    </w:p>
    <w:p w14:paraId="7755F546" w14:textId="4329E62F"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color w:val="auto"/>
          <w:sz w:val="20"/>
          <w:szCs w:val="20"/>
        </w:rPr>
        <w:t>Glossary</w:t>
      </w:r>
    </w:p>
    <w:p w14:paraId="37AF7531" w14:textId="77777777" w:rsidR="004D0B74" w:rsidRPr="003A37F3" w:rsidRDefault="004D0B74" w:rsidP="004D0B74">
      <w:pPr>
        <w:pStyle w:val="ListParagraph"/>
        <w:numPr>
          <w:ilvl w:val="0"/>
          <w:numId w:val="3"/>
        </w:numPr>
        <w:rPr>
          <w:rFonts w:asciiTheme="minorHAnsi" w:hAnsiTheme="minorHAnsi" w:cstheme="minorHAnsi"/>
          <w:sz w:val="20"/>
          <w:szCs w:val="20"/>
        </w:rPr>
      </w:pPr>
      <w:r w:rsidRPr="003A37F3">
        <w:rPr>
          <w:rFonts w:asciiTheme="minorHAnsi" w:hAnsiTheme="minorHAnsi" w:cstheme="minorHAnsi"/>
          <w:sz w:val="20"/>
          <w:szCs w:val="20"/>
        </w:rPr>
        <w:t xml:space="preserve">This paragraph contains definitions of certain terms </w:t>
      </w:r>
      <w:r w:rsidRPr="003A37F3">
        <w:rPr>
          <w:rFonts w:asciiTheme="minorHAnsi" w:hAnsiTheme="minorHAnsi" w:cstheme="minorHAnsi"/>
          <w:i/>
          <w:iCs/>
          <w:sz w:val="20"/>
          <w:szCs w:val="20"/>
        </w:rPr>
        <w:t xml:space="preserve">as they are used in paragraphs 54–56; </w:t>
      </w:r>
      <w:r w:rsidRPr="003A37F3">
        <w:rPr>
          <w:rFonts w:asciiTheme="minorHAnsi" w:hAnsiTheme="minorHAnsi" w:cstheme="minorHAnsi"/>
          <w:sz w:val="20"/>
          <w:szCs w:val="20"/>
        </w:rPr>
        <w:t xml:space="preserve">the terms may have different meanings in other contexts. </w:t>
      </w:r>
    </w:p>
    <w:p w14:paraId="612FAEE4" w14:textId="77777777" w:rsidR="004D0B74" w:rsidRPr="003A37F3" w:rsidRDefault="004D0B74" w:rsidP="008E3611">
      <w:pPr>
        <w:pStyle w:val="NoSpacing"/>
        <w:rPr>
          <w:sz w:val="20"/>
          <w:szCs w:val="20"/>
        </w:rPr>
      </w:pPr>
    </w:p>
    <w:p w14:paraId="7D5555B6"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i/>
          <w:iCs/>
          <w:color w:val="auto"/>
          <w:sz w:val="20"/>
          <w:szCs w:val="20"/>
        </w:rPr>
        <w:t>Immediate Family(ies)</w:t>
      </w:r>
    </w:p>
    <w:p w14:paraId="4DC6351B"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Family members whom an elected or appointed official or a member of management might influence or by whom they might be influenced because of the family relationship. </w:t>
      </w:r>
    </w:p>
    <w:p w14:paraId="47F02EBD" w14:textId="77777777" w:rsidR="004D0B74" w:rsidRPr="003A37F3" w:rsidRDefault="004D0B74" w:rsidP="004D0B74">
      <w:pPr>
        <w:pStyle w:val="Default"/>
        <w:jc w:val="both"/>
        <w:rPr>
          <w:rFonts w:asciiTheme="minorHAnsi" w:hAnsiTheme="minorHAnsi" w:cstheme="minorHAnsi"/>
          <w:color w:val="auto"/>
          <w:sz w:val="20"/>
          <w:szCs w:val="20"/>
        </w:rPr>
      </w:pPr>
    </w:p>
    <w:p w14:paraId="643DF202"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i/>
          <w:iCs/>
          <w:color w:val="auto"/>
          <w:sz w:val="20"/>
          <w:szCs w:val="20"/>
        </w:rPr>
        <w:t>Management</w:t>
      </w:r>
    </w:p>
    <w:p w14:paraId="377A1F67"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Persons who are responsible for achieving the objectives of the government and who have the authority to establish policies and make decisions by which those objectives are to be pursued. Management normally includes the chief executive officer (for example, city manager), directors or secretaries in charge of principal government departments or functions (such as service provision administration or finance), and other persons who perform similar policymaking functions. Persons without formal titles also may be members of management. </w:t>
      </w:r>
    </w:p>
    <w:p w14:paraId="631382BD" w14:textId="77777777" w:rsidR="004D0B74" w:rsidRPr="003A37F3" w:rsidRDefault="004D0B74" w:rsidP="008E3611">
      <w:pPr>
        <w:pStyle w:val="NoSpacing"/>
        <w:rPr>
          <w:sz w:val="20"/>
          <w:szCs w:val="20"/>
        </w:rPr>
      </w:pPr>
    </w:p>
    <w:p w14:paraId="7E8B8212" w14:textId="77777777" w:rsidR="004D0B7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b/>
          <w:bCs/>
          <w:i/>
          <w:iCs/>
          <w:color w:val="auto"/>
          <w:sz w:val="20"/>
          <w:szCs w:val="20"/>
        </w:rPr>
        <w:t>Related Parties</w:t>
      </w:r>
    </w:p>
    <w:p w14:paraId="3C9071CB" w14:textId="23A859D5" w:rsidR="00C028D4" w:rsidRPr="003A37F3" w:rsidRDefault="004D0B74" w:rsidP="004D0B74">
      <w:pPr>
        <w:pStyle w:val="Default"/>
        <w:jc w:val="both"/>
        <w:rPr>
          <w:rFonts w:asciiTheme="minorHAnsi" w:hAnsiTheme="minorHAnsi" w:cstheme="minorHAnsi"/>
          <w:color w:val="auto"/>
          <w:sz w:val="20"/>
          <w:szCs w:val="20"/>
        </w:rPr>
      </w:pPr>
      <w:r w:rsidRPr="003A37F3">
        <w:rPr>
          <w:rFonts w:asciiTheme="minorHAnsi" w:hAnsiTheme="minorHAnsi" w:cstheme="minorHAnsi"/>
          <w:color w:val="auto"/>
          <w:sz w:val="20"/>
          <w:szCs w:val="20"/>
        </w:rPr>
        <w:t xml:space="preserve">A government’s related organizations, joint ventures, and jointly governed organizations, as defined in Statement No. 14, </w:t>
      </w:r>
      <w:r w:rsidRPr="003A37F3">
        <w:rPr>
          <w:rFonts w:asciiTheme="minorHAnsi" w:hAnsiTheme="minorHAnsi" w:cstheme="minorHAnsi"/>
          <w:i/>
          <w:iCs/>
          <w:color w:val="auto"/>
          <w:sz w:val="20"/>
          <w:szCs w:val="20"/>
        </w:rPr>
        <w:t xml:space="preserve">The Financial Reporting Entity, </w:t>
      </w:r>
      <w:r w:rsidRPr="003A37F3">
        <w:rPr>
          <w:rFonts w:asciiTheme="minorHAnsi" w:hAnsiTheme="minorHAnsi" w:cstheme="minorHAnsi"/>
          <w:color w:val="auto"/>
          <w:sz w:val="20"/>
          <w:szCs w:val="20"/>
        </w:rPr>
        <w:t>as amended; elected and appointed officials of the government; its management; members of the immediate families of elected or appointed officials of the government and its management; and other parties with which the government may deal if one party can significantly influence the management or operating policies of the other to an extent that one of the transacting parties might be prevented from fully pursuing its own separate interests. Another party also is a related party if it can significantly influence the management or operating policies of the transacting parties (for example, through imposition of will as discussed in Statement 14, as amended) or if it has an ownership interest in one of the transacting parties and can significantly influence the other to an extent that one or more of the transacting parties might be prevented from fully pursuing its own separate interests.</w:t>
      </w:r>
    </w:p>
    <w:sectPr w:rsidR="00C028D4" w:rsidRPr="003A37F3" w:rsidSect="0097676B">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D932" w14:textId="24F93881" w:rsidR="0099103A" w:rsidRDefault="00794D88" w:rsidP="00794D88">
    <w:pPr>
      <w:pStyle w:val="Footer"/>
      <w:tabs>
        <w:tab w:val="clear" w:pos="4680"/>
        <w:tab w:val="clear" w:pos="9360"/>
        <w:tab w:val="right" w:pos="10080"/>
      </w:tabs>
    </w:pPr>
    <w:fldSimple w:instr=" FILENAME   \* MERGEFORMAT ">
      <w:r>
        <w:rPr>
          <w:noProof/>
        </w:rPr>
        <w:t>2024 Survey - Related Party Transactions.docx</w:t>
      </w:r>
    </w:fldSimple>
    <w:r>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fldSimple w:instr=" NUMPAGES   \* MERGEFORMAT ">
      <w:r w:rsidR="0099103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C35" w14:textId="740839D9"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587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r>
      <w:t xml:space="preserve">For </w:t>
    </w:r>
    <w:r w:rsidR="00CF19B1">
      <w:t xml:space="preserve">ACFR </w:t>
    </w:r>
    <w:r w:rsidR="005552CA">
      <w:t>Fiscal Year: 202</w:t>
    </w:r>
    <w:r w:rsidR="00550E25">
      <w:t>5</w:t>
    </w:r>
  </w:p>
  <w:p w14:paraId="0CF9F799" w14:textId="6617DDD0" w:rsidR="00BD20B0" w:rsidRDefault="004B730F" w:rsidP="004B730F">
    <w:pPr>
      <w:pStyle w:val="Header"/>
      <w:tabs>
        <w:tab w:val="clear" w:pos="4680"/>
        <w:tab w:val="clear" w:pos="9360"/>
        <w:tab w:val="left" w:pos="1080"/>
        <w:tab w:val="right" w:pos="10080"/>
      </w:tabs>
    </w:pPr>
    <w:r>
      <w:tab/>
    </w:r>
    <w:r w:rsidR="00BD20B0">
      <w:t>RELATED PARTY TRANSACTIONS</w:t>
    </w:r>
    <w:r w:rsidR="0007731F">
      <w:t xml:space="preserve">                                                                            Due Date: 9/1/2025</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D62"/>
    <w:multiLevelType w:val="multilevel"/>
    <w:tmpl w:val="BA4C6640"/>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b w:val="0"/>
        <w:bCs w:val="0"/>
        <w:i w:val="0"/>
        <w:iCs w:val="0"/>
        <w:spacing w:val="-1"/>
        <w:w w:val="100"/>
        <w:sz w:val="20"/>
        <w:szCs w:val="20"/>
        <w:lang w:val="en-US" w:eastAsia="en-US" w:bidi="ar-S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BE6238"/>
    <w:multiLevelType w:val="hybridMultilevel"/>
    <w:tmpl w:val="DDCA24E2"/>
    <w:lvl w:ilvl="0" w:tplc="82FEE800">
      <w:start w:val="4"/>
      <w:numFmt w:val="decimal"/>
      <w:lvlText w:val="%1."/>
      <w:lvlJc w:val="left"/>
      <w:pPr>
        <w:ind w:left="180" w:hanging="548"/>
        <w:jc w:val="left"/>
      </w:pPr>
      <w:rPr>
        <w:rFonts w:asciiTheme="minorHAnsi" w:eastAsia="Times New Roman" w:hAnsiTheme="minorHAnsi" w:cstheme="minorHAnsi" w:hint="default"/>
        <w:b w:val="0"/>
        <w:bCs w:val="0"/>
        <w:i w:val="0"/>
        <w:iCs w:val="0"/>
        <w:spacing w:val="0"/>
        <w:w w:val="100"/>
        <w:sz w:val="20"/>
        <w:szCs w:val="20"/>
        <w:lang w:val="en-US" w:eastAsia="en-US" w:bidi="ar-SA"/>
      </w:rPr>
    </w:lvl>
    <w:lvl w:ilvl="1" w:tplc="7E3A033A">
      <w:start w:val="1"/>
      <w:numFmt w:val="lowerLetter"/>
      <w:lvlText w:val="%2."/>
      <w:lvlJc w:val="left"/>
      <w:pPr>
        <w:ind w:left="727" w:hanging="548"/>
        <w:jc w:val="left"/>
      </w:pPr>
      <w:rPr>
        <w:rFonts w:asciiTheme="minorHAnsi" w:eastAsia="Times New Roman" w:hAnsiTheme="minorHAnsi" w:cstheme="minorHAnsi" w:hint="default"/>
        <w:b w:val="0"/>
        <w:bCs w:val="0"/>
        <w:i w:val="0"/>
        <w:iCs w:val="0"/>
        <w:spacing w:val="-1"/>
        <w:w w:val="100"/>
        <w:sz w:val="20"/>
        <w:szCs w:val="20"/>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2" w15:restartNumberingAfterBreak="0">
    <w:nsid w:val="55380ACE"/>
    <w:multiLevelType w:val="multilevel"/>
    <w:tmpl w:val="08C846B4"/>
    <w:lvl w:ilvl="0">
      <w:start w:val="1"/>
      <w:numFmt w:val="decimal"/>
      <w:pStyle w:val="Level1"/>
      <w:lvlText w:val="%1."/>
      <w:lvlJc w:val="left"/>
      <w:pPr>
        <w:ind w:left="360" w:hanging="360"/>
      </w:pPr>
      <w:rPr>
        <w:color w:val="E36C0A" w:themeColor="accent6" w:themeShade="BF"/>
      </w:rPr>
    </w:lvl>
    <w:lvl w:ilvl="1">
      <w:start w:val="1"/>
      <w:numFmt w:val="decimal"/>
      <w:lvlText w:val="%1.%2."/>
      <w:lvlJc w:val="left"/>
      <w:pPr>
        <w:ind w:left="792" w:hanging="432"/>
      </w:pPr>
      <w:rPr>
        <w:b/>
        <w:bCs/>
        <w:color w:val="E36C0A" w:themeColor="accent6" w:themeShade="BF"/>
      </w:rPr>
    </w:lvl>
    <w:lvl w:ilvl="2">
      <w:start w:val="1"/>
      <w:numFmt w:val="decimal"/>
      <w:lvlText w:val="%1.%2.%3."/>
      <w:lvlJc w:val="left"/>
      <w:pPr>
        <w:ind w:left="1224" w:hanging="504"/>
      </w:pPr>
      <w:rPr>
        <w:b/>
        <w:bCs/>
        <w:color w:val="E36C0A" w:themeColor="accent6"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0094172">
    <w:abstractNumId w:val="2"/>
  </w:num>
  <w:num w:numId="2" w16cid:durableId="1530606529">
    <w:abstractNumId w:val="1"/>
  </w:num>
  <w:num w:numId="3" w16cid:durableId="33530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005F0B"/>
    <w:rsid w:val="0007731F"/>
    <w:rsid w:val="001A5FDF"/>
    <w:rsid w:val="002273A5"/>
    <w:rsid w:val="00297ED8"/>
    <w:rsid w:val="002B6672"/>
    <w:rsid w:val="00365507"/>
    <w:rsid w:val="003A37F3"/>
    <w:rsid w:val="003B1E8F"/>
    <w:rsid w:val="003D2190"/>
    <w:rsid w:val="0046096A"/>
    <w:rsid w:val="004B730F"/>
    <w:rsid w:val="004D0B74"/>
    <w:rsid w:val="004E33AA"/>
    <w:rsid w:val="004E6863"/>
    <w:rsid w:val="00541009"/>
    <w:rsid w:val="00550E25"/>
    <w:rsid w:val="005552CA"/>
    <w:rsid w:val="006127BD"/>
    <w:rsid w:val="006136FC"/>
    <w:rsid w:val="00624456"/>
    <w:rsid w:val="0071029A"/>
    <w:rsid w:val="00794D88"/>
    <w:rsid w:val="00823196"/>
    <w:rsid w:val="008A7265"/>
    <w:rsid w:val="008E3611"/>
    <w:rsid w:val="00913E62"/>
    <w:rsid w:val="0093332F"/>
    <w:rsid w:val="00944961"/>
    <w:rsid w:val="00971013"/>
    <w:rsid w:val="0097676B"/>
    <w:rsid w:val="0099103A"/>
    <w:rsid w:val="00A5037C"/>
    <w:rsid w:val="00BA593B"/>
    <w:rsid w:val="00BD20B0"/>
    <w:rsid w:val="00C028D4"/>
    <w:rsid w:val="00C0776B"/>
    <w:rsid w:val="00C42E74"/>
    <w:rsid w:val="00C61489"/>
    <w:rsid w:val="00C80CDB"/>
    <w:rsid w:val="00CF19B1"/>
    <w:rsid w:val="00D01111"/>
    <w:rsid w:val="00E41405"/>
    <w:rsid w:val="00E84E33"/>
    <w:rsid w:val="00EA169F"/>
    <w:rsid w:val="00EA454C"/>
    <w:rsid w:val="00EC7063"/>
    <w:rsid w:val="00EF13B8"/>
    <w:rsid w:val="00FB2308"/>
    <w:rsid w:val="00FB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6FC"/>
    <w:rPr>
      <w:color w:val="0000FF" w:themeColor="hyperlink"/>
      <w:u w:val="single"/>
    </w:rPr>
  </w:style>
  <w:style w:type="character" w:styleId="FollowedHyperlink">
    <w:name w:val="FollowedHyperlink"/>
    <w:basedOn w:val="DefaultParagraphFont"/>
    <w:uiPriority w:val="99"/>
    <w:semiHidden/>
    <w:unhideWhenUsed/>
    <w:rsid w:val="00613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i.lascko@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8227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2025-06-09T14:42:00Z</dcterms:created>
  <dcterms:modified xsi:type="dcterms:W3CDTF">2025-06-09T14:42:00Z</dcterms:modified>
</cp:coreProperties>
</file>