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DE9AD5" w14:textId="77777777" w:rsidR="00CE0073" w:rsidRDefault="00CE0073" w:rsidP="00AE03D7">
      <w:pPr>
        <w:pStyle w:val="NoSpacing"/>
      </w:pPr>
    </w:p>
    <w:p w14:paraId="7B6BF1EF" w14:textId="77777777" w:rsidR="00CE0073" w:rsidRDefault="00CE0073" w:rsidP="00AE03D7">
      <w:pPr>
        <w:pStyle w:val="NoSpacing"/>
        <w:rPr>
          <w:sz w:val="24"/>
          <w:szCs w:val="24"/>
        </w:rPr>
      </w:pPr>
    </w:p>
    <w:p w14:paraId="7193DD09" w14:textId="0DAE8689" w:rsidR="00AE03D7" w:rsidRPr="00CE0073" w:rsidRDefault="00CE0073" w:rsidP="00AE03D7">
      <w:pPr>
        <w:pStyle w:val="NoSpacing"/>
        <w:rPr>
          <w:sz w:val="24"/>
          <w:szCs w:val="24"/>
        </w:rPr>
      </w:pPr>
      <w:r w:rsidRPr="00CE0073">
        <w:rPr>
          <w:sz w:val="24"/>
          <w:szCs w:val="24"/>
        </w:rPr>
        <w:t>October 6, 2024</w:t>
      </w:r>
    </w:p>
    <w:p w14:paraId="334F3E23" w14:textId="77777777" w:rsidR="00CE0073" w:rsidRDefault="00CE0073" w:rsidP="008B57A4">
      <w:pPr>
        <w:rPr>
          <w:rFonts w:ascii="Calibri" w:hAnsi="Calibri" w:cs="Calibri"/>
        </w:rPr>
      </w:pPr>
    </w:p>
    <w:p w14:paraId="07BAD3E8" w14:textId="6ED9C45E" w:rsidR="008B57A4" w:rsidRPr="008D5C94" w:rsidRDefault="008B57A4" w:rsidP="008B57A4">
      <w:pPr>
        <w:rPr>
          <w:rFonts w:ascii="Calibri" w:hAnsi="Calibri" w:cs="Calibri"/>
        </w:rPr>
      </w:pPr>
      <w:r w:rsidRPr="008D5C94">
        <w:rPr>
          <w:rFonts w:ascii="Calibri" w:hAnsi="Calibri" w:cs="Calibri"/>
        </w:rPr>
        <w:t xml:space="preserve">Attn: </w:t>
      </w:r>
      <w:r>
        <w:rPr>
          <w:rFonts w:ascii="Calibri" w:hAnsi="Calibri" w:cs="Calibri"/>
        </w:rPr>
        <w:t xml:space="preserve">Meg </w:t>
      </w:r>
      <w:proofErr w:type="spellStart"/>
      <w:r>
        <w:rPr>
          <w:rFonts w:ascii="Calibri" w:hAnsi="Calibri" w:cs="Calibri"/>
        </w:rPr>
        <w:t>Garrat</w:t>
      </w:r>
      <w:proofErr w:type="spellEnd"/>
      <w:r>
        <w:rPr>
          <w:rFonts w:ascii="Calibri" w:hAnsi="Calibri" w:cs="Calibri"/>
        </w:rPr>
        <w:t>-Reed</w:t>
      </w:r>
    </w:p>
    <w:p w14:paraId="2560122C" w14:textId="684309BF" w:rsidR="008B57A4" w:rsidRDefault="008B57A4" w:rsidP="008B57A4">
      <w:pPr>
        <w:rPr>
          <w:rFonts w:ascii="Calibri" w:hAnsi="Calibri" w:cs="Calibri"/>
        </w:rPr>
      </w:pPr>
      <w:r>
        <w:rPr>
          <w:rFonts w:ascii="Calibri" w:hAnsi="Calibri" w:cs="Calibri"/>
        </w:rPr>
        <w:t>Office of Affordable Health Care</w:t>
      </w:r>
      <w:r w:rsidRPr="008D5C94">
        <w:rPr>
          <w:rFonts w:ascii="Calibri" w:hAnsi="Calibri" w:cs="Calibri"/>
        </w:rPr>
        <w:t xml:space="preserve"> </w:t>
      </w:r>
      <w:r w:rsidRPr="008D5C94">
        <w:rPr>
          <w:rFonts w:ascii="Calibri" w:hAnsi="Calibri" w:cs="Calibri"/>
        </w:rPr>
        <w:br/>
      </w:r>
      <w:hyperlink r:id="rId12" w:history="1">
        <w:r w:rsidR="00CE0073" w:rsidRPr="00DF3FCF">
          <w:rPr>
            <w:rStyle w:val="Hyperlink"/>
          </w:rPr>
          <w:t>Meg.garratt-reed@maine.gov</w:t>
        </w:r>
      </w:hyperlink>
    </w:p>
    <w:p w14:paraId="71A5DFDF" w14:textId="77777777" w:rsidR="008B57A4" w:rsidRPr="008D5C94" w:rsidRDefault="008B57A4" w:rsidP="008B57A4">
      <w:pPr>
        <w:rPr>
          <w:rFonts w:ascii="Calibri" w:hAnsi="Calibri" w:cs="Calibri"/>
        </w:rPr>
      </w:pPr>
    </w:p>
    <w:p w14:paraId="038A6F91" w14:textId="0F67C5BB" w:rsidR="008B57A4" w:rsidRPr="008D5C94" w:rsidRDefault="008B57A4" w:rsidP="008B57A4">
      <w:pPr>
        <w:rPr>
          <w:rFonts w:ascii="Calibri" w:hAnsi="Calibri" w:cs="Calibri"/>
        </w:rPr>
      </w:pPr>
      <w:r w:rsidRPr="008D5C94">
        <w:rPr>
          <w:rFonts w:ascii="Calibri" w:hAnsi="Calibri" w:cs="Calibri"/>
          <w:b/>
          <w:bCs/>
        </w:rPr>
        <w:t xml:space="preserve">Re: Comments </w:t>
      </w:r>
      <w:r w:rsidR="001E0609">
        <w:rPr>
          <w:rFonts w:ascii="Calibri" w:hAnsi="Calibri" w:cs="Calibri"/>
          <w:b/>
          <w:bCs/>
        </w:rPr>
        <w:t xml:space="preserve">on the Office of Affordable Health Care 2023 Public Hearing </w:t>
      </w:r>
    </w:p>
    <w:p w14:paraId="4FE7A72A" w14:textId="0504DA71" w:rsidR="00AE03D7" w:rsidRDefault="00AE03D7" w:rsidP="00AE03D7">
      <w:pPr>
        <w:pStyle w:val="NoSpacing"/>
      </w:pPr>
    </w:p>
    <w:p w14:paraId="64F8A7F4" w14:textId="21AB2DCF" w:rsidR="00CE0073" w:rsidRDefault="00CE0073" w:rsidP="50C777EA">
      <w:pPr>
        <w:pStyle w:val="NormalWeb"/>
        <w:rPr>
          <w:rFonts w:ascii="Calibri" w:hAnsi="Calibri"/>
        </w:rPr>
      </w:pPr>
      <w:r>
        <w:rPr>
          <w:rFonts w:ascii="Calibri" w:hAnsi="Calibri"/>
        </w:rPr>
        <w:t xml:space="preserve">Dear Ms. </w:t>
      </w:r>
      <w:proofErr w:type="spellStart"/>
      <w:r>
        <w:rPr>
          <w:rFonts w:ascii="Calibri" w:hAnsi="Calibri"/>
        </w:rPr>
        <w:t>Garrat</w:t>
      </w:r>
      <w:proofErr w:type="spellEnd"/>
      <w:r>
        <w:rPr>
          <w:rFonts w:ascii="Calibri" w:hAnsi="Calibri"/>
        </w:rPr>
        <w:t xml:space="preserve">-Reed, </w:t>
      </w:r>
    </w:p>
    <w:p w14:paraId="00BA627C" w14:textId="4E2A7D6F" w:rsidR="50C777EA" w:rsidRPr="004E15F8" w:rsidRDefault="00E048DA" w:rsidP="50C777EA">
      <w:pPr>
        <w:pStyle w:val="NormalWeb"/>
        <w:rPr>
          <w:rFonts w:ascii="Calibri" w:hAnsi="Calibri"/>
        </w:rPr>
      </w:pPr>
      <w:r w:rsidRPr="004E15F8">
        <w:rPr>
          <w:rFonts w:ascii="Calibri" w:hAnsi="Calibri"/>
        </w:rPr>
        <w:t>T</w:t>
      </w:r>
      <w:r w:rsidR="00887484" w:rsidRPr="004E15F8">
        <w:rPr>
          <w:rFonts w:ascii="Calibri" w:hAnsi="Calibri"/>
        </w:rPr>
        <w:t>hank you for the opportunity to submit these comments regarding</w:t>
      </w:r>
      <w:r w:rsidR="005A5FCB" w:rsidRPr="004E15F8">
        <w:rPr>
          <w:rFonts w:ascii="Calibri" w:hAnsi="Calibri"/>
          <w:b/>
        </w:rPr>
        <w:t xml:space="preserve"> </w:t>
      </w:r>
      <w:r w:rsidR="005A5FCB" w:rsidRPr="004E15F8">
        <w:rPr>
          <w:rFonts w:ascii="Calibri" w:hAnsi="Calibri"/>
        </w:rPr>
        <w:t>affordability barriers</w:t>
      </w:r>
      <w:r w:rsidR="00CE0073">
        <w:rPr>
          <w:rFonts w:ascii="Calibri" w:hAnsi="Calibri"/>
        </w:rPr>
        <w:t xml:space="preserve"> </w:t>
      </w:r>
      <w:r w:rsidR="005A5FCB" w:rsidRPr="004E15F8">
        <w:rPr>
          <w:rFonts w:ascii="Calibri" w:hAnsi="Calibri"/>
        </w:rPr>
        <w:t xml:space="preserve">Mainers face in accessing the health care and coverage they need. </w:t>
      </w:r>
    </w:p>
    <w:p w14:paraId="3AFC494E" w14:textId="58805E28" w:rsidR="0768532F" w:rsidRDefault="00887484" w:rsidP="00991DEC">
      <w:pPr>
        <w:pStyle w:val="NormalWeb"/>
        <w:rPr>
          <w:rFonts w:ascii="Calibri" w:hAnsi="Calibri" w:cs="Calibri"/>
        </w:rPr>
      </w:pPr>
      <w:r w:rsidRPr="004E15F8">
        <w:rPr>
          <w:rFonts w:ascii="Calibri" w:hAnsi="Calibri"/>
        </w:rPr>
        <w:t>C</w:t>
      </w:r>
      <w:r w:rsidR="00195F24" w:rsidRPr="004E15F8">
        <w:rPr>
          <w:rFonts w:ascii="Calibri" w:hAnsi="Calibri"/>
        </w:rPr>
        <w:t xml:space="preserve">onsumers for Affordable Health Care (CAHC) </w:t>
      </w:r>
      <w:r w:rsidRPr="004E15F8">
        <w:rPr>
          <w:rFonts w:ascii="Calibri" w:hAnsi="Calibri"/>
        </w:rPr>
        <w:t xml:space="preserve">is designated by Maine’s Attorney General as Maine’s Health Insurance Consumer Assistance Program (CAP). The CAP program provides toll-free and in-person access to certified application counselors and trained individuals who help Mainers understand their health coverage options and apply and enroll in private health insurance. The </w:t>
      </w:r>
      <w:r w:rsidR="00872DA7" w:rsidRPr="004E15F8">
        <w:rPr>
          <w:rFonts w:ascii="Calibri" w:hAnsi="Calibri"/>
        </w:rPr>
        <w:t xml:space="preserve">CAP </w:t>
      </w:r>
      <w:r w:rsidRPr="004E15F8">
        <w:rPr>
          <w:rFonts w:ascii="Calibri" w:hAnsi="Calibri"/>
        </w:rPr>
        <w:t>program also provides</w:t>
      </w:r>
      <w:r w:rsidR="00872DA7" w:rsidRPr="004E15F8">
        <w:rPr>
          <w:rFonts w:ascii="Calibri" w:hAnsi="Calibri"/>
        </w:rPr>
        <w:t xml:space="preserve"> </w:t>
      </w:r>
      <w:r w:rsidR="00A64FCD" w:rsidRPr="004E15F8">
        <w:rPr>
          <w:rFonts w:ascii="Calibri" w:hAnsi="Calibri"/>
        </w:rPr>
        <w:t>Mainers</w:t>
      </w:r>
      <w:r w:rsidRPr="004E15F8">
        <w:rPr>
          <w:rFonts w:ascii="Calibri" w:hAnsi="Calibri"/>
        </w:rPr>
        <w:t xml:space="preserve"> assistance </w:t>
      </w:r>
      <w:r w:rsidR="00A64FCD" w:rsidRPr="004E15F8">
        <w:rPr>
          <w:rFonts w:ascii="Calibri" w:hAnsi="Calibri"/>
        </w:rPr>
        <w:t xml:space="preserve">with </w:t>
      </w:r>
      <w:r w:rsidRPr="004E15F8">
        <w:rPr>
          <w:rFonts w:ascii="Calibri" w:hAnsi="Calibri"/>
        </w:rPr>
        <w:t xml:space="preserve">appealing inappropriate health insurance </w:t>
      </w:r>
      <w:r w:rsidR="00872DA7" w:rsidRPr="004E15F8">
        <w:rPr>
          <w:rFonts w:ascii="Calibri" w:hAnsi="Calibri"/>
        </w:rPr>
        <w:t>denials</w:t>
      </w:r>
      <w:r w:rsidR="001300D4">
        <w:rPr>
          <w:rFonts w:ascii="Calibri" w:hAnsi="Calibri"/>
        </w:rPr>
        <w:t>,</w:t>
      </w:r>
      <w:r w:rsidR="00872DA7" w:rsidRPr="004E15F8">
        <w:rPr>
          <w:rFonts w:ascii="Calibri" w:hAnsi="Calibri"/>
        </w:rPr>
        <w:t xml:space="preserve"> and </w:t>
      </w:r>
      <w:r w:rsidR="001300D4">
        <w:rPr>
          <w:rFonts w:ascii="Calibri" w:hAnsi="Calibri"/>
        </w:rPr>
        <w:t xml:space="preserve">it </w:t>
      </w:r>
      <w:r w:rsidR="00E9567D" w:rsidRPr="004E15F8">
        <w:rPr>
          <w:rFonts w:ascii="Calibri" w:hAnsi="Calibri"/>
        </w:rPr>
        <w:t>also</w:t>
      </w:r>
      <w:r w:rsidR="00C87B39" w:rsidRPr="004E15F8">
        <w:rPr>
          <w:rFonts w:ascii="Calibri" w:hAnsi="Calibri"/>
        </w:rPr>
        <w:t xml:space="preserve"> helps connect</w:t>
      </w:r>
      <w:r w:rsidRPr="004E15F8">
        <w:rPr>
          <w:rFonts w:ascii="Calibri" w:hAnsi="Calibri"/>
        </w:rPr>
        <w:t xml:space="preserve"> people </w:t>
      </w:r>
      <w:r w:rsidR="00C87B39" w:rsidRPr="004E15F8">
        <w:rPr>
          <w:rFonts w:ascii="Calibri" w:hAnsi="Calibri"/>
        </w:rPr>
        <w:t>with</w:t>
      </w:r>
      <w:r w:rsidR="007057C2">
        <w:rPr>
          <w:rFonts w:ascii="Calibri" w:hAnsi="Calibri"/>
        </w:rPr>
        <w:t xml:space="preserve"> available</w:t>
      </w:r>
      <w:r w:rsidR="00C87B39" w:rsidRPr="004E15F8">
        <w:rPr>
          <w:rFonts w:ascii="Calibri" w:hAnsi="Calibri"/>
        </w:rPr>
        <w:t xml:space="preserve"> non-insurance </w:t>
      </w:r>
      <w:r w:rsidRPr="004E15F8">
        <w:rPr>
          <w:rFonts w:ascii="Calibri" w:hAnsi="Calibri"/>
        </w:rPr>
        <w:t>safety net programs, to meet</w:t>
      </w:r>
      <w:r w:rsidR="007057C2">
        <w:rPr>
          <w:rFonts w:ascii="Calibri" w:hAnsi="Calibri"/>
        </w:rPr>
        <w:t xml:space="preserve"> their</w:t>
      </w:r>
      <w:r w:rsidRPr="004E15F8">
        <w:rPr>
          <w:rFonts w:ascii="Calibri" w:hAnsi="Calibri"/>
        </w:rPr>
        <w:t xml:space="preserve"> health care and other basic needs. </w:t>
      </w:r>
      <w:r w:rsidRPr="004E15F8">
        <w:rPr>
          <w:rFonts w:ascii="Calibri" w:hAnsi="Calibri" w:cs="Calibri"/>
        </w:rPr>
        <w:t>CAHC also serves as the Ombudsman program for Maine’s Medicaid program, MaineCare, and helps people with applying for and navigat</w:t>
      </w:r>
      <w:r w:rsidR="007057C2">
        <w:rPr>
          <w:rFonts w:ascii="Calibri" w:hAnsi="Calibri" w:cs="Calibri"/>
        </w:rPr>
        <w:t>e</w:t>
      </w:r>
      <w:r w:rsidRPr="004E15F8">
        <w:rPr>
          <w:rFonts w:ascii="Calibri" w:hAnsi="Calibri" w:cs="Calibri"/>
        </w:rPr>
        <w:t xml:space="preserve"> the enrollment process for MaineCare coverage</w:t>
      </w:r>
      <w:r w:rsidRPr="004E15F8">
        <w:rPr>
          <w:rFonts w:ascii="Calibri" w:hAnsi="Calibri"/>
        </w:rPr>
        <w:t>. It is from our experience assisting Mainers in navigating health coverage programs</w:t>
      </w:r>
      <w:r w:rsidR="002B5825" w:rsidRPr="004E15F8">
        <w:rPr>
          <w:rFonts w:ascii="Calibri" w:hAnsi="Calibri" w:cs="Calibri"/>
        </w:rPr>
        <w:t>,</w:t>
      </w:r>
      <w:r w:rsidR="00354A2B" w:rsidRPr="004E15F8">
        <w:rPr>
          <w:rFonts w:ascii="Calibri" w:hAnsi="Calibri" w:cs="Calibri"/>
        </w:rPr>
        <w:t xml:space="preserve"> along with information</w:t>
      </w:r>
      <w:r w:rsidR="00010A25" w:rsidRPr="004E15F8">
        <w:rPr>
          <w:rFonts w:ascii="Calibri" w:hAnsi="Calibri" w:cs="Calibri"/>
        </w:rPr>
        <w:t xml:space="preserve"> </w:t>
      </w:r>
      <w:r w:rsidR="006E0402" w:rsidRPr="004E15F8">
        <w:rPr>
          <w:rFonts w:ascii="Calibri" w:hAnsi="Calibri" w:cs="Calibri"/>
        </w:rPr>
        <w:t xml:space="preserve">from </w:t>
      </w:r>
      <w:r w:rsidR="006964D9" w:rsidRPr="004E15F8">
        <w:rPr>
          <w:rFonts w:ascii="Calibri" w:hAnsi="Calibri" w:cs="Calibri"/>
        </w:rPr>
        <w:t>a</w:t>
      </w:r>
      <w:r w:rsidRPr="004E15F8">
        <w:rPr>
          <w:rFonts w:ascii="Calibri" w:hAnsi="Calibri" w:cs="Calibri"/>
        </w:rPr>
        <w:t xml:space="preserve"> </w:t>
      </w:r>
      <w:r w:rsidR="006964D9" w:rsidRPr="004E15F8">
        <w:rPr>
          <w:rFonts w:ascii="Calibri" w:hAnsi="Calibri" w:cs="Calibri"/>
        </w:rPr>
        <w:t>survey of Maine</w:t>
      </w:r>
      <w:r w:rsidR="002E2F2E" w:rsidRPr="004E15F8">
        <w:rPr>
          <w:rFonts w:ascii="Calibri" w:hAnsi="Calibri" w:cs="Calibri"/>
        </w:rPr>
        <w:t xml:space="preserve"> peo</w:t>
      </w:r>
      <w:r w:rsidR="006E0402" w:rsidRPr="004E15F8">
        <w:rPr>
          <w:rFonts w:ascii="Calibri" w:hAnsi="Calibri" w:cs="Calibri"/>
        </w:rPr>
        <w:t xml:space="preserve">ple </w:t>
      </w:r>
      <w:r w:rsidR="006964D9" w:rsidRPr="004E15F8">
        <w:rPr>
          <w:rFonts w:ascii="Calibri" w:hAnsi="Calibri" w:cs="Calibri"/>
        </w:rPr>
        <w:t>regarding</w:t>
      </w:r>
      <w:r w:rsidR="00A8118D" w:rsidRPr="004E15F8">
        <w:rPr>
          <w:rFonts w:ascii="Calibri" w:hAnsi="Calibri" w:cs="Calibri"/>
        </w:rPr>
        <w:t xml:space="preserve"> their experiences accessing and paying for</w:t>
      </w:r>
      <w:r w:rsidR="006964D9" w:rsidRPr="004E15F8">
        <w:rPr>
          <w:rFonts w:ascii="Calibri" w:hAnsi="Calibri" w:cs="Calibri"/>
        </w:rPr>
        <w:t xml:space="preserve"> health care</w:t>
      </w:r>
      <w:r w:rsidR="00A8118D" w:rsidRPr="004E15F8">
        <w:rPr>
          <w:rFonts w:ascii="Calibri" w:hAnsi="Calibri" w:cs="Calibri"/>
        </w:rPr>
        <w:t xml:space="preserve"> and coverage in Maine, </w:t>
      </w:r>
      <w:r w:rsidRPr="004E15F8">
        <w:rPr>
          <w:rFonts w:ascii="Calibri" w:hAnsi="Calibri"/>
        </w:rPr>
        <w:t>that we offer the following comments.</w:t>
      </w:r>
      <w:r w:rsidR="00A309AC" w:rsidRPr="004E15F8">
        <w:rPr>
          <w:rStyle w:val="FootnoteReference"/>
          <w:rFonts w:ascii="Calibri" w:hAnsi="Calibri"/>
        </w:rPr>
        <w:footnoteReference w:id="2"/>
      </w:r>
      <w:r w:rsidRPr="004E15F8">
        <w:rPr>
          <w:rFonts w:ascii="Calibri" w:hAnsi="Calibri" w:cs="Calibri"/>
        </w:rPr>
        <w:t xml:space="preserve"> </w:t>
      </w:r>
    </w:p>
    <w:p w14:paraId="634AFF19" w14:textId="60920D73" w:rsidR="00822E6C" w:rsidRPr="00822E6C" w:rsidRDefault="008F7F63" w:rsidP="00822E6C">
      <w:pPr>
        <w:pStyle w:val="NormalWeb"/>
        <w:rPr>
          <w:rFonts w:ascii="Calibri" w:hAnsi="Calibri"/>
        </w:rPr>
      </w:pPr>
      <w:r>
        <w:rPr>
          <w:rFonts w:ascii="Calibri" w:hAnsi="Calibri"/>
        </w:rPr>
        <w:t>First, we would like to</w:t>
      </w:r>
      <w:r w:rsidR="00822E6C" w:rsidRPr="00822E6C">
        <w:rPr>
          <w:rFonts w:ascii="Calibri" w:hAnsi="Calibri"/>
        </w:rPr>
        <w:t xml:space="preserve"> </w:t>
      </w:r>
      <w:r w:rsidRPr="00822E6C">
        <w:rPr>
          <w:rFonts w:ascii="Calibri" w:hAnsi="Calibri"/>
        </w:rPr>
        <w:t>acknowledge</w:t>
      </w:r>
      <w:r w:rsidR="00822E6C" w:rsidRPr="00822E6C">
        <w:rPr>
          <w:rFonts w:ascii="Calibri" w:hAnsi="Calibri"/>
        </w:rPr>
        <w:t xml:space="preserve"> the</w:t>
      </w:r>
      <w:r w:rsidR="00D41148">
        <w:rPr>
          <w:rFonts w:ascii="Calibri" w:hAnsi="Calibri"/>
        </w:rPr>
        <w:t xml:space="preserve"> many</w:t>
      </w:r>
      <w:r w:rsidR="00822E6C" w:rsidRPr="00822E6C">
        <w:rPr>
          <w:rFonts w:ascii="Calibri" w:hAnsi="Calibri"/>
        </w:rPr>
        <w:t xml:space="preserve"> steps </w:t>
      </w:r>
      <w:r w:rsidR="007057C2">
        <w:rPr>
          <w:rFonts w:ascii="Calibri" w:hAnsi="Calibri"/>
        </w:rPr>
        <w:t xml:space="preserve">that </w:t>
      </w:r>
      <w:r w:rsidR="00822E6C" w:rsidRPr="00822E6C">
        <w:rPr>
          <w:rFonts w:ascii="Calibri" w:hAnsi="Calibri"/>
        </w:rPr>
        <w:t>Governor</w:t>
      </w:r>
      <w:r>
        <w:rPr>
          <w:rFonts w:ascii="Calibri" w:hAnsi="Calibri"/>
        </w:rPr>
        <w:t xml:space="preserve"> Mills and</w:t>
      </w:r>
      <w:r w:rsidR="00822E6C" w:rsidRPr="00822E6C">
        <w:rPr>
          <w:rFonts w:ascii="Calibri" w:hAnsi="Calibri"/>
        </w:rPr>
        <w:t xml:space="preserve"> Maine policy makers have taken </w:t>
      </w:r>
      <w:r w:rsidR="005B58E2">
        <w:rPr>
          <w:rFonts w:ascii="Calibri" w:hAnsi="Calibri"/>
        </w:rPr>
        <w:t xml:space="preserve">in recent years </w:t>
      </w:r>
      <w:r w:rsidR="00822E6C" w:rsidRPr="00822E6C">
        <w:rPr>
          <w:rFonts w:ascii="Calibri" w:hAnsi="Calibri"/>
        </w:rPr>
        <w:t>to improve access to coverage and care in our state</w:t>
      </w:r>
      <w:r w:rsidR="00BA732B">
        <w:rPr>
          <w:rFonts w:ascii="Calibri" w:hAnsi="Calibri"/>
        </w:rPr>
        <w:t>.</w:t>
      </w:r>
      <w:r w:rsidR="00B3071C">
        <w:rPr>
          <w:rFonts w:ascii="Calibri" w:hAnsi="Calibri"/>
        </w:rPr>
        <w:t xml:space="preserve"> Medicaid expansion has he</w:t>
      </w:r>
      <w:r w:rsidR="00FD230A">
        <w:rPr>
          <w:rFonts w:ascii="Calibri" w:hAnsi="Calibri"/>
        </w:rPr>
        <w:t>lped</w:t>
      </w:r>
      <w:r w:rsidR="00BA732B">
        <w:rPr>
          <w:rFonts w:ascii="Calibri" w:hAnsi="Calibri"/>
        </w:rPr>
        <w:t xml:space="preserve"> more than</w:t>
      </w:r>
      <w:r w:rsidR="00822E6C" w:rsidRPr="00822E6C">
        <w:rPr>
          <w:rFonts w:ascii="Calibri" w:hAnsi="Calibri"/>
        </w:rPr>
        <w:t xml:space="preserve"> 109,000 Mainers</w:t>
      </w:r>
      <w:r w:rsidR="0068660B">
        <w:rPr>
          <w:rFonts w:ascii="Calibri" w:hAnsi="Calibri"/>
        </w:rPr>
        <w:t xml:space="preserve"> </w:t>
      </w:r>
      <w:r w:rsidR="00FD230A">
        <w:rPr>
          <w:rFonts w:ascii="Calibri" w:hAnsi="Calibri"/>
        </w:rPr>
        <w:t>access</w:t>
      </w:r>
      <w:r w:rsidR="0068660B">
        <w:rPr>
          <w:rFonts w:ascii="Calibri" w:hAnsi="Calibri"/>
        </w:rPr>
        <w:t xml:space="preserve"> comprehensive health coverage</w:t>
      </w:r>
      <w:r w:rsidR="007057C2">
        <w:rPr>
          <w:rFonts w:ascii="Calibri" w:hAnsi="Calibri"/>
        </w:rPr>
        <w:t>,</w:t>
      </w:r>
      <w:r w:rsidR="000F63F8">
        <w:rPr>
          <w:rFonts w:ascii="Calibri" w:hAnsi="Calibri"/>
        </w:rPr>
        <w:t xml:space="preserve"> and c</w:t>
      </w:r>
      <w:r w:rsidR="00814E7A">
        <w:rPr>
          <w:rFonts w:ascii="Calibri" w:hAnsi="Calibri"/>
        </w:rPr>
        <w:t xml:space="preserve">hildren </w:t>
      </w:r>
      <w:r w:rsidR="001835B4">
        <w:rPr>
          <w:rFonts w:ascii="Calibri" w:hAnsi="Calibri"/>
        </w:rPr>
        <w:t xml:space="preserve">under 21 years of age and pregnant people </w:t>
      </w:r>
      <w:r w:rsidR="00F85B13">
        <w:rPr>
          <w:rFonts w:ascii="Calibri" w:hAnsi="Calibri"/>
        </w:rPr>
        <w:t>now have access to MaineCare regardless of their immigration status. Maine</w:t>
      </w:r>
      <w:r w:rsidR="008828EB">
        <w:rPr>
          <w:rFonts w:ascii="Calibri" w:hAnsi="Calibri"/>
        </w:rPr>
        <w:t xml:space="preserve"> successfully launched its own State-based Exchange, CoverME.gov, </w:t>
      </w:r>
      <w:r w:rsidR="00D84411">
        <w:rPr>
          <w:rFonts w:ascii="Calibri" w:hAnsi="Calibri"/>
        </w:rPr>
        <w:t>lowered out-of-pocket costs for</w:t>
      </w:r>
      <w:r w:rsidR="00B5406F">
        <w:rPr>
          <w:rFonts w:ascii="Calibri" w:hAnsi="Calibri"/>
        </w:rPr>
        <w:t xml:space="preserve"> primary and behavioral health care,</w:t>
      </w:r>
      <w:r w:rsidR="00D70484">
        <w:rPr>
          <w:rFonts w:ascii="Calibri" w:hAnsi="Calibri"/>
        </w:rPr>
        <w:t xml:space="preserve"> </w:t>
      </w:r>
      <w:r w:rsidR="00D84411">
        <w:rPr>
          <w:rFonts w:ascii="Calibri" w:hAnsi="Calibri"/>
        </w:rPr>
        <w:t>and took steps to improve</w:t>
      </w:r>
      <w:r w:rsidR="00B5406F">
        <w:rPr>
          <w:rFonts w:ascii="Calibri" w:hAnsi="Calibri"/>
        </w:rPr>
        <w:t xml:space="preserve"> </w:t>
      </w:r>
      <w:r w:rsidR="00FB0216">
        <w:rPr>
          <w:rFonts w:ascii="Calibri" w:hAnsi="Calibri"/>
        </w:rPr>
        <w:t xml:space="preserve">stability within </w:t>
      </w:r>
      <w:r w:rsidR="009452C2">
        <w:rPr>
          <w:rFonts w:ascii="Calibri" w:hAnsi="Calibri"/>
        </w:rPr>
        <w:t xml:space="preserve">the </w:t>
      </w:r>
      <w:r w:rsidR="00EA126B">
        <w:rPr>
          <w:rFonts w:ascii="Calibri" w:hAnsi="Calibri"/>
        </w:rPr>
        <w:t>fully insured</w:t>
      </w:r>
      <w:r w:rsidR="009452C2">
        <w:rPr>
          <w:rFonts w:ascii="Calibri" w:hAnsi="Calibri"/>
        </w:rPr>
        <w:t xml:space="preserve"> market, including </w:t>
      </w:r>
      <w:r w:rsidR="007057C2">
        <w:rPr>
          <w:rFonts w:ascii="Calibri" w:hAnsi="Calibri"/>
        </w:rPr>
        <w:t>by</w:t>
      </w:r>
      <w:r w:rsidR="009452C2">
        <w:rPr>
          <w:rFonts w:ascii="Calibri" w:hAnsi="Calibri"/>
        </w:rPr>
        <w:t xml:space="preserve"> </w:t>
      </w:r>
      <w:r w:rsidR="000E75F0">
        <w:rPr>
          <w:rFonts w:ascii="Calibri" w:hAnsi="Calibri"/>
        </w:rPr>
        <w:t xml:space="preserve">limiting </w:t>
      </w:r>
      <w:r w:rsidR="000E75F0">
        <w:rPr>
          <w:rFonts w:ascii="Calibri" w:hAnsi="Calibri"/>
        </w:rPr>
        <w:lastRenderedPageBreak/>
        <w:t xml:space="preserve">the availability of short-term, limited duration health plans and </w:t>
      </w:r>
      <w:r w:rsidR="009452C2">
        <w:rPr>
          <w:rFonts w:ascii="Calibri" w:hAnsi="Calibri"/>
        </w:rPr>
        <w:t xml:space="preserve">merging </w:t>
      </w:r>
      <w:r w:rsidR="005C45F9">
        <w:rPr>
          <w:rFonts w:ascii="Calibri" w:hAnsi="Calibri"/>
        </w:rPr>
        <w:t xml:space="preserve">the individual and small group markets. </w:t>
      </w:r>
    </w:p>
    <w:p w14:paraId="18DAF3BA" w14:textId="5E1AEBB0" w:rsidR="004E15F8" w:rsidRDefault="000E75F0" w:rsidP="00822E6C">
      <w:pPr>
        <w:pStyle w:val="NormalWeb"/>
        <w:rPr>
          <w:rFonts w:ascii="Calibri" w:hAnsi="Calibri"/>
        </w:rPr>
      </w:pPr>
      <w:r>
        <w:rPr>
          <w:rFonts w:ascii="Calibri" w:hAnsi="Calibri"/>
        </w:rPr>
        <w:t>While these and other</w:t>
      </w:r>
      <w:r w:rsidR="00822E6C" w:rsidRPr="00822E6C">
        <w:rPr>
          <w:rFonts w:ascii="Calibri" w:hAnsi="Calibri"/>
        </w:rPr>
        <w:t xml:space="preserve"> initiatives have helped improve access to quality and affordable health </w:t>
      </w:r>
      <w:r>
        <w:rPr>
          <w:rFonts w:ascii="Calibri" w:hAnsi="Calibri"/>
        </w:rPr>
        <w:t xml:space="preserve">care and </w:t>
      </w:r>
      <w:r w:rsidR="00822E6C" w:rsidRPr="00822E6C">
        <w:rPr>
          <w:rFonts w:ascii="Calibri" w:hAnsi="Calibri"/>
        </w:rPr>
        <w:t>coverage</w:t>
      </w:r>
      <w:r w:rsidR="00503C88">
        <w:rPr>
          <w:rFonts w:ascii="Calibri" w:hAnsi="Calibri"/>
        </w:rPr>
        <w:t xml:space="preserve">, Maine people and small businesses continue to face many challenges </w:t>
      </w:r>
      <w:r w:rsidR="008F5601">
        <w:rPr>
          <w:rFonts w:ascii="Calibri" w:hAnsi="Calibri"/>
        </w:rPr>
        <w:t>affording the health care and coverage they</w:t>
      </w:r>
      <w:r w:rsidR="007C5912">
        <w:rPr>
          <w:rFonts w:ascii="Calibri" w:hAnsi="Calibri"/>
        </w:rPr>
        <w:t xml:space="preserve">, their families, or their employees, need. </w:t>
      </w:r>
    </w:p>
    <w:p w14:paraId="7DF52C30" w14:textId="77777777" w:rsidR="0026552B" w:rsidRDefault="0026552B" w:rsidP="00822E6C">
      <w:pPr>
        <w:pStyle w:val="NormalWeb"/>
        <w:rPr>
          <w:rFonts w:ascii="Calibri" w:hAnsi="Calibri"/>
        </w:rPr>
      </w:pPr>
    </w:p>
    <w:p w14:paraId="79C706C9" w14:textId="1348A5A3" w:rsidR="00E07CFA" w:rsidRPr="00CE0073" w:rsidRDefault="005A5FCB" w:rsidP="00265E05">
      <w:pPr>
        <w:pStyle w:val="NormalWeb"/>
        <w:numPr>
          <w:ilvl w:val="0"/>
          <w:numId w:val="31"/>
        </w:numPr>
        <w:rPr>
          <w:rFonts w:ascii="Calibri" w:hAnsi="Calibri" w:cs="Calibri"/>
          <w:b/>
          <w:bCs/>
          <w:sz w:val="26"/>
          <w:szCs w:val="26"/>
        </w:rPr>
      </w:pPr>
      <w:r w:rsidRPr="00CE0073">
        <w:rPr>
          <w:rFonts w:ascii="Calibri" w:hAnsi="Calibri" w:cs="Calibri"/>
          <w:b/>
          <w:bCs/>
          <w:sz w:val="26"/>
          <w:szCs w:val="26"/>
        </w:rPr>
        <w:t>Affordability Barriers Facing Mainers</w:t>
      </w:r>
    </w:p>
    <w:p w14:paraId="042822CC" w14:textId="528A07D0" w:rsidR="009204F1" w:rsidRPr="0091726D" w:rsidRDefault="005A5FCB" w:rsidP="0091726D">
      <w:pPr>
        <w:rPr>
          <w:rFonts w:ascii="Calibri" w:eastAsia="Times New Roman" w:hAnsi="Calibri" w:cs="Calibri"/>
          <w:b/>
          <w:bCs/>
        </w:rPr>
      </w:pPr>
      <w:r w:rsidRPr="00E07CFA">
        <w:rPr>
          <w:rFonts w:ascii="Calibri" w:hAnsi="Calibri"/>
          <w:b/>
        </w:rPr>
        <w:t>Gaps in</w:t>
      </w:r>
      <w:r w:rsidR="00102E55" w:rsidRPr="00E07CFA">
        <w:rPr>
          <w:rFonts w:ascii="Calibri" w:hAnsi="Calibri"/>
          <w:b/>
        </w:rPr>
        <w:t xml:space="preserve"> </w:t>
      </w:r>
      <w:r w:rsidRPr="00E07CFA">
        <w:rPr>
          <w:rFonts w:ascii="Calibri" w:hAnsi="Calibri"/>
          <w:b/>
        </w:rPr>
        <w:t>Eligibility for Coverage:</w:t>
      </w:r>
      <w:r w:rsidR="0091726D">
        <w:rPr>
          <w:rFonts w:ascii="Calibri" w:eastAsia="Times New Roman" w:hAnsi="Calibri" w:cs="Calibri"/>
          <w:b/>
          <w:bCs/>
        </w:rPr>
        <w:t xml:space="preserve"> </w:t>
      </w:r>
      <w:r w:rsidR="00654EDF">
        <w:rPr>
          <w:rFonts w:ascii="Calibri" w:eastAsia="Times New Roman" w:hAnsi="Calibri" w:cs="Calibri"/>
        </w:rPr>
        <w:t>Maine policymakers took a significant step</w:t>
      </w:r>
      <w:r w:rsidR="00422E41">
        <w:rPr>
          <w:rFonts w:ascii="Calibri" w:eastAsia="Times New Roman" w:hAnsi="Calibri" w:cs="Calibri"/>
        </w:rPr>
        <w:t xml:space="preserve"> in improving health care affordability and access </w:t>
      </w:r>
      <w:r w:rsidR="00CB1EFC">
        <w:rPr>
          <w:rFonts w:ascii="Calibri" w:eastAsia="Times New Roman" w:hAnsi="Calibri" w:cs="Calibri"/>
        </w:rPr>
        <w:t xml:space="preserve">by </w:t>
      </w:r>
      <w:r w:rsidR="00CB1EFC" w:rsidRPr="0026552B">
        <w:rPr>
          <w:rFonts w:ascii="Calibri" w:eastAsia="Times New Roman" w:hAnsi="Calibri" w:cs="Calibri"/>
        </w:rPr>
        <w:t xml:space="preserve">expanding </w:t>
      </w:r>
      <w:r w:rsidR="00EA4B5F" w:rsidRPr="0026552B">
        <w:rPr>
          <w:rFonts w:ascii="Calibri" w:eastAsia="Times New Roman" w:hAnsi="Calibri" w:cs="Calibri"/>
        </w:rPr>
        <w:t>eligibility</w:t>
      </w:r>
      <w:r w:rsidR="00CB1EFC" w:rsidRPr="0026552B">
        <w:rPr>
          <w:rFonts w:ascii="Calibri" w:eastAsia="Times New Roman" w:hAnsi="Calibri" w:cs="Calibri"/>
        </w:rPr>
        <w:t xml:space="preserve"> for MaineCare t</w:t>
      </w:r>
      <w:r w:rsidR="00064032" w:rsidRPr="0026552B">
        <w:rPr>
          <w:rFonts w:ascii="Calibri" w:eastAsia="Times New Roman" w:hAnsi="Calibri" w:cs="Calibri"/>
        </w:rPr>
        <w:t xml:space="preserve">o all income-eligible children under the age of 21 and </w:t>
      </w:r>
      <w:r w:rsidR="00FB0156" w:rsidRPr="0026552B">
        <w:rPr>
          <w:rFonts w:ascii="Calibri" w:eastAsia="Times New Roman" w:hAnsi="Calibri" w:cs="Calibri"/>
        </w:rPr>
        <w:t xml:space="preserve">pregnant people, regardless of their immigration status. However, </w:t>
      </w:r>
      <w:r w:rsidR="00D87FC1" w:rsidRPr="0026552B">
        <w:rPr>
          <w:rFonts w:ascii="Calibri" w:eastAsia="Times New Roman" w:hAnsi="Calibri" w:cs="Calibri"/>
        </w:rPr>
        <w:t>many</w:t>
      </w:r>
      <w:r w:rsidR="0012509F" w:rsidRPr="0026552B">
        <w:rPr>
          <w:rFonts w:ascii="Calibri" w:eastAsia="Times New Roman" w:hAnsi="Calibri" w:cs="Calibri"/>
        </w:rPr>
        <w:t xml:space="preserve"> </w:t>
      </w:r>
      <w:r w:rsidR="009204F1" w:rsidRPr="0026552B">
        <w:rPr>
          <w:rFonts w:ascii="Calibri" w:eastAsia="Times New Roman" w:hAnsi="Calibri" w:cs="Calibri"/>
        </w:rPr>
        <w:t xml:space="preserve">adults are continuing to fall through the cracks. </w:t>
      </w:r>
      <w:r w:rsidR="00EA4B5F" w:rsidRPr="0026552B">
        <w:rPr>
          <w:rFonts w:ascii="Calibri" w:eastAsia="Times New Roman" w:hAnsi="Calibri" w:cs="Calibri"/>
        </w:rPr>
        <w:t xml:space="preserve"> </w:t>
      </w:r>
      <w:r w:rsidR="009204F1" w:rsidRPr="0026552B">
        <w:t>Nobody living in</w:t>
      </w:r>
      <w:r w:rsidR="009204F1" w:rsidRPr="00FE33A6">
        <w:t xml:space="preserve"> Maine should have to choose between going to the doctor or getting the medicine they need and being able to feed their families, pay rent, </w:t>
      </w:r>
      <w:r w:rsidR="007710A6">
        <w:t>or</w:t>
      </w:r>
      <w:r w:rsidR="009204F1" w:rsidRPr="00FE33A6">
        <w:t xml:space="preserve"> meet their basic needs. Yet, these are the choices many New Mainers are forced to make</w:t>
      </w:r>
      <w:r w:rsidR="007057C2">
        <w:t>,</w:t>
      </w:r>
      <w:r w:rsidR="009204F1" w:rsidRPr="00FE33A6">
        <w:t xml:space="preserve"> because they are </w:t>
      </w:r>
      <w:r w:rsidR="007710A6">
        <w:t>not able to qualify for MaineCare</w:t>
      </w:r>
      <w:r w:rsidR="007057C2">
        <w:t>,</w:t>
      </w:r>
      <w:r w:rsidR="007710A6">
        <w:t xml:space="preserve"> due to discriminatory eligibility exclusions</w:t>
      </w:r>
      <w:r w:rsidR="00B816E2">
        <w:t xml:space="preserve"> based on immigration status. </w:t>
      </w:r>
    </w:p>
    <w:p w14:paraId="6400611D" w14:textId="12CB9253" w:rsidR="001559EC" w:rsidRDefault="001559EC" w:rsidP="00265E05">
      <w:pPr>
        <w:rPr>
          <w:rFonts w:ascii="Calibri" w:eastAsia="Times New Roman" w:hAnsi="Calibri" w:cs="Calibri"/>
          <w:highlight w:val="yellow"/>
        </w:rPr>
      </w:pPr>
    </w:p>
    <w:p w14:paraId="7785C33A" w14:textId="19AD6D79" w:rsidR="0091726D" w:rsidRPr="00EE5358" w:rsidRDefault="00D33153" w:rsidP="000342F9">
      <w:pPr>
        <w:spacing w:line="252" w:lineRule="auto"/>
      </w:pPr>
      <w:r w:rsidRPr="00FE33A6">
        <w:t>Studies of the effect of cost-sharing requirements within Medicaid populations have shown that cost is a significant barrier to accessing care in a timely manner.</w:t>
      </w:r>
      <w:r>
        <w:rPr>
          <w:rStyle w:val="FootnoteReference"/>
        </w:rPr>
        <w:footnoteReference w:id="3"/>
      </w:r>
      <w:r w:rsidRPr="00FE33A6">
        <w:t xml:space="preserve"> Excluding people from coverage discourages</w:t>
      </w:r>
      <w:r w:rsidR="007057C2">
        <w:t xml:space="preserve"> those</w:t>
      </w:r>
      <w:r w:rsidRPr="00FE33A6">
        <w:t xml:space="preserve"> people from accessing preventive care </w:t>
      </w:r>
      <w:r w:rsidR="007057C2">
        <w:t xml:space="preserve">which could obviate the need for other more expensive </w:t>
      </w:r>
      <w:r w:rsidRPr="00FE33A6">
        <w:t>necessary health care. People without access to health coverage are more likely to delay receiving care until their health has deteriorated and their condition has worsened</w:t>
      </w:r>
      <w:r w:rsidR="007057C2">
        <w:t>,</w:t>
      </w:r>
      <w:r w:rsidRPr="00FE33A6">
        <w:t xml:space="preserve"> and</w:t>
      </w:r>
      <w:r w:rsidR="007057C2">
        <w:t xml:space="preserve"> they</w:t>
      </w:r>
      <w:r w:rsidRPr="00FE33A6">
        <w:t xml:space="preserve"> will likely wind-up seeking care in a hospital emergency room that is more invasive and more expensive than if they had been able to access the appropriate services earlier on. Our healthcare system is most cost efficient when everyone has coverage and can access the appropriate level of medical care when they need it, </w:t>
      </w:r>
      <w:r w:rsidR="007057C2">
        <w:t>which would reduce</w:t>
      </w:r>
      <w:r w:rsidRPr="00FE33A6">
        <w:t xml:space="preserve"> </w:t>
      </w:r>
      <w:r w:rsidR="007057C2">
        <w:t xml:space="preserve">the </w:t>
      </w:r>
      <w:r w:rsidRPr="00FE33A6">
        <w:t xml:space="preserve">burden on hospital emergency departments, which are currently the only point of access to care for many. It is also worth noting that hospital free care and other financial assistance programs often do not cover the costs of emergency ambulance rides, medical specialists not employed by a hospital, or prescription drugs needed to treat and manage serious and chronic health conditions. While Maine’s patchwork of financial assistance programs </w:t>
      </w:r>
      <w:r w:rsidR="00DB6B32">
        <w:t>can help provide many</w:t>
      </w:r>
      <w:r w:rsidRPr="00FE33A6">
        <w:t xml:space="preserve"> important services, it is not a substitute for comprehensive coverage. </w:t>
      </w:r>
    </w:p>
    <w:p w14:paraId="18E57D52" w14:textId="702C1F0E" w:rsidR="00CA0A94" w:rsidRPr="0091726D" w:rsidRDefault="00B87E48" w:rsidP="0091726D">
      <w:pPr>
        <w:spacing w:before="100" w:beforeAutospacing="1"/>
        <w:rPr>
          <w:rFonts w:ascii="Calibri" w:eastAsia="Times New Roman" w:hAnsi="Calibri" w:cs="Calibri"/>
          <w:b/>
          <w:bCs/>
        </w:rPr>
      </w:pPr>
      <w:r w:rsidRPr="005A5FCB">
        <w:rPr>
          <w:rFonts w:ascii="Calibri" w:eastAsia="Times New Roman" w:hAnsi="Calibri" w:cs="Calibri"/>
          <w:b/>
          <w:bCs/>
        </w:rPr>
        <w:t>Rising</w:t>
      </w:r>
      <w:r w:rsidR="00AA2E57" w:rsidRPr="005A5FCB">
        <w:rPr>
          <w:rFonts w:ascii="Calibri" w:eastAsia="Times New Roman" w:hAnsi="Calibri" w:cs="Calibri"/>
          <w:b/>
          <w:bCs/>
        </w:rPr>
        <w:t xml:space="preserve"> Medical and</w:t>
      </w:r>
      <w:r w:rsidRPr="005A5FCB">
        <w:rPr>
          <w:rFonts w:ascii="Calibri" w:eastAsia="Times New Roman" w:hAnsi="Calibri" w:cs="Calibri"/>
          <w:b/>
          <w:bCs/>
        </w:rPr>
        <w:t xml:space="preserve"> Rx Costs</w:t>
      </w:r>
      <w:r w:rsidR="005A5FCB">
        <w:rPr>
          <w:rFonts w:ascii="Calibri" w:eastAsia="Times New Roman" w:hAnsi="Calibri" w:cs="Calibri"/>
          <w:b/>
          <w:bCs/>
        </w:rPr>
        <w:t>:</w:t>
      </w:r>
      <w:r w:rsidR="0091726D">
        <w:rPr>
          <w:rFonts w:ascii="Calibri" w:eastAsia="Times New Roman" w:hAnsi="Calibri" w:cs="Calibri"/>
          <w:b/>
          <w:bCs/>
        </w:rPr>
        <w:t xml:space="preserve"> </w:t>
      </w:r>
      <w:r w:rsidR="00CA0A94" w:rsidRPr="00B87E48">
        <w:rPr>
          <w:rFonts w:ascii="Calibri" w:eastAsia="Times New Roman" w:hAnsi="Calibri" w:cs="Calibri"/>
        </w:rPr>
        <w:t xml:space="preserve">Too often we hear from Mainers though our </w:t>
      </w:r>
      <w:proofErr w:type="spellStart"/>
      <w:r w:rsidR="00CA0A94" w:rsidRPr="00B87E48">
        <w:rPr>
          <w:rFonts w:ascii="Calibri" w:eastAsia="Times New Roman" w:hAnsi="Calibri" w:cs="Calibri"/>
        </w:rPr>
        <w:t>HelpLine</w:t>
      </w:r>
      <w:proofErr w:type="spellEnd"/>
      <w:r w:rsidR="00CA0A94" w:rsidRPr="00B87E48">
        <w:rPr>
          <w:rFonts w:ascii="Calibri" w:eastAsia="Times New Roman" w:hAnsi="Calibri" w:cs="Calibri"/>
        </w:rPr>
        <w:t xml:space="preserve"> who are struggling to afford the </w:t>
      </w:r>
      <w:r w:rsidR="007057C2">
        <w:rPr>
          <w:rFonts w:ascii="Calibri" w:eastAsia="Times New Roman" w:hAnsi="Calibri" w:cs="Calibri"/>
        </w:rPr>
        <w:t xml:space="preserve">cost of the </w:t>
      </w:r>
      <w:r w:rsidR="00CA0A94" w:rsidRPr="00B87E48">
        <w:rPr>
          <w:rFonts w:ascii="Calibri" w:eastAsia="Times New Roman" w:hAnsi="Calibri" w:cs="Calibri"/>
        </w:rPr>
        <w:t xml:space="preserve">prescription drugs they need, some of </w:t>
      </w:r>
      <w:r w:rsidR="11E04B57" w:rsidRPr="50C777EA">
        <w:rPr>
          <w:rFonts w:ascii="Calibri" w:eastAsia="Times New Roman" w:hAnsi="Calibri" w:cs="Calibri"/>
        </w:rPr>
        <w:t>whom</w:t>
      </w:r>
      <w:r w:rsidR="00CA0A94" w:rsidRPr="00B87E48">
        <w:rPr>
          <w:rFonts w:ascii="Calibri" w:eastAsia="Times New Roman" w:hAnsi="Calibri" w:cs="Calibri"/>
        </w:rPr>
        <w:t xml:space="preserve"> are forced to make difficult choices between paying for medicine and being able to provide for their families and put food on the table or gas in their tank. Recent polling of Maine voters found: </w:t>
      </w:r>
    </w:p>
    <w:p w14:paraId="37057241" w14:textId="77777777" w:rsidR="00CA0A94" w:rsidRPr="00B87E48" w:rsidRDefault="00CA0A94" w:rsidP="0091726D">
      <w:pPr>
        <w:numPr>
          <w:ilvl w:val="0"/>
          <w:numId w:val="40"/>
        </w:numPr>
        <w:spacing w:before="100" w:beforeAutospacing="1" w:after="100" w:afterAutospacing="1"/>
        <w:rPr>
          <w:rFonts w:ascii="Calibri" w:eastAsia="Times New Roman" w:hAnsi="Calibri" w:cs="Calibri"/>
        </w:rPr>
      </w:pPr>
      <w:r w:rsidRPr="00B87E48">
        <w:rPr>
          <w:rFonts w:ascii="Calibri" w:eastAsia="Times New Roman" w:hAnsi="Calibri" w:cs="Calibri"/>
        </w:rPr>
        <w:lastRenderedPageBreak/>
        <w:t xml:space="preserve">More than half of Mainers are concerned about not being able to afford a prescription drug or medicine they need. </w:t>
      </w:r>
    </w:p>
    <w:p w14:paraId="66FCFBAE" w14:textId="521380AA" w:rsidR="00CA0A94" w:rsidRPr="00B87E48" w:rsidRDefault="00CA0A94" w:rsidP="0091726D">
      <w:pPr>
        <w:numPr>
          <w:ilvl w:val="0"/>
          <w:numId w:val="40"/>
        </w:numPr>
        <w:spacing w:before="100" w:beforeAutospacing="1" w:after="100" w:afterAutospacing="1"/>
        <w:rPr>
          <w:rFonts w:ascii="Calibri" w:eastAsia="Times New Roman" w:hAnsi="Calibri" w:cs="Calibri"/>
        </w:rPr>
      </w:pPr>
      <w:r w:rsidRPr="32996AA7">
        <w:rPr>
          <w:rFonts w:ascii="Calibri" w:eastAsia="Times New Roman" w:hAnsi="Calibri" w:cs="Calibri"/>
        </w:rPr>
        <w:t>One in four Mainers, cut pills in half, skipped doses of medi</w:t>
      </w:r>
      <w:r w:rsidR="007057C2">
        <w:rPr>
          <w:rFonts w:ascii="Calibri" w:eastAsia="Times New Roman" w:hAnsi="Calibri" w:cs="Calibri"/>
        </w:rPr>
        <w:t>c</w:t>
      </w:r>
      <w:r w:rsidRPr="32996AA7">
        <w:rPr>
          <w:rFonts w:ascii="Calibri" w:eastAsia="Times New Roman" w:hAnsi="Calibri" w:cs="Calibri"/>
        </w:rPr>
        <w:t>ation, or delayed or did not fill a prescription</w:t>
      </w:r>
      <w:r w:rsidR="007057C2">
        <w:rPr>
          <w:rFonts w:ascii="Calibri" w:eastAsia="Times New Roman" w:hAnsi="Calibri" w:cs="Calibri"/>
        </w:rPr>
        <w:t>,</w:t>
      </w:r>
      <w:r w:rsidRPr="32996AA7">
        <w:rPr>
          <w:rFonts w:ascii="Calibri" w:eastAsia="Times New Roman" w:hAnsi="Calibri" w:cs="Calibri"/>
        </w:rPr>
        <w:t xml:space="preserve"> due to cost</w:t>
      </w:r>
      <w:r w:rsidR="437CC67F" w:rsidRPr="32996AA7">
        <w:rPr>
          <w:rFonts w:ascii="Calibri" w:eastAsia="Times New Roman" w:hAnsi="Calibri" w:cs="Calibri"/>
        </w:rPr>
        <w:t xml:space="preserve">. </w:t>
      </w:r>
    </w:p>
    <w:p w14:paraId="5F6964F8" w14:textId="27217EDC" w:rsidR="282B15D3" w:rsidRPr="00D87C27" w:rsidRDefault="00CA0A94" w:rsidP="0091726D">
      <w:pPr>
        <w:numPr>
          <w:ilvl w:val="0"/>
          <w:numId w:val="40"/>
        </w:numPr>
        <w:spacing w:before="100" w:beforeAutospacing="1" w:after="100" w:afterAutospacing="1"/>
        <w:rPr>
          <w:rFonts w:ascii="Calibri" w:eastAsia="Times New Roman" w:hAnsi="Calibri" w:cs="Calibri"/>
        </w:rPr>
      </w:pPr>
      <w:r w:rsidRPr="00B87E48">
        <w:rPr>
          <w:rFonts w:ascii="Calibri" w:eastAsia="Times New Roman" w:hAnsi="Calibri" w:cs="Calibri"/>
        </w:rPr>
        <w:t xml:space="preserve">Four out of ten Mainers with medical debt say prescription drug costs contributed to their debt. </w:t>
      </w:r>
      <w:r w:rsidR="00252079">
        <w:rPr>
          <w:rStyle w:val="FootnoteReference"/>
          <w:rFonts w:ascii="Calibri" w:eastAsia="Times New Roman" w:hAnsi="Calibri" w:cs="Calibri"/>
        </w:rPr>
        <w:footnoteReference w:id="4"/>
      </w:r>
      <w:r w:rsidRPr="00B87E48">
        <w:rPr>
          <w:rFonts w:ascii="Calibri" w:eastAsia="Times New Roman" w:hAnsi="Calibri" w:cs="Calibri"/>
          <w:position w:val="8"/>
        </w:rPr>
        <w:t xml:space="preserve"> </w:t>
      </w:r>
    </w:p>
    <w:p w14:paraId="6FC65976" w14:textId="36B51926" w:rsidR="00FD5B8E" w:rsidRDefault="00B7743A" w:rsidP="005F1BC3">
      <w:pPr>
        <w:spacing w:before="100" w:beforeAutospacing="1" w:after="100" w:afterAutospacing="1"/>
        <w:rPr>
          <w:rFonts w:ascii="Calibri" w:eastAsia="Times New Roman" w:hAnsi="Calibri" w:cs="Calibri"/>
          <w:position w:val="8"/>
        </w:rPr>
      </w:pPr>
      <w:r w:rsidRPr="00B7743A">
        <w:rPr>
          <w:rFonts w:ascii="Calibri" w:eastAsia="Times New Roman" w:hAnsi="Calibri" w:cs="Calibri"/>
        </w:rPr>
        <w:t xml:space="preserve">Data published by the </w:t>
      </w:r>
      <w:r w:rsidR="00B87E48" w:rsidRPr="00B7743A">
        <w:rPr>
          <w:rFonts w:ascii="Calibri" w:eastAsia="Times New Roman" w:hAnsi="Calibri" w:cs="Calibri"/>
        </w:rPr>
        <w:t xml:space="preserve">Maine Health Data Organization (MHDO) </w:t>
      </w:r>
      <w:r w:rsidRPr="00B7743A">
        <w:rPr>
          <w:rFonts w:ascii="Calibri" w:eastAsia="Times New Roman" w:hAnsi="Calibri" w:cs="Calibri"/>
        </w:rPr>
        <w:t>shows that</w:t>
      </w:r>
      <w:r w:rsidR="00B87E48" w:rsidRPr="00B7743A">
        <w:rPr>
          <w:rFonts w:ascii="Calibri" w:eastAsia="Times New Roman" w:hAnsi="Calibri" w:cs="Calibri"/>
        </w:rPr>
        <w:t xml:space="preserve">, over a twelve-month period ending on June 30, 2022, </w:t>
      </w:r>
      <w:r w:rsidR="00B87E48" w:rsidRPr="00B7743A">
        <w:rPr>
          <w:rFonts w:ascii="Calibri" w:hAnsi="Calibri"/>
          <w:b/>
        </w:rPr>
        <w:t>more than $757 million dollars were spent in Maine on just 25 of the costliest prescription drugs</w:t>
      </w:r>
      <w:r w:rsidR="00B87E48" w:rsidRPr="00B7743A">
        <w:rPr>
          <w:rFonts w:ascii="Calibri" w:hAnsi="Calibri"/>
        </w:rPr>
        <w:t xml:space="preserve">, which is nearly $72 million </w:t>
      </w:r>
      <w:r w:rsidR="00B87E48" w:rsidRPr="00B7743A">
        <w:rPr>
          <w:rFonts w:ascii="Calibri" w:hAnsi="Calibri"/>
          <w:b/>
        </w:rPr>
        <w:t xml:space="preserve">more </w:t>
      </w:r>
      <w:r w:rsidR="00B87E48" w:rsidRPr="00B7743A">
        <w:rPr>
          <w:rFonts w:ascii="Calibri" w:hAnsi="Calibri"/>
        </w:rPr>
        <w:t>than was spent on the 25 costlies</w:t>
      </w:r>
      <w:r w:rsidR="00CA0A94" w:rsidRPr="00B7743A">
        <w:rPr>
          <w:rFonts w:ascii="Calibri" w:hAnsi="Calibri"/>
        </w:rPr>
        <w:t xml:space="preserve">t </w:t>
      </w:r>
      <w:r w:rsidR="00B87E48" w:rsidRPr="00B7743A">
        <w:rPr>
          <w:rFonts w:ascii="Calibri" w:hAnsi="Calibri"/>
        </w:rPr>
        <w:t>drugs in Maine the previous year.</w:t>
      </w:r>
      <w:r w:rsidR="00CA0A94" w:rsidRPr="00B7743A">
        <w:rPr>
          <w:rStyle w:val="FootnoteReference"/>
          <w:rFonts w:ascii="Calibri" w:hAnsi="Calibri"/>
        </w:rPr>
        <w:footnoteReference w:id="5"/>
      </w:r>
      <w:r w:rsidR="00B87E48" w:rsidRPr="00B7743A">
        <w:rPr>
          <w:rFonts w:ascii="Calibri" w:hAnsi="Calibri"/>
          <w:position w:val="8"/>
        </w:rPr>
        <w:t xml:space="preserve"> </w:t>
      </w:r>
      <w:r w:rsidR="00B87E48" w:rsidRPr="00B7743A">
        <w:rPr>
          <w:rFonts w:ascii="Calibri" w:hAnsi="Calibri"/>
        </w:rPr>
        <w:t xml:space="preserve">The amount spent in Maine for just one of these drugs, Eliquis, exceeded $93 million dollars, which is nearly $17 million </w:t>
      </w:r>
      <w:r w:rsidR="00B87E48" w:rsidRPr="00B7743A">
        <w:rPr>
          <w:rFonts w:ascii="Calibri" w:hAnsi="Calibri"/>
          <w:b/>
        </w:rPr>
        <w:t xml:space="preserve">more </w:t>
      </w:r>
      <w:r w:rsidR="00B87E48" w:rsidRPr="00B7743A">
        <w:rPr>
          <w:rFonts w:ascii="Calibri" w:hAnsi="Calibri"/>
        </w:rPr>
        <w:t>than was spent on Eliquis in Maine during the previous 12-month period.</w:t>
      </w:r>
      <w:r w:rsidR="00AA2E57" w:rsidRPr="00B7743A">
        <w:rPr>
          <w:rStyle w:val="FootnoteReference"/>
          <w:rFonts w:ascii="Calibri" w:hAnsi="Calibri"/>
        </w:rPr>
        <w:footnoteReference w:id="6"/>
      </w:r>
      <w:r w:rsidR="00B87E48" w:rsidRPr="00B87E48">
        <w:rPr>
          <w:rFonts w:ascii="Calibri" w:eastAsia="Times New Roman" w:hAnsi="Calibri" w:cs="Calibri"/>
          <w:position w:val="8"/>
        </w:rPr>
        <w:t xml:space="preserve"> </w:t>
      </w:r>
    </w:p>
    <w:p w14:paraId="5910A977" w14:textId="092509A4" w:rsidR="00EA018A" w:rsidRDefault="00653AB7" w:rsidP="00EC5639">
      <w:pPr>
        <w:spacing w:before="100" w:beforeAutospacing="1" w:after="100" w:afterAutospacing="1"/>
        <w:rPr>
          <w:rFonts w:ascii="Calibri" w:eastAsia="Times New Roman" w:hAnsi="Calibri" w:cs="Calibri"/>
          <w:position w:val="8"/>
        </w:rPr>
      </w:pPr>
      <w:r>
        <w:rPr>
          <w:rFonts w:ascii="Calibri" w:eastAsia="Times New Roman" w:hAnsi="Calibri" w:cs="Calibri"/>
          <w:position w:val="8"/>
        </w:rPr>
        <w:t>High drug costs</w:t>
      </w:r>
      <w:r w:rsidRPr="00653AB7">
        <w:rPr>
          <w:rFonts w:ascii="Calibri" w:eastAsia="Times New Roman" w:hAnsi="Calibri" w:cs="Calibri"/>
          <w:position w:val="8"/>
        </w:rPr>
        <w:t xml:space="preserve"> </w:t>
      </w:r>
      <w:r>
        <w:rPr>
          <w:rFonts w:ascii="Calibri" w:eastAsia="Times New Roman" w:hAnsi="Calibri" w:cs="Calibri"/>
          <w:position w:val="8"/>
        </w:rPr>
        <w:t xml:space="preserve">are </w:t>
      </w:r>
      <w:r w:rsidR="00D87C27">
        <w:rPr>
          <w:rFonts w:ascii="Calibri" w:eastAsia="Times New Roman" w:hAnsi="Calibri" w:cs="Calibri"/>
          <w:position w:val="8"/>
        </w:rPr>
        <w:t>forcing</w:t>
      </w:r>
      <w:r>
        <w:rPr>
          <w:rFonts w:ascii="Calibri" w:eastAsia="Times New Roman" w:hAnsi="Calibri" w:cs="Calibri"/>
          <w:position w:val="8"/>
        </w:rPr>
        <w:t xml:space="preserve"> many Mainers to make difficult choices, including</w:t>
      </w:r>
      <w:r w:rsidRPr="005F1BC3">
        <w:rPr>
          <w:rFonts w:ascii="Calibri" w:eastAsia="Times New Roman" w:hAnsi="Calibri" w:cs="Calibri"/>
          <w:position w:val="8"/>
        </w:rPr>
        <w:t xml:space="preserve"> bet</w:t>
      </w:r>
      <w:r>
        <w:rPr>
          <w:rFonts w:ascii="Calibri" w:eastAsia="Times New Roman" w:hAnsi="Calibri" w:cs="Calibri"/>
          <w:position w:val="8"/>
        </w:rPr>
        <w:t xml:space="preserve">ween </w:t>
      </w:r>
      <w:r w:rsidR="009F383A">
        <w:rPr>
          <w:rFonts w:ascii="Calibri" w:eastAsia="Times New Roman" w:hAnsi="Calibri" w:cs="Calibri"/>
          <w:position w:val="8"/>
        </w:rPr>
        <w:t>buying the</w:t>
      </w:r>
      <w:r w:rsidRPr="005F1BC3">
        <w:rPr>
          <w:rFonts w:ascii="Calibri" w:eastAsia="Times New Roman" w:hAnsi="Calibri" w:cs="Calibri"/>
          <w:position w:val="8"/>
        </w:rPr>
        <w:t xml:space="preserve"> medicine they need or being able to put food on the table or fuel in their tank.</w:t>
      </w:r>
      <w:r w:rsidR="009F383A">
        <w:rPr>
          <w:rFonts w:ascii="Calibri" w:eastAsia="Times New Roman" w:hAnsi="Calibri" w:cs="Calibri"/>
          <w:position w:val="8"/>
        </w:rPr>
        <w:t xml:space="preserve"> It is clear these high and</w:t>
      </w:r>
      <w:r w:rsidR="007057C2">
        <w:rPr>
          <w:rFonts w:ascii="Calibri" w:eastAsia="Times New Roman" w:hAnsi="Calibri" w:cs="Calibri"/>
          <w:position w:val="8"/>
        </w:rPr>
        <w:t xml:space="preserve"> still</w:t>
      </w:r>
      <w:r w:rsidR="009F383A">
        <w:rPr>
          <w:rFonts w:ascii="Calibri" w:eastAsia="Times New Roman" w:hAnsi="Calibri" w:cs="Calibri"/>
          <w:position w:val="8"/>
        </w:rPr>
        <w:t xml:space="preserve"> rising prices are unsustainable for Maine people and payors to continue paying. </w:t>
      </w:r>
    </w:p>
    <w:p w14:paraId="02C9CA74" w14:textId="7397DF81" w:rsidR="00EA018A" w:rsidRDefault="009C47FB" w:rsidP="00EA018A">
      <w:pPr>
        <w:spacing w:before="100" w:beforeAutospacing="1" w:after="100" w:afterAutospacing="1"/>
        <w:rPr>
          <w:rFonts w:ascii="Calibri" w:hAnsi="Calibri"/>
        </w:rPr>
      </w:pPr>
      <w:r>
        <w:rPr>
          <w:rFonts w:ascii="Calibri" w:eastAsia="Times New Roman" w:hAnsi="Calibri" w:cs="Calibri"/>
          <w:position w:val="8"/>
        </w:rPr>
        <w:t>However, prescription drugs are not the only thing Mainers are struggling to afford when accessing health care</w:t>
      </w:r>
      <w:r w:rsidR="00B37B9C">
        <w:rPr>
          <w:rFonts w:ascii="Calibri" w:eastAsia="Times New Roman" w:hAnsi="Calibri" w:cs="Calibri"/>
          <w:position w:val="8"/>
        </w:rPr>
        <w:t>. Survey results show:</w:t>
      </w:r>
    </w:p>
    <w:p w14:paraId="1106E71F" w14:textId="77777777" w:rsidR="00B37B9C" w:rsidRDefault="00F86E7B" w:rsidP="0056186E">
      <w:pPr>
        <w:pStyle w:val="ListParagraph"/>
        <w:numPr>
          <w:ilvl w:val="0"/>
          <w:numId w:val="34"/>
        </w:numPr>
        <w:spacing w:before="100" w:beforeAutospacing="1" w:after="100" w:afterAutospacing="1"/>
        <w:rPr>
          <w:rFonts w:ascii="Calibri" w:hAnsi="Calibri"/>
        </w:rPr>
      </w:pPr>
      <w:r w:rsidRPr="0056186E">
        <w:rPr>
          <w:rFonts w:ascii="Calibri" w:hAnsi="Calibri"/>
        </w:rPr>
        <w:t>T</w:t>
      </w:r>
      <w:r w:rsidR="005A5FCB" w:rsidRPr="0056186E">
        <w:rPr>
          <w:rFonts w:ascii="Calibri" w:hAnsi="Calibri"/>
        </w:rPr>
        <w:t>wo out of three Mainers believe a major medical event would be a financial disaster for them.</w:t>
      </w:r>
    </w:p>
    <w:p w14:paraId="00AE0B6C" w14:textId="18E4AAC8" w:rsidR="0003336F" w:rsidRPr="00B37B9C" w:rsidRDefault="005A5FCB" w:rsidP="005A5FCB">
      <w:pPr>
        <w:pStyle w:val="ListParagraph"/>
        <w:numPr>
          <w:ilvl w:val="0"/>
          <w:numId w:val="34"/>
        </w:numPr>
        <w:spacing w:before="100" w:beforeAutospacing="1" w:after="100" w:afterAutospacing="1"/>
        <w:rPr>
          <w:rFonts w:ascii="Calibri" w:hAnsi="Calibri"/>
        </w:rPr>
      </w:pPr>
      <w:r w:rsidRPr="0056186E">
        <w:rPr>
          <w:rFonts w:ascii="Calibri" w:hAnsi="Calibri"/>
        </w:rPr>
        <w:t>More than four out of ten Mainers reported experiencing discomfort or pain for longer than they needed to, due to high healthcare costs and more than one third of Mainers reported that they delayed or skipped going to the doctor when they were sick</w:t>
      </w:r>
      <w:r w:rsidR="007057C2">
        <w:rPr>
          <w:rFonts w:ascii="Calibri" w:hAnsi="Calibri"/>
        </w:rPr>
        <w:t>,</w:t>
      </w:r>
      <w:r w:rsidRPr="0056186E">
        <w:rPr>
          <w:rFonts w:ascii="Calibri" w:hAnsi="Calibri"/>
        </w:rPr>
        <w:t xml:space="preserve"> due to high healthcare costs. </w:t>
      </w:r>
    </w:p>
    <w:p w14:paraId="35C7A71B" w14:textId="6CEF9D0F" w:rsidR="008F590E" w:rsidRDefault="005A5FCB" w:rsidP="005A5FCB">
      <w:pPr>
        <w:rPr>
          <w:rFonts w:ascii="Calibri" w:hAnsi="Calibri"/>
        </w:rPr>
      </w:pPr>
      <w:r w:rsidRPr="00D87C27">
        <w:rPr>
          <w:rFonts w:ascii="Calibri" w:hAnsi="Calibri"/>
        </w:rPr>
        <w:t xml:space="preserve">Additionally, when Mainers do access care, </w:t>
      </w:r>
      <w:r w:rsidR="005D2D7F">
        <w:rPr>
          <w:rFonts w:ascii="Calibri" w:hAnsi="Calibri"/>
        </w:rPr>
        <w:t>many</w:t>
      </w:r>
      <w:r w:rsidRPr="00D87C27">
        <w:rPr>
          <w:rFonts w:ascii="Calibri" w:hAnsi="Calibri"/>
        </w:rPr>
        <w:t xml:space="preserve"> </w:t>
      </w:r>
      <w:proofErr w:type="gramStart"/>
      <w:r w:rsidRPr="00D87C27">
        <w:rPr>
          <w:rFonts w:ascii="Calibri" w:hAnsi="Calibri"/>
        </w:rPr>
        <w:t>struggle</w:t>
      </w:r>
      <w:proofErr w:type="gramEnd"/>
      <w:r w:rsidRPr="00D87C27">
        <w:rPr>
          <w:rFonts w:ascii="Calibri" w:hAnsi="Calibri"/>
        </w:rPr>
        <w:t xml:space="preserve"> to pay their medical bills, and often </w:t>
      </w:r>
      <w:r w:rsidR="00EC5639">
        <w:rPr>
          <w:rFonts w:ascii="Calibri" w:hAnsi="Calibri"/>
        </w:rPr>
        <w:t>end up</w:t>
      </w:r>
      <w:r w:rsidRPr="00D87C27">
        <w:rPr>
          <w:rFonts w:ascii="Calibri" w:hAnsi="Calibri"/>
        </w:rPr>
        <w:t xml:space="preserve"> in debt. </w:t>
      </w:r>
    </w:p>
    <w:p w14:paraId="60D2B9AF" w14:textId="62784CEE" w:rsidR="008F590E" w:rsidRDefault="005A5FCB" w:rsidP="008F590E">
      <w:pPr>
        <w:pStyle w:val="ListParagraph"/>
        <w:numPr>
          <w:ilvl w:val="0"/>
          <w:numId w:val="32"/>
        </w:numPr>
        <w:rPr>
          <w:rFonts w:ascii="Calibri" w:hAnsi="Calibri"/>
        </w:rPr>
      </w:pPr>
      <w:r w:rsidRPr="008F590E">
        <w:rPr>
          <w:rFonts w:ascii="Calibri" w:hAnsi="Calibri"/>
        </w:rPr>
        <w:t xml:space="preserve">One in three Mainers struggled to pay for basic necessities, such as food, heat, or housing, within the past two years as a result of a medical bill. Among those who struggled to pay for basic necessities, nearly three quarters reported they experienced this as the result of a hospital bill. </w:t>
      </w:r>
    </w:p>
    <w:p w14:paraId="1254653B" w14:textId="5D84429E" w:rsidR="00722D83" w:rsidRDefault="005A5FCB" w:rsidP="008F590E">
      <w:pPr>
        <w:pStyle w:val="ListParagraph"/>
        <w:numPr>
          <w:ilvl w:val="0"/>
          <w:numId w:val="32"/>
        </w:numPr>
        <w:rPr>
          <w:rFonts w:ascii="Calibri" w:hAnsi="Calibri"/>
        </w:rPr>
      </w:pPr>
      <w:r w:rsidRPr="008F590E">
        <w:rPr>
          <w:rFonts w:ascii="Calibri" w:hAnsi="Calibri"/>
        </w:rPr>
        <w:lastRenderedPageBreak/>
        <w:t xml:space="preserve">Nearly one in three Mainers </w:t>
      </w:r>
      <w:r w:rsidR="007D6947">
        <w:rPr>
          <w:rFonts w:ascii="Calibri" w:hAnsi="Calibri"/>
        </w:rPr>
        <w:t>have</w:t>
      </w:r>
      <w:r w:rsidRPr="008F590E">
        <w:rPr>
          <w:rFonts w:ascii="Calibri" w:hAnsi="Calibri"/>
        </w:rPr>
        <w:t xml:space="preserve"> been contacted by a collection agency about a medical bill within the past two years, of which more than 80% said the medical bill that was sent to collections was from a hospital.</w:t>
      </w:r>
      <w:r w:rsidRPr="008F590E">
        <w:rPr>
          <w:rStyle w:val="FootnoteReference"/>
          <w:rFonts w:ascii="Calibri" w:hAnsi="Calibri"/>
        </w:rPr>
        <w:t xml:space="preserve"> </w:t>
      </w:r>
      <w:r w:rsidRPr="00D87C27">
        <w:rPr>
          <w:rStyle w:val="FootnoteReference"/>
          <w:rFonts w:ascii="Calibri" w:hAnsi="Calibri"/>
        </w:rPr>
        <w:footnoteReference w:id="7"/>
      </w:r>
      <w:r w:rsidRPr="008F590E">
        <w:rPr>
          <w:rFonts w:ascii="Calibri" w:hAnsi="Calibri"/>
        </w:rPr>
        <w:t xml:space="preserve"> </w:t>
      </w:r>
    </w:p>
    <w:p w14:paraId="3E62E250" w14:textId="77777777" w:rsidR="00F44696" w:rsidRDefault="00B37B9C" w:rsidP="004F7815">
      <w:pPr>
        <w:pStyle w:val="paragraph"/>
        <w:spacing w:after="0"/>
        <w:textAlignment w:val="baseline"/>
        <w:rPr>
          <w:rFonts w:ascii="Calibri" w:hAnsi="Calibri"/>
        </w:rPr>
      </w:pPr>
      <w:r>
        <w:rPr>
          <w:rFonts w:ascii="Calibri" w:hAnsi="Calibri"/>
        </w:rPr>
        <w:t>It is clear</w:t>
      </w:r>
      <w:r w:rsidR="005A5FCB" w:rsidRPr="00722D83">
        <w:rPr>
          <w:rFonts w:ascii="Calibri" w:hAnsi="Calibri"/>
        </w:rPr>
        <w:t xml:space="preserve"> Mainers are</w:t>
      </w:r>
      <w:r w:rsidR="0BDEF7C3" w:rsidRPr="00722D83">
        <w:rPr>
          <w:rFonts w:ascii="Calibri" w:hAnsi="Calibri"/>
        </w:rPr>
        <w:t xml:space="preserve"> </w:t>
      </w:r>
      <w:r w:rsidR="005A5FCB" w:rsidRPr="00722D83">
        <w:rPr>
          <w:rFonts w:ascii="Calibri" w:hAnsi="Calibri"/>
        </w:rPr>
        <w:t xml:space="preserve">struggling to afford the health care services they need, </w:t>
      </w:r>
      <w:r w:rsidR="00722D83">
        <w:rPr>
          <w:rFonts w:ascii="Calibri" w:hAnsi="Calibri"/>
        </w:rPr>
        <w:t>particularly</w:t>
      </w:r>
      <w:r w:rsidR="005A5FCB" w:rsidRPr="00722D83">
        <w:rPr>
          <w:rFonts w:ascii="Calibri" w:hAnsi="Calibri"/>
        </w:rPr>
        <w:t xml:space="preserve"> hospital services</w:t>
      </w:r>
      <w:r w:rsidR="003E0C32" w:rsidRPr="00722D83">
        <w:rPr>
          <w:rFonts w:ascii="Calibri" w:hAnsi="Calibri"/>
        </w:rPr>
        <w:t>.</w:t>
      </w:r>
      <w:r w:rsidR="006D1178">
        <w:rPr>
          <w:rFonts w:ascii="Calibri" w:hAnsi="Calibri"/>
        </w:rPr>
        <w:t xml:space="preserve"> </w:t>
      </w:r>
    </w:p>
    <w:p w14:paraId="4D3CB97D" w14:textId="4153AF1D" w:rsidR="004F7815" w:rsidRPr="00C12D87" w:rsidRDefault="00F713D3" w:rsidP="004F7815">
      <w:pPr>
        <w:pStyle w:val="paragraph"/>
        <w:spacing w:after="0"/>
        <w:textAlignment w:val="baseline"/>
        <w:rPr>
          <w:rFonts w:asciiTheme="minorHAnsi" w:hAnsiTheme="minorHAnsi" w:cstheme="minorHAnsi"/>
          <w:color w:val="000000" w:themeColor="text1"/>
        </w:rPr>
      </w:pPr>
      <w:r>
        <w:rPr>
          <w:rFonts w:ascii="Calibri" w:hAnsi="Calibri"/>
        </w:rPr>
        <w:t xml:space="preserve">Facility fees often represent a </w:t>
      </w:r>
      <w:r w:rsidR="006D1178">
        <w:rPr>
          <w:rFonts w:ascii="Calibri" w:hAnsi="Calibri"/>
        </w:rPr>
        <w:t>significant portion of many hospital bills</w:t>
      </w:r>
      <w:r>
        <w:rPr>
          <w:rFonts w:ascii="Calibri" w:hAnsi="Calibri"/>
        </w:rPr>
        <w:t>. T</w:t>
      </w:r>
      <w:r w:rsidR="004F7815" w:rsidRPr="00C12D87">
        <w:rPr>
          <w:rFonts w:asciiTheme="minorHAnsi" w:hAnsiTheme="minorHAnsi" w:cstheme="minorHAnsi"/>
          <w:color w:val="000000" w:themeColor="text1"/>
        </w:rPr>
        <w:t xml:space="preserve">he types of services and settings subject to facility fees have increased over the years and </w:t>
      </w:r>
      <w:r w:rsidR="00A748EA">
        <w:rPr>
          <w:rFonts w:asciiTheme="minorHAnsi" w:hAnsiTheme="minorHAnsi" w:cstheme="minorHAnsi"/>
          <w:color w:val="000000" w:themeColor="text1"/>
        </w:rPr>
        <w:t xml:space="preserve">now </w:t>
      </w:r>
      <w:r w:rsidR="004F7815" w:rsidRPr="00C12D87">
        <w:rPr>
          <w:rFonts w:asciiTheme="minorHAnsi" w:hAnsiTheme="minorHAnsi" w:cstheme="minorHAnsi"/>
          <w:color w:val="000000" w:themeColor="text1"/>
        </w:rPr>
        <w:t xml:space="preserve">are often charged for routine services and outpatient care, which has led to higher costs and confusion for patients. </w:t>
      </w:r>
      <w:r w:rsidR="00EF51FE">
        <w:rPr>
          <w:rFonts w:asciiTheme="minorHAnsi" w:hAnsiTheme="minorHAnsi" w:cstheme="minorHAnsi"/>
          <w:color w:val="000000" w:themeColor="text1"/>
        </w:rPr>
        <w:t xml:space="preserve">For example, through our </w:t>
      </w:r>
      <w:proofErr w:type="spellStart"/>
      <w:r w:rsidR="004F7815" w:rsidRPr="00C12D87">
        <w:rPr>
          <w:rFonts w:asciiTheme="minorHAnsi" w:hAnsiTheme="minorHAnsi" w:cstheme="minorHAnsi"/>
          <w:color w:val="000000" w:themeColor="text1"/>
        </w:rPr>
        <w:t>HelpLine</w:t>
      </w:r>
      <w:proofErr w:type="spellEnd"/>
      <w:r w:rsidR="004F7815" w:rsidRPr="00C12D87">
        <w:rPr>
          <w:rFonts w:asciiTheme="minorHAnsi" w:hAnsiTheme="minorHAnsi" w:cstheme="minorHAnsi"/>
          <w:color w:val="000000" w:themeColor="text1"/>
        </w:rPr>
        <w:t xml:space="preserve">, we have heard from people who received multiple facility fees for a single visit, were charged facility fees for visiting a freestanding urgent care clinic, and who have even been charged a hospital facility fee for a telehealth visit. People </w:t>
      </w:r>
      <w:r w:rsidR="00DF7185">
        <w:rPr>
          <w:rFonts w:asciiTheme="minorHAnsi" w:hAnsiTheme="minorHAnsi" w:cstheme="minorHAnsi"/>
          <w:color w:val="000000" w:themeColor="text1"/>
        </w:rPr>
        <w:t xml:space="preserve">typically </w:t>
      </w:r>
      <w:r w:rsidR="004F7815" w:rsidRPr="00C12D87">
        <w:rPr>
          <w:rFonts w:asciiTheme="minorHAnsi" w:hAnsiTheme="minorHAnsi" w:cstheme="minorHAnsi"/>
          <w:color w:val="000000" w:themeColor="text1"/>
        </w:rPr>
        <w:t xml:space="preserve">do not expect to receive facility </w:t>
      </w:r>
      <w:r w:rsidR="002E412C" w:rsidRPr="00C12D87">
        <w:rPr>
          <w:rFonts w:asciiTheme="minorHAnsi" w:hAnsiTheme="minorHAnsi" w:cstheme="minorHAnsi"/>
          <w:color w:val="000000" w:themeColor="text1"/>
        </w:rPr>
        <w:t>fees for</w:t>
      </w:r>
      <w:r w:rsidR="004F7815" w:rsidRPr="00C12D87">
        <w:rPr>
          <w:rFonts w:asciiTheme="minorHAnsi" w:hAnsiTheme="minorHAnsi" w:cstheme="minorHAnsi"/>
          <w:color w:val="000000" w:themeColor="text1"/>
        </w:rPr>
        <w:t xml:space="preserve"> outpatient services, especially </w:t>
      </w:r>
      <w:r w:rsidR="00FF4904">
        <w:rPr>
          <w:rFonts w:asciiTheme="minorHAnsi" w:hAnsiTheme="minorHAnsi" w:cstheme="minorHAnsi"/>
          <w:color w:val="000000" w:themeColor="text1"/>
        </w:rPr>
        <w:t>for</w:t>
      </w:r>
      <w:r w:rsidR="005A7574">
        <w:rPr>
          <w:rFonts w:asciiTheme="minorHAnsi" w:hAnsiTheme="minorHAnsi" w:cstheme="minorHAnsi"/>
          <w:color w:val="000000" w:themeColor="text1"/>
        </w:rPr>
        <w:t xml:space="preserve"> routine care or </w:t>
      </w:r>
      <w:r w:rsidR="004F7815" w:rsidRPr="00C12D87">
        <w:rPr>
          <w:rFonts w:asciiTheme="minorHAnsi" w:hAnsiTheme="minorHAnsi" w:cstheme="minorHAnsi"/>
          <w:color w:val="000000" w:themeColor="text1"/>
        </w:rPr>
        <w:t>when the provider office isn’t locat</w:t>
      </w:r>
      <w:r w:rsidR="004F7815">
        <w:rPr>
          <w:rFonts w:asciiTheme="minorHAnsi" w:hAnsiTheme="minorHAnsi" w:cstheme="minorHAnsi"/>
          <w:color w:val="000000" w:themeColor="text1"/>
        </w:rPr>
        <w:t>ed</w:t>
      </w:r>
      <w:r w:rsidR="004F7815" w:rsidRPr="00C12D87">
        <w:rPr>
          <w:rFonts w:asciiTheme="minorHAnsi" w:hAnsiTheme="minorHAnsi" w:cstheme="minorHAnsi"/>
          <w:color w:val="000000" w:themeColor="text1"/>
        </w:rPr>
        <w:t xml:space="preserve"> on a hospital campus</w:t>
      </w:r>
      <w:r w:rsidR="00FF4904">
        <w:rPr>
          <w:rFonts w:asciiTheme="minorHAnsi" w:hAnsiTheme="minorHAnsi" w:cstheme="minorHAnsi"/>
          <w:color w:val="000000" w:themeColor="text1"/>
        </w:rPr>
        <w:t>.</w:t>
      </w:r>
    </w:p>
    <w:p w14:paraId="225CCF67" w14:textId="04BACE20" w:rsidR="000C199C" w:rsidRDefault="00A003B7" w:rsidP="00265E05">
      <w:r>
        <w:rPr>
          <w:rFonts w:ascii="Calibri" w:hAnsi="Calibri"/>
        </w:rPr>
        <w:t xml:space="preserve">While </w:t>
      </w:r>
      <w:r w:rsidR="00BE7BFC">
        <w:rPr>
          <w:rFonts w:ascii="Calibri" w:hAnsi="Calibri"/>
        </w:rPr>
        <w:t>many</w:t>
      </w:r>
      <w:r>
        <w:rPr>
          <w:rFonts w:ascii="Calibri" w:hAnsi="Calibri"/>
        </w:rPr>
        <w:t xml:space="preserve"> people may qualify for </w:t>
      </w:r>
      <w:r w:rsidR="00FF3412">
        <w:rPr>
          <w:rFonts w:ascii="Calibri" w:hAnsi="Calibri"/>
        </w:rPr>
        <w:t>Free Care or other</w:t>
      </w:r>
      <w:r w:rsidR="007C619C">
        <w:rPr>
          <w:rFonts w:ascii="Calibri" w:hAnsi="Calibri"/>
        </w:rPr>
        <w:t xml:space="preserve"> hospital</w:t>
      </w:r>
      <w:r w:rsidR="000400FC">
        <w:rPr>
          <w:rFonts w:ascii="Calibri" w:hAnsi="Calibri"/>
        </w:rPr>
        <w:t xml:space="preserve"> financial assistance programs</w:t>
      </w:r>
      <w:r w:rsidR="007C619C">
        <w:rPr>
          <w:rFonts w:ascii="Calibri" w:hAnsi="Calibri"/>
        </w:rPr>
        <w:t xml:space="preserve">, </w:t>
      </w:r>
      <w:r w:rsidR="00C6471D">
        <w:rPr>
          <w:rFonts w:ascii="Calibri" w:hAnsi="Calibri"/>
        </w:rPr>
        <w:t xml:space="preserve">not everyone who is eligible is </w:t>
      </w:r>
      <w:r w:rsidR="004E75F1">
        <w:rPr>
          <w:rFonts w:ascii="Calibri" w:hAnsi="Calibri"/>
        </w:rPr>
        <w:t xml:space="preserve">aware of these programs or </w:t>
      </w:r>
      <w:r w:rsidR="00C6471D">
        <w:rPr>
          <w:rFonts w:ascii="Calibri" w:hAnsi="Calibri"/>
        </w:rPr>
        <w:t xml:space="preserve">people </w:t>
      </w:r>
      <w:r w:rsidR="004E75F1">
        <w:rPr>
          <w:rFonts w:ascii="Calibri" w:hAnsi="Calibri"/>
        </w:rPr>
        <w:t>may</w:t>
      </w:r>
      <w:r w:rsidR="00C6471D">
        <w:rPr>
          <w:rFonts w:ascii="Calibri" w:hAnsi="Calibri"/>
        </w:rPr>
        <w:t xml:space="preserve"> also</w:t>
      </w:r>
      <w:r w:rsidR="004E75F1">
        <w:rPr>
          <w:rFonts w:ascii="Calibri" w:hAnsi="Calibri"/>
        </w:rPr>
        <w:t xml:space="preserve"> face barriers </w:t>
      </w:r>
      <w:r w:rsidR="00E25BB7">
        <w:rPr>
          <w:rFonts w:ascii="Calibri" w:hAnsi="Calibri"/>
        </w:rPr>
        <w:t>when applying for or accessing financial assistance.</w:t>
      </w:r>
      <w:r w:rsidR="007C619C">
        <w:rPr>
          <w:rFonts w:ascii="Calibri" w:hAnsi="Calibri"/>
        </w:rPr>
        <w:t xml:space="preserve"> In fact, </w:t>
      </w:r>
      <w:r w:rsidR="00B65100">
        <w:rPr>
          <w:rFonts w:ascii="Calibri" w:hAnsi="Calibri"/>
        </w:rPr>
        <w:t>survey data shows</w:t>
      </w:r>
      <w:r w:rsidR="00550E4D">
        <w:rPr>
          <w:rFonts w:ascii="Calibri" w:hAnsi="Calibri"/>
        </w:rPr>
        <w:t xml:space="preserve"> that</w:t>
      </w:r>
      <w:r w:rsidR="005C1318">
        <w:rPr>
          <w:rFonts w:ascii="Calibri" w:hAnsi="Calibri"/>
        </w:rPr>
        <w:t xml:space="preserve"> roughly</w:t>
      </w:r>
      <w:r w:rsidR="00E25BB7">
        <w:t xml:space="preserve"> half of Mainers who have hospital-related medical debt are not aware that </w:t>
      </w:r>
      <w:r w:rsidR="00795803">
        <w:t xml:space="preserve">Maine </w:t>
      </w:r>
      <w:r w:rsidR="00E25BB7">
        <w:t xml:space="preserve">hospitals are required to provide </w:t>
      </w:r>
      <w:r w:rsidR="00BF29B1">
        <w:t>medically necessary</w:t>
      </w:r>
      <w:r w:rsidR="00E25BB7">
        <w:t xml:space="preserve"> care for free to Mainers who meet certain income guidelines</w:t>
      </w:r>
      <w:r w:rsidR="00795803">
        <w:t>.</w:t>
      </w:r>
      <w:r w:rsidR="00795803">
        <w:rPr>
          <w:rStyle w:val="FootnoteReference"/>
        </w:rPr>
        <w:footnoteReference w:id="8"/>
      </w:r>
      <w:r w:rsidR="00C833D6">
        <w:t xml:space="preserve"> Unfortunately, by the time </w:t>
      </w:r>
      <w:r w:rsidR="00B81975">
        <w:t>some</w:t>
      </w:r>
      <w:r w:rsidR="00421F22">
        <w:t xml:space="preserve"> </w:t>
      </w:r>
      <w:r w:rsidR="002E511B">
        <w:t>people</w:t>
      </w:r>
      <w:r w:rsidR="00714CA3">
        <w:t xml:space="preserve"> become aware of</w:t>
      </w:r>
      <w:r w:rsidR="002E511B">
        <w:t xml:space="preserve"> </w:t>
      </w:r>
      <w:r w:rsidR="00B81975">
        <w:t>hospital free care</w:t>
      </w:r>
      <w:r w:rsidR="00421F22">
        <w:t xml:space="preserve"> programs</w:t>
      </w:r>
      <w:r w:rsidR="00B6711F">
        <w:t>,</w:t>
      </w:r>
      <w:r w:rsidR="00BC7B9A">
        <w:t xml:space="preserve"> the</w:t>
      </w:r>
      <w:r w:rsidR="000A44D0">
        <w:t xml:space="preserve">y </w:t>
      </w:r>
      <w:r w:rsidR="00C17D37">
        <w:t xml:space="preserve">may </w:t>
      </w:r>
      <w:r w:rsidR="000A44D0">
        <w:t>have already missed th</w:t>
      </w:r>
      <w:r w:rsidR="00C17D37">
        <w:t>eir</w:t>
      </w:r>
      <w:r w:rsidR="000A44D0">
        <w:t xml:space="preserve"> application window to app</w:t>
      </w:r>
      <w:r w:rsidR="00421F22">
        <w:t xml:space="preserve">ly. </w:t>
      </w:r>
      <w:r w:rsidR="00B37B18">
        <w:t xml:space="preserve">Additionally, many people face </w:t>
      </w:r>
      <w:r w:rsidR="00BC0A3A">
        <w:t xml:space="preserve">other </w:t>
      </w:r>
      <w:r w:rsidR="00B37B18">
        <w:t>challenges i</w:t>
      </w:r>
      <w:r w:rsidR="002315D5">
        <w:t>n obtaining free care</w:t>
      </w:r>
      <w:r w:rsidR="00BC0A3A">
        <w:t xml:space="preserve">, </w:t>
      </w:r>
      <w:r w:rsidR="00056C01">
        <w:t xml:space="preserve">including </w:t>
      </w:r>
      <w:r w:rsidR="00BC0A3A">
        <w:t xml:space="preserve">language barriers, as well as </w:t>
      </w:r>
      <w:r w:rsidR="002315D5">
        <w:t xml:space="preserve">onerous information or documentation requests, such as requiring </w:t>
      </w:r>
      <w:r w:rsidR="00D06390">
        <w:t>app</w:t>
      </w:r>
      <w:r w:rsidR="001A2593">
        <w:t xml:space="preserve">licants to </w:t>
      </w:r>
      <w:r w:rsidR="00BC2ACF">
        <w:t xml:space="preserve">get documents notarized or </w:t>
      </w:r>
      <w:r w:rsidR="006333E8">
        <w:t xml:space="preserve">physically </w:t>
      </w:r>
      <w:r w:rsidR="001A2593">
        <w:t>come to the hospital to sign their application in-person in front of hospital staff</w:t>
      </w:r>
      <w:r w:rsidR="006333E8">
        <w:t xml:space="preserve">. </w:t>
      </w:r>
    </w:p>
    <w:p w14:paraId="6E97FA11" w14:textId="77777777" w:rsidR="000C199C" w:rsidRDefault="000C199C" w:rsidP="00265E05"/>
    <w:p w14:paraId="35E9F640" w14:textId="76FE94EA" w:rsidR="00BC0A3A" w:rsidRDefault="003258A7" w:rsidP="00265E05">
      <w:r>
        <w:t xml:space="preserve">Even people </w:t>
      </w:r>
      <w:r w:rsidR="000C199C">
        <w:t>who are</w:t>
      </w:r>
      <w:r>
        <w:t xml:space="preserve"> approved for free care</w:t>
      </w:r>
      <w:r w:rsidR="000C199C">
        <w:t xml:space="preserve"> still face affordability challenges</w:t>
      </w:r>
      <w:r w:rsidR="00DF78DF">
        <w:t xml:space="preserve"> and m</w:t>
      </w:r>
      <w:r w:rsidR="003D57C6">
        <w:t xml:space="preserve">any </w:t>
      </w:r>
      <w:r w:rsidR="00E8128C">
        <w:t xml:space="preserve">receive </w:t>
      </w:r>
      <w:r w:rsidR="00DF78DF">
        <w:t>unexpected b</w:t>
      </w:r>
      <w:r w:rsidR="00E8128C">
        <w:t xml:space="preserve">ills </w:t>
      </w:r>
      <w:r w:rsidR="007B501B">
        <w:t xml:space="preserve">for </w:t>
      </w:r>
      <w:r w:rsidR="00E8128C">
        <w:t>services or providers not covered by the program</w:t>
      </w:r>
      <w:r w:rsidR="00627CED">
        <w:t xml:space="preserve">, even </w:t>
      </w:r>
      <w:r w:rsidR="00C348DD">
        <w:t>when</w:t>
      </w:r>
      <w:r w:rsidR="00511753">
        <w:t xml:space="preserve"> care was provided at the hospital or in a hospital-based facility. These </w:t>
      </w:r>
      <w:r w:rsidR="009537E2">
        <w:t xml:space="preserve">exclusions create significant confusion and patients are often left on the hook </w:t>
      </w:r>
      <w:r w:rsidR="002409BA">
        <w:t xml:space="preserve">for bills they thought would be covered by free care. The lack of transparency around </w:t>
      </w:r>
      <w:r w:rsidR="003F6ABC">
        <w:t>which</w:t>
      </w:r>
      <w:r w:rsidR="002409BA">
        <w:t xml:space="preserve"> specific services and providers </w:t>
      </w:r>
      <w:r w:rsidR="0001417D">
        <w:t xml:space="preserve">are </w:t>
      </w:r>
      <w:r w:rsidR="00A872F2">
        <w:t>or</w:t>
      </w:r>
      <w:r w:rsidR="0001417D">
        <w:t xml:space="preserve"> are not covered under a hospital’s free care program</w:t>
      </w:r>
      <w:r w:rsidR="00450B06">
        <w:t xml:space="preserve"> often </w:t>
      </w:r>
      <w:r w:rsidR="00B730F7">
        <w:t>result in people</w:t>
      </w:r>
      <w:r w:rsidR="00214A9B">
        <w:t xml:space="preserve"> </w:t>
      </w:r>
      <w:r w:rsidR="00B730F7">
        <w:t>avoiding or delaying care,</w:t>
      </w:r>
      <w:r w:rsidR="00214A9B">
        <w:t xml:space="preserve"> even after they </w:t>
      </w:r>
      <w:r w:rsidR="00D30211">
        <w:t>are</w:t>
      </w:r>
      <w:r w:rsidR="00214A9B">
        <w:t xml:space="preserve"> approved for free care</w:t>
      </w:r>
      <w:r w:rsidR="00D30211">
        <w:t xml:space="preserve">, due to </w:t>
      </w:r>
      <w:r w:rsidR="009048EE">
        <w:t xml:space="preserve">the uncertainty and fear that they may receive a bill that they would not be able to afford. </w:t>
      </w:r>
      <w:r w:rsidR="00214A9B">
        <w:t xml:space="preserve"> </w:t>
      </w:r>
    </w:p>
    <w:p w14:paraId="12C165E6" w14:textId="77777777" w:rsidR="009048EE" w:rsidRDefault="009048EE" w:rsidP="00265E05"/>
    <w:p w14:paraId="41E7D72C" w14:textId="1FA3CA33" w:rsidR="00BC0A3A" w:rsidRDefault="00F54E9A" w:rsidP="00265E05">
      <w:r>
        <w:t xml:space="preserve">Furthermore, </w:t>
      </w:r>
      <w:r w:rsidR="00150F62">
        <w:t xml:space="preserve">there are many </w:t>
      </w:r>
      <w:r>
        <w:t>people who are over</w:t>
      </w:r>
      <w:r w:rsidR="00150F62">
        <w:t xml:space="preserve"> the </w:t>
      </w:r>
      <w:r>
        <w:t xml:space="preserve">income </w:t>
      </w:r>
      <w:r w:rsidR="00150F62">
        <w:t xml:space="preserve">limits </w:t>
      </w:r>
      <w:r>
        <w:t>for free car</w:t>
      </w:r>
      <w:r w:rsidR="00F6075E">
        <w:t xml:space="preserve">e </w:t>
      </w:r>
      <w:r w:rsidR="00150F62">
        <w:t xml:space="preserve">programs, but who also are unable to afford their </w:t>
      </w:r>
      <w:r w:rsidR="0023712B">
        <w:t>hospital</w:t>
      </w:r>
      <w:r w:rsidR="00150F62">
        <w:t xml:space="preserve"> bills. </w:t>
      </w:r>
      <w:r w:rsidR="00EB6612">
        <w:t xml:space="preserve">While most </w:t>
      </w:r>
      <w:r w:rsidR="003A6CC8">
        <w:t>hospitals</w:t>
      </w:r>
      <w:r w:rsidR="00EB6612">
        <w:t xml:space="preserve"> offer payment plans, </w:t>
      </w:r>
      <w:r w:rsidR="00C93286">
        <w:t>many</w:t>
      </w:r>
      <w:r w:rsidR="003A6CC8">
        <w:t xml:space="preserve"> only allow payments to be </w:t>
      </w:r>
      <w:r w:rsidR="00861083">
        <w:t>made</w:t>
      </w:r>
      <w:r w:rsidR="0023712B">
        <w:t xml:space="preserve"> under these plans</w:t>
      </w:r>
      <w:r w:rsidR="003A6CC8">
        <w:t xml:space="preserve"> over a six-month period</w:t>
      </w:r>
      <w:r w:rsidR="00861083">
        <w:t>. This</w:t>
      </w:r>
      <w:r w:rsidR="00C93286">
        <w:t xml:space="preserve"> often </w:t>
      </w:r>
      <w:r w:rsidR="00C93286">
        <w:lastRenderedPageBreak/>
        <w:t>result</w:t>
      </w:r>
      <w:r w:rsidR="00861083">
        <w:t>s</w:t>
      </w:r>
      <w:r w:rsidR="00C93286">
        <w:t xml:space="preserve"> in very high monthly payment</w:t>
      </w:r>
      <w:r w:rsidR="00E0463A">
        <w:t xml:space="preserve"> amounts </w:t>
      </w:r>
      <w:r w:rsidR="00861083">
        <w:t xml:space="preserve">that people </w:t>
      </w:r>
      <w:r w:rsidR="00E0463A">
        <w:t>cannot afford to pay</w:t>
      </w:r>
      <w:r w:rsidR="00861083">
        <w:t xml:space="preserve">. </w:t>
      </w:r>
      <w:r w:rsidR="00D03902">
        <w:t xml:space="preserve">Through our </w:t>
      </w:r>
      <w:proofErr w:type="spellStart"/>
      <w:r w:rsidR="00D03902">
        <w:t>HelpLine</w:t>
      </w:r>
      <w:proofErr w:type="spellEnd"/>
      <w:r w:rsidR="00D03902">
        <w:t xml:space="preserve">, we </w:t>
      </w:r>
      <w:r w:rsidR="00E0463A">
        <w:t xml:space="preserve">often hear from Mainers who are struggling to </w:t>
      </w:r>
      <w:r w:rsidR="006B68F9">
        <w:t>afford</w:t>
      </w:r>
      <w:r w:rsidR="00D373F9">
        <w:t xml:space="preserve"> </w:t>
      </w:r>
      <w:r w:rsidR="00447795">
        <w:t>a</w:t>
      </w:r>
      <w:r w:rsidR="00D373F9">
        <w:t xml:space="preserve"> monthly</w:t>
      </w:r>
      <w:r w:rsidR="006B68F9">
        <w:t xml:space="preserve"> </w:t>
      </w:r>
      <w:r w:rsidR="00D373F9">
        <w:t xml:space="preserve">payment </w:t>
      </w:r>
      <w:r w:rsidR="00447795">
        <w:t>plan for</w:t>
      </w:r>
      <w:r w:rsidR="00D373F9">
        <w:t xml:space="preserve"> hospital debt, or who have been sent to collections</w:t>
      </w:r>
      <w:r w:rsidR="0005049F">
        <w:t xml:space="preserve"> </w:t>
      </w:r>
      <w:r w:rsidR="00D373F9">
        <w:t>or</w:t>
      </w:r>
      <w:r w:rsidR="0005049F">
        <w:t xml:space="preserve"> have</w:t>
      </w:r>
      <w:r w:rsidR="00D373F9">
        <w:t xml:space="preserve"> </w:t>
      </w:r>
      <w:r w:rsidR="00967B2F">
        <w:t>had to take on credit card debt to pay for</w:t>
      </w:r>
      <w:r w:rsidR="0005049F">
        <w:t xml:space="preserve"> their</w:t>
      </w:r>
      <w:r w:rsidR="00967B2F">
        <w:t xml:space="preserve"> hospital bills. </w:t>
      </w:r>
    </w:p>
    <w:p w14:paraId="3DB9153C" w14:textId="77777777" w:rsidR="0091726D" w:rsidRPr="00EE1DEE" w:rsidRDefault="0091726D" w:rsidP="00265E05">
      <w:pPr>
        <w:rPr>
          <w:rFonts w:ascii="Calibri" w:eastAsia="Times New Roman" w:hAnsi="Calibri" w:cs="Calibri"/>
        </w:rPr>
      </w:pPr>
    </w:p>
    <w:p w14:paraId="1EE41D73" w14:textId="6573E846" w:rsidR="00252079" w:rsidRPr="0091726D" w:rsidRDefault="0048437E" w:rsidP="0091726D">
      <w:pPr>
        <w:rPr>
          <w:rFonts w:ascii="Calibri" w:hAnsi="Calibri" w:cs="Calibri"/>
          <w:b/>
          <w:bCs/>
        </w:rPr>
      </w:pPr>
      <w:r w:rsidRPr="00A54D7C">
        <w:rPr>
          <w:rFonts w:ascii="Calibri" w:hAnsi="Calibri" w:cs="Calibri"/>
          <w:b/>
          <w:bCs/>
        </w:rPr>
        <w:t xml:space="preserve">Unaffordable </w:t>
      </w:r>
      <w:r w:rsidR="00AA2E57" w:rsidRPr="00A54D7C">
        <w:rPr>
          <w:rFonts w:ascii="Calibri" w:hAnsi="Calibri" w:cs="Calibri"/>
          <w:b/>
          <w:bCs/>
        </w:rPr>
        <w:t xml:space="preserve">Insurance </w:t>
      </w:r>
      <w:r w:rsidRPr="00A54D7C">
        <w:rPr>
          <w:rFonts w:ascii="Calibri" w:hAnsi="Calibri" w:cs="Calibri"/>
          <w:b/>
          <w:bCs/>
        </w:rPr>
        <w:t>Premiums &amp; Out-of-Pocket Costs</w:t>
      </w:r>
      <w:r w:rsidR="005A5FCB" w:rsidRPr="00A54D7C">
        <w:rPr>
          <w:rFonts w:ascii="Calibri" w:hAnsi="Calibri" w:cs="Calibri"/>
          <w:b/>
          <w:bCs/>
        </w:rPr>
        <w:t>:</w:t>
      </w:r>
      <w:r w:rsidR="0091726D">
        <w:rPr>
          <w:rFonts w:ascii="Calibri" w:hAnsi="Calibri" w:cs="Calibri"/>
          <w:b/>
          <w:bCs/>
        </w:rPr>
        <w:t xml:space="preserve"> </w:t>
      </w:r>
      <w:r w:rsidR="00252079" w:rsidRPr="00A54D7C">
        <w:rPr>
          <w:rFonts w:ascii="Calibri" w:hAnsi="Calibri"/>
        </w:rPr>
        <w:t xml:space="preserve">Too often we hear from people through our </w:t>
      </w:r>
      <w:proofErr w:type="spellStart"/>
      <w:r w:rsidR="00252079" w:rsidRPr="00A54D7C">
        <w:rPr>
          <w:rFonts w:ascii="Calibri" w:hAnsi="Calibri"/>
        </w:rPr>
        <w:t>HelpLine</w:t>
      </w:r>
      <w:proofErr w:type="spellEnd"/>
      <w:r w:rsidR="00252079" w:rsidRPr="00A54D7C">
        <w:rPr>
          <w:rFonts w:ascii="Calibri" w:hAnsi="Calibri"/>
        </w:rPr>
        <w:t xml:space="preserve"> who can’t afford to pay for their health coverage or medically necessary care, or who have gone into debt or experienced financial hardships, in order to pay for </w:t>
      </w:r>
      <w:r w:rsidR="00A872F2">
        <w:rPr>
          <w:rFonts w:ascii="Calibri" w:hAnsi="Calibri"/>
        </w:rPr>
        <w:t xml:space="preserve">necessary medical </w:t>
      </w:r>
      <w:r w:rsidR="00252079" w:rsidRPr="00A54D7C">
        <w:rPr>
          <w:rFonts w:ascii="Calibri" w:hAnsi="Calibri"/>
        </w:rPr>
        <w:t>treatment</w:t>
      </w:r>
      <w:r w:rsidR="00A872F2">
        <w:rPr>
          <w:rFonts w:ascii="Calibri" w:hAnsi="Calibri"/>
        </w:rPr>
        <w:t xml:space="preserve">, </w:t>
      </w:r>
      <w:r w:rsidR="009F30DA">
        <w:rPr>
          <w:rFonts w:ascii="Calibri" w:hAnsi="Calibri" w:cs="Calibri"/>
        </w:rPr>
        <w:t>even when they have</w:t>
      </w:r>
      <w:r w:rsidR="008324B0">
        <w:rPr>
          <w:rFonts w:ascii="Calibri" w:hAnsi="Calibri" w:cs="Calibri"/>
        </w:rPr>
        <w:t xml:space="preserve"> had</w:t>
      </w:r>
      <w:r w:rsidR="009F30DA">
        <w:rPr>
          <w:rFonts w:ascii="Calibri" w:hAnsi="Calibri" w:cs="Calibri"/>
        </w:rPr>
        <w:t xml:space="preserve"> health insurance. </w:t>
      </w:r>
    </w:p>
    <w:p w14:paraId="1274FE12" w14:textId="361A0393" w:rsidR="00252079" w:rsidRDefault="6C57C0D1" w:rsidP="00252079">
      <w:pPr>
        <w:pStyle w:val="NormalWeb"/>
        <w:rPr>
          <w:rFonts w:ascii="Calibri" w:hAnsi="Calibri" w:cs="Calibri"/>
        </w:rPr>
      </w:pPr>
      <w:r w:rsidRPr="50C777EA">
        <w:rPr>
          <w:rFonts w:ascii="Calibri" w:hAnsi="Calibri" w:cs="Calibri"/>
        </w:rPr>
        <w:t>Survey r</w:t>
      </w:r>
      <w:r w:rsidR="005A5FCB">
        <w:rPr>
          <w:rFonts w:ascii="Calibri" w:hAnsi="Calibri" w:cs="Calibri"/>
        </w:rPr>
        <w:t>esults</w:t>
      </w:r>
      <w:r w:rsidR="00252079">
        <w:rPr>
          <w:rFonts w:ascii="Calibri" w:hAnsi="Calibri" w:cs="Calibri"/>
        </w:rPr>
        <w:t xml:space="preserve"> </w:t>
      </w:r>
      <w:r w:rsidR="000612DC">
        <w:rPr>
          <w:rFonts w:ascii="Calibri" w:hAnsi="Calibri" w:cs="Calibri"/>
        </w:rPr>
        <w:t>demonstrate that these</w:t>
      </w:r>
      <w:r w:rsidR="00252079">
        <w:rPr>
          <w:rFonts w:ascii="Calibri" w:hAnsi="Calibri" w:cs="Calibri"/>
        </w:rPr>
        <w:t xml:space="preserve"> affordability barriers </w:t>
      </w:r>
      <w:r w:rsidR="00795803">
        <w:rPr>
          <w:rFonts w:ascii="Calibri" w:hAnsi="Calibri" w:cs="Calibri"/>
        </w:rPr>
        <w:t xml:space="preserve">among </w:t>
      </w:r>
      <w:r w:rsidR="009F30DA">
        <w:rPr>
          <w:rFonts w:ascii="Calibri" w:hAnsi="Calibri" w:cs="Calibri"/>
        </w:rPr>
        <w:t>Mainers with</w:t>
      </w:r>
      <w:r w:rsidR="00795803">
        <w:rPr>
          <w:rFonts w:ascii="Calibri" w:hAnsi="Calibri" w:cs="Calibri"/>
        </w:rPr>
        <w:t xml:space="preserve"> private insuranc</w:t>
      </w:r>
      <w:r w:rsidR="009F30DA">
        <w:rPr>
          <w:rFonts w:ascii="Calibri" w:hAnsi="Calibri" w:cs="Calibri"/>
        </w:rPr>
        <w:t>e</w:t>
      </w:r>
      <w:r w:rsidR="000612DC">
        <w:rPr>
          <w:rFonts w:ascii="Calibri" w:hAnsi="Calibri" w:cs="Calibri"/>
        </w:rPr>
        <w:t xml:space="preserve"> are widespread in Maine</w:t>
      </w:r>
      <w:r w:rsidR="009F30DA">
        <w:rPr>
          <w:rFonts w:ascii="Calibri" w:hAnsi="Calibri" w:cs="Calibri"/>
        </w:rPr>
        <w:t>:</w:t>
      </w:r>
    </w:p>
    <w:p w14:paraId="572EAFDD" w14:textId="66271D03" w:rsidR="0048437E" w:rsidRPr="00252079" w:rsidRDefault="00252079" w:rsidP="00252079">
      <w:pPr>
        <w:pStyle w:val="NormalWeb"/>
        <w:numPr>
          <w:ilvl w:val="0"/>
          <w:numId w:val="26"/>
        </w:numPr>
        <w:rPr>
          <w:rFonts w:ascii="Calibri" w:hAnsi="Calibri" w:cs="Calibri"/>
        </w:rPr>
      </w:pPr>
      <w:r w:rsidRPr="00252079">
        <w:rPr>
          <w:rFonts w:ascii="Calibri" w:hAnsi="Calibri" w:cs="Calibri"/>
        </w:rPr>
        <w:t>More than half of people with commercial insurance would be much more likely to get medical services or prescription drugs if their health plan didn’t have such high deductibles or out-of-pocket costs</w:t>
      </w:r>
      <w:r w:rsidR="005D48EC">
        <w:rPr>
          <w:rFonts w:ascii="Calibri" w:hAnsi="Calibri" w:cs="Calibri"/>
        </w:rPr>
        <w:t>.</w:t>
      </w:r>
    </w:p>
    <w:p w14:paraId="0899FF51" w14:textId="77777777" w:rsidR="00252079" w:rsidRPr="00252079" w:rsidRDefault="00252079" w:rsidP="00252079">
      <w:pPr>
        <w:pStyle w:val="ListParagraph"/>
        <w:numPr>
          <w:ilvl w:val="0"/>
          <w:numId w:val="26"/>
        </w:numPr>
        <w:rPr>
          <w:rFonts w:ascii="Calibri" w:eastAsia="Times New Roman" w:hAnsi="Calibri" w:cs="Calibri"/>
        </w:rPr>
      </w:pPr>
      <w:r w:rsidRPr="00252079">
        <w:rPr>
          <w:rFonts w:ascii="Calibri" w:eastAsia="Times New Roman" w:hAnsi="Calibri" w:cs="Calibri"/>
        </w:rPr>
        <w:t xml:space="preserve">Almost six out of ten Mainers with commercial insurance are concerned they will lose their coverage because they cannot afford it. </w:t>
      </w:r>
    </w:p>
    <w:p w14:paraId="752AE270" w14:textId="2CAB8172" w:rsidR="00AA2E57" w:rsidRPr="00436F83" w:rsidRDefault="00252079" w:rsidP="00AA2E57">
      <w:pPr>
        <w:pStyle w:val="ListParagraph"/>
        <w:numPr>
          <w:ilvl w:val="0"/>
          <w:numId w:val="26"/>
        </w:numPr>
        <w:rPr>
          <w:rFonts w:ascii="Calibri" w:hAnsi="Calibri" w:cs="Calibri"/>
        </w:rPr>
      </w:pPr>
      <w:r w:rsidRPr="00252079">
        <w:rPr>
          <w:rFonts w:ascii="Calibri" w:eastAsia="Times New Roman" w:hAnsi="Calibri" w:cs="Calibri"/>
        </w:rPr>
        <w:t>More than half of Mainers with commercial insurance face difficulty paying for medical expenses not covered by their health plan.</w:t>
      </w:r>
      <w:r>
        <w:rPr>
          <w:rStyle w:val="FootnoteReference"/>
          <w:rFonts w:ascii="Calibri" w:eastAsia="Times New Roman" w:hAnsi="Calibri" w:cs="Calibri"/>
        </w:rPr>
        <w:footnoteReference w:id="9"/>
      </w:r>
      <w:r w:rsidRPr="00252079">
        <w:rPr>
          <w:rFonts w:ascii="Calibri" w:eastAsia="Times New Roman" w:hAnsi="Calibri" w:cs="Calibri"/>
        </w:rPr>
        <w:t xml:space="preserve"> </w:t>
      </w:r>
    </w:p>
    <w:p w14:paraId="56DCC535" w14:textId="77777777" w:rsidR="00436F83" w:rsidRPr="00436F83" w:rsidRDefault="00436F83" w:rsidP="00DC3264">
      <w:pPr>
        <w:ind w:left="360"/>
        <w:rPr>
          <w:rFonts w:ascii="Calibri" w:hAnsi="Calibri" w:cs="Calibri"/>
        </w:rPr>
      </w:pPr>
    </w:p>
    <w:p w14:paraId="30F02B6E" w14:textId="77777777" w:rsidR="00DE3C67" w:rsidRDefault="00DE3C67" w:rsidP="008219EB">
      <w:pPr>
        <w:jc w:val="center"/>
        <w:rPr>
          <w:rFonts w:ascii="Calibri" w:hAnsi="Calibri" w:cs="Calibri"/>
          <w:b/>
          <w:bCs/>
          <w:sz w:val="28"/>
          <w:szCs w:val="28"/>
        </w:rPr>
      </w:pPr>
    </w:p>
    <w:p w14:paraId="58182EDB" w14:textId="56179E02" w:rsidR="00FF1AE4" w:rsidRPr="00CE0073" w:rsidRDefault="0004024D" w:rsidP="00CE0073">
      <w:pPr>
        <w:pStyle w:val="ListParagraph"/>
        <w:numPr>
          <w:ilvl w:val="0"/>
          <w:numId w:val="31"/>
        </w:numPr>
        <w:rPr>
          <w:rFonts w:ascii="Calibri" w:hAnsi="Calibri" w:cs="Calibri"/>
          <w:b/>
          <w:bCs/>
          <w:sz w:val="26"/>
          <w:szCs w:val="26"/>
        </w:rPr>
      </w:pPr>
      <w:r w:rsidRPr="00CE0073">
        <w:rPr>
          <w:rFonts w:ascii="Calibri" w:hAnsi="Calibri" w:cs="Calibri"/>
          <w:b/>
          <w:bCs/>
          <w:sz w:val="26"/>
          <w:szCs w:val="26"/>
        </w:rPr>
        <w:t>Characteristics Specific to Maine</w:t>
      </w:r>
    </w:p>
    <w:p w14:paraId="069534E3" w14:textId="77777777" w:rsidR="0028745D" w:rsidRDefault="0028745D" w:rsidP="0028745D">
      <w:pPr>
        <w:pStyle w:val="ListParagraph"/>
        <w:rPr>
          <w:rFonts w:ascii="Calibri" w:hAnsi="Calibri" w:cs="Calibri"/>
          <w:b/>
          <w:bCs/>
          <w:sz w:val="28"/>
          <w:szCs w:val="28"/>
        </w:rPr>
      </w:pPr>
    </w:p>
    <w:p w14:paraId="270D1C4D" w14:textId="40086FC4" w:rsidR="0028745D" w:rsidRDefault="00704A14" w:rsidP="00371DDC">
      <w:pPr>
        <w:rPr>
          <w:rFonts w:ascii="Calibri" w:hAnsi="Calibri" w:cs="Calibri"/>
        </w:rPr>
      </w:pPr>
      <w:r>
        <w:rPr>
          <w:rFonts w:ascii="Calibri" w:hAnsi="Calibri" w:cs="Calibri"/>
        </w:rPr>
        <w:t xml:space="preserve">There are several characteristics specific to Maine that impact </w:t>
      </w:r>
      <w:r w:rsidR="00996836">
        <w:rPr>
          <w:rFonts w:ascii="Calibri" w:hAnsi="Calibri" w:cs="Calibri"/>
        </w:rPr>
        <w:t xml:space="preserve">access to affordable health care and coverage, including the rural makeup of our state. </w:t>
      </w:r>
      <w:r w:rsidR="0065134F" w:rsidRPr="0065134F">
        <w:rPr>
          <w:rFonts w:ascii="Calibri" w:hAnsi="Calibri" w:cs="Calibri"/>
        </w:rPr>
        <w:t xml:space="preserve">Maine is considered the most rural state in the country, with forty percent of the state’s population living in one of Maine’s 11 rural counties.  Living in rural areas is often associated with increased barriers to accessing care – due to lack of transportation, a need to travel farther distances to reach a primary care provider, or a complete lack of availability of providers. Rural communities represent nearly two-thirds of primary care health professional shortage areas in the country, </w:t>
      </w:r>
      <w:r w:rsidR="004B0100">
        <w:rPr>
          <w:rFonts w:ascii="Calibri" w:hAnsi="Calibri" w:cs="Calibri"/>
        </w:rPr>
        <w:t>and Maine is no exception to this pattern.</w:t>
      </w:r>
      <w:r w:rsidR="0065134F" w:rsidRPr="0065134F">
        <w:rPr>
          <w:rFonts w:ascii="Calibri" w:hAnsi="Calibri" w:cs="Calibri"/>
        </w:rPr>
        <w:t xml:space="preserve">  A 2022 Maine Shared Community Health Needs Assessment Report found that access to care was identified as the second highest priority in Piscataquis County, one of Maine’s most rural counties. A lack of availability of primary care providers in the country was the most frequently mentioned health concern related to access to care. It was also identified as the largest barrier to care by community forum participants. </w:t>
      </w:r>
      <w:r w:rsidR="00357FDA">
        <w:rPr>
          <w:rFonts w:ascii="Calibri" w:hAnsi="Calibri" w:cs="Calibri"/>
        </w:rPr>
        <w:t xml:space="preserve">In addition to provider shortages, </w:t>
      </w:r>
      <w:r w:rsidR="00982DE7">
        <w:rPr>
          <w:rFonts w:ascii="Calibri" w:hAnsi="Calibri" w:cs="Calibri"/>
        </w:rPr>
        <w:t>carriers typically charge higher premiums in</w:t>
      </w:r>
      <w:r w:rsidR="00F37FDA">
        <w:rPr>
          <w:rFonts w:ascii="Calibri" w:hAnsi="Calibri" w:cs="Calibri"/>
        </w:rPr>
        <w:t xml:space="preserve"> rural counties, further ex</w:t>
      </w:r>
      <w:r w:rsidR="00E826AA">
        <w:rPr>
          <w:rFonts w:ascii="Calibri" w:hAnsi="Calibri" w:cs="Calibri"/>
        </w:rPr>
        <w:t>acerbating</w:t>
      </w:r>
      <w:r w:rsidR="00F37FDA">
        <w:rPr>
          <w:rFonts w:ascii="Calibri" w:hAnsi="Calibri" w:cs="Calibri"/>
        </w:rPr>
        <w:t xml:space="preserve"> affordability challenges for </w:t>
      </w:r>
      <w:r w:rsidR="00B96ECA">
        <w:rPr>
          <w:rFonts w:ascii="Calibri" w:hAnsi="Calibri" w:cs="Calibri"/>
        </w:rPr>
        <w:t>people and small businesses in rural areas</w:t>
      </w:r>
      <w:r w:rsidR="00F37FDA">
        <w:rPr>
          <w:rFonts w:ascii="Calibri" w:hAnsi="Calibri" w:cs="Calibri"/>
        </w:rPr>
        <w:t xml:space="preserve">. </w:t>
      </w:r>
    </w:p>
    <w:p w14:paraId="1EB482FA" w14:textId="77777777" w:rsidR="00CE0073" w:rsidRDefault="00CE0073" w:rsidP="00371DDC">
      <w:pPr>
        <w:rPr>
          <w:rFonts w:ascii="Calibri" w:hAnsi="Calibri" w:cs="Calibri"/>
        </w:rPr>
      </w:pPr>
    </w:p>
    <w:p w14:paraId="62133E98" w14:textId="0BEBD73E" w:rsidR="0004024D" w:rsidRDefault="00AB74EB" w:rsidP="0004024D">
      <w:pPr>
        <w:rPr>
          <w:rFonts w:ascii="Calibri" w:hAnsi="Calibri" w:cs="Calibri"/>
        </w:rPr>
      </w:pPr>
      <w:r>
        <w:rPr>
          <w:rFonts w:ascii="Calibri" w:hAnsi="Calibri" w:cs="Calibri"/>
        </w:rPr>
        <w:t>Another</w:t>
      </w:r>
      <w:r w:rsidR="00EB498D">
        <w:rPr>
          <w:rFonts w:ascii="Calibri" w:hAnsi="Calibri" w:cs="Calibri"/>
        </w:rPr>
        <w:t xml:space="preserve"> </w:t>
      </w:r>
      <w:r>
        <w:rPr>
          <w:rFonts w:ascii="Calibri" w:hAnsi="Calibri" w:cs="Calibri"/>
        </w:rPr>
        <w:t xml:space="preserve">characteristic </w:t>
      </w:r>
      <w:r w:rsidR="00EB498D">
        <w:rPr>
          <w:rFonts w:ascii="Calibri" w:hAnsi="Calibri" w:cs="Calibri"/>
        </w:rPr>
        <w:t xml:space="preserve">impacting affordability </w:t>
      </w:r>
      <w:r w:rsidR="00FB42B2">
        <w:rPr>
          <w:rFonts w:ascii="Calibri" w:hAnsi="Calibri" w:cs="Calibri"/>
        </w:rPr>
        <w:t xml:space="preserve">is the </w:t>
      </w:r>
      <w:r w:rsidR="0078053C">
        <w:rPr>
          <w:rFonts w:ascii="Calibri" w:hAnsi="Calibri" w:cs="Calibri"/>
        </w:rPr>
        <w:t xml:space="preserve">level of concentration within </w:t>
      </w:r>
      <w:r w:rsidR="00A4094A">
        <w:rPr>
          <w:rFonts w:ascii="Calibri" w:hAnsi="Calibri" w:cs="Calibri"/>
        </w:rPr>
        <w:t xml:space="preserve">Maine’s health care market. </w:t>
      </w:r>
      <w:r w:rsidR="00DD7196">
        <w:rPr>
          <w:rFonts w:ascii="Calibri" w:hAnsi="Calibri" w:cs="Calibri"/>
        </w:rPr>
        <w:t>R</w:t>
      </w:r>
      <w:r w:rsidR="002E5DAE">
        <w:rPr>
          <w:rFonts w:ascii="Calibri" w:hAnsi="Calibri" w:cs="Calibri"/>
        </w:rPr>
        <w:t xml:space="preserve">esearch </w:t>
      </w:r>
      <w:r w:rsidR="00A954DA">
        <w:rPr>
          <w:rFonts w:ascii="Calibri" w:hAnsi="Calibri" w:cs="Calibri"/>
        </w:rPr>
        <w:t>show</w:t>
      </w:r>
      <w:r w:rsidR="00DD7196">
        <w:rPr>
          <w:rFonts w:ascii="Calibri" w:hAnsi="Calibri" w:cs="Calibri"/>
        </w:rPr>
        <w:t>s that</w:t>
      </w:r>
      <w:r w:rsidR="00A954DA">
        <w:rPr>
          <w:rFonts w:ascii="Calibri" w:hAnsi="Calibri" w:cs="Calibri"/>
        </w:rPr>
        <w:t xml:space="preserve"> health care prices </w:t>
      </w:r>
      <w:r w:rsidR="00FD21A0">
        <w:rPr>
          <w:rFonts w:ascii="Calibri" w:hAnsi="Calibri" w:cs="Calibri"/>
        </w:rPr>
        <w:t xml:space="preserve">are higher in areas with less </w:t>
      </w:r>
      <w:r w:rsidR="00FD21A0">
        <w:rPr>
          <w:rFonts w:ascii="Calibri" w:hAnsi="Calibri" w:cs="Calibri"/>
        </w:rPr>
        <w:lastRenderedPageBreak/>
        <w:t>competitive markets.</w:t>
      </w:r>
      <w:r w:rsidR="0028469F">
        <w:rPr>
          <w:rStyle w:val="FootnoteReference"/>
          <w:rFonts w:ascii="Calibri" w:hAnsi="Calibri" w:cs="Calibri"/>
        </w:rPr>
        <w:footnoteReference w:id="10"/>
      </w:r>
      <w:r w:rsidR="00FD21A0">
        <w:rPr>
          <w:rFonts w:ascii="Calibri" w:hAnsi="Calibri" w:cs="Calibri"/>
        </w:rPr>
        <w:t xml:space="preserve"> </w:t>
      </w:r>
      <w:r w:rsidR="00FB42B2">
        <w:rPr>
          <w:rFonts w:ascii="Calibri" w:hAnsi="Calibri" w:cs="Calibri"/>
        </w:rPr>
        <w:t xml:space="preserve"> </w:t>
      </w:r>
      <w:r w:rsidR="0028469F">
        <w:rPr>
          <w:rFonts w:ascii="Calibri" w:hAnsi="Calibri" w:cs="Calibri"/>
        </w:rPr>
        <w:t xml:space="preserve">An analysis of hospital market concentration in metro areas across the United States found that </w:t>
      </w:r>
      <w:r w:rsidR="00986380">
        <w:rPr>
          <w:rFonts w:ascii="Calibri" w:hAnsi="Calibri" w:cs="Calibri"/>
        </w:rPr>
        <w:t xml:space="preserve">the market in </w:t>
      </w:r>
      <w:r w:rsidR="009931A0" w:rsidRPr="009931A0">
        <w:rPr>
          <w:rFonts w:ascii="Calibri" w:hAnsi="Calibri" w:cs="Calibri"/>
        </w:rPr>
        <w:t>Portland, ME was highly concentrated</w:t>
      </w:r>
      <w:r w:rsidR="00E01EB5">
        <w:rPr>
          <w:rFonts w:ascii="Calibri" w:hAnsi="Calibri" w:cs="Calibri"/>
        </w:rPr>
        <w:t xml:space="preserve">. In 2021, Portland scored a </w:t>
      </w:r>
      <w:r w:rsidR="00E01EB5" w:rsidRPr="009931A0">
        <w:rPr>
          <w:rFonts w:ascii="Calibri" w:hAnsi="Calibri" w:cs="Calibri"/>
        </w:rPr>
        <w:t xml:space="preserve">4,716 </w:t>
      </w:r>
      <w:r w:rsidR="00E01EB5">
        <w:rPr>
          <w:rFonts w:ascii="Calibri" w:hAnsi="Calibri" w:cs="Calibri"/>
        </w:rPr>
        <w:t xml:space="preserve">on the </w:t>
      </w:r>
      <w:r w:rsidR="00E01EB5" w:rsidRPr="00E01EB5">
        <w:rPr>
          <w:rFonts w:ascii="Calibri" w:hAnsi="Calibri" w:cs="Calibri"/>
        </w:rPr>
        <w:t>Herfindahl-Hirschman Index</w:t>
      </w:r>
      <w:r w:rsidR="00E01EB5">
        <w:rPr>
          <w:rFonts w:ascii="Calibri" w:hAnsi="Calibri" w:cs="Calibri"/>
        </w:rPr>
        <w:t xml:space="preserve"> (HHI)</w:t>
      </w:r>
      <w:r w:rsidR="001617E6">
        <w:rPr>
          <w:rFonts w:ascii="Calibri" w:hAnsi="Calibri" w:cs="Calibri"/>
        </w:rPr>
        <w:t xml:space="preserve">, which was higher than </w:t>
      </w:r>
      <w:r w:rsidR="00537F1C">
        <w:rPr>
          <w:rFonts w:ascii="Calibri" w:hAnsi="Calibri" w:cs="Calibri"/>
        </w:rPr>
        <w:t>162 of the 183 metro areas included in the analysis.</w:t>
      </w:r>
      <w:r w:rsidR="00537F1C">
        <w:rPr>
          <w:rStyle w:val="FootnoteReference"/>
          <w:rFonts w:ascii="Calibri" w:hAnsi="Calibri" w:cs="Calibri"/>
        </w:rPr>
        <w:footnoteReference w:id="11"/>
      </w:r>
      <w:r w:rsidR="001300D4">
        <w:rPr>
          <w:rFonts w:ascii="Calibri" w:hAnsi="Calibri" w:cs="Calibri"/>
        </w:rPr>
        <w:t xml:space="preserve"> </w:t>
      </w:r>
      <w:r w:rsidR="00DC08CD">
        <w:rPr>
          <w:rFonts w:ascii="Calibri" w:hAnsi="Calibri" w:cs="Calibri"/>
        </w:rPr>
        <w:t>The higher the market concentration score, the less competitive the market is.</w:t>
      </w:r>
    </w:p>
    <w:p w14:paraId="71AD1147" w14:textId="77777777" w:rsidR="00FB613E" w:rsidRDefault="00FB613E" w:rsidP="0004024D">
      <w:pPr>
        <w:rPr>
          <w:rFonts w:ascii="Calibri" w:hAnsi="Calibri" w:cs="Calibri"/>
        </w:rPr>
      </w:pPr>
    </w:p>
    <w:p w14:paraId="50E793BD" w14:textId="77777777" w:rsidR="00CE0073" w:rsidRPr="0091726D" w:rsidRDefault="00CE0073" w:rsidP="0004024D">
      <w:pPr>
        <w:rPr>
          <w:rFonts w:ascii="Calibri" w:hAnsi="Calibri" w:cs="Calibri"/>
        </w:rPr>
      </w:pPr>
    </w:p>
    <w:p w14:paraId="28752A2A" w14:textId="6452D091" w:rsidR="00692B8A" w:rsidRPr="00CE0073" w:rsidRDefault="00692B8A" w:rsidP="00CE0073">
      <w:pPr>
        <w:pStyle w:val="ListParagraph"/>
        <w:numPr>
          <w:ilvl w:val="0"/>
          <w:numId w:val="31"/>
        </w:numPr>
        <w:rPr>
          <w:rFonts w:ascii="Calibri" w:hAnsi="Calibri" w:cs="Calibri"/>
          <w:b/>
          <w:bCs/>
          <w:sz w:val="26"/>
          <w:szCs w:val="26"/>
        </w:rPr>
      </w:pPr>
      <w:r w:rsidRPr="00CE0073">
        <w:rPr>
          <w:rFonts w:ascii="Calibri" w:hAnsi="Calibri" w:cs="Calibri"/>
          <w:b/>
          <w:bCs/>
          <w:sz w:val="26"/>
          <w:szCs w:val="26"/>
        </w:rPr>
        <w:t>Policy Changes</w:t>
      </w:r>
    </w:p>
    <w:p w14:paraId="27C91424" w14:textId="681665B1" w:rsidR="008219EB" w:rsidRDefault="008219EB" w:rsidP="008219EB">
      <w:pPr>
        <w:rPr>
          <w:rFonts w:ascii="Calibri" w:hAnsi="Calibri" w:cs="Calibri"/>
          <w:b/>
          <w:bCs/>
        </w:rPr>
      </w:pPr>
    </w:p>
    <w:p w14:paraId="3244E8E9" w14:textId="046697B7" w:rsidR="000342F9" w:rsidRPr="00C054FE" w:rsidRDefault="008219EB" w:rsidP="000E63CF">
      <w:pPr>
        <w:rPr>
          <w:rFonts w:ascii="Calibri" w:hAnsi="Calibri"/>
        </w:rPr>
      </w:pPr>
      <w:r w:rsidRPr="00C054FE">
        <w:rPr>
          <w:rFonts w:ascii="Calibri" w:hAnsi="Calibri"/>
          <w:b/>
        </w:rPr>
        <w:t>Close Coverage Gap for Immigrants</w:t>
      </w:r>
      <w:r w:rsidR="001B20FB">
        <w:rPr>
          <w:rFonts w:ascii="Calibri" w:hAnsi="Calibri"/>
          <w:b/>
        </w:rPr>
        <w:t>:</w:t>
      </w:r>
      <w:r w:rsidR="00F44095" w:rsidRPr="00C054FE">
        <w:rPr>
          <w:rFonts w:ascii="Calibri" w:eastAsia="Times New Roman" w:hAnsi="Calibri" w:cs="Calibri"/>
        </w:rPr>
        <w:t xml:space="preserve"> More than two out of three Mainers </w:t>
      </w:r>
      <w:r w:rsidR="00861D49" w:rsidRPr="00C054FE">
        <w:rPr>
          <w:rFonts w:ascii="Calibri" w:eastAsia="Times New Roman" w:hAnsi="Calibri" w:cs="Calibri"/>
        </w:rPr>
        <w:t xml:space="preserve">support </w:t>
      </w:r>
      <w:r w:rsidR="00F44095" w:rsidRPr="00C054FE">
        <w:rPr>
          <w:rFonts w:ascii="Calibri" w:eastAsia="Times New Roman" w:hAnsi="Calibri" w:cs="Calibri"/>
        </w:rPr>
        <w:t>ensuring</w:t>
      </w:r>
      <w:r w:rsidR="00576FBB">
        <w:rPr>
          <w:rFonts w:ascii="Calibri" w:eastAsia="Times New Roman" w:hAnsi="Calibri" w:cs="Calibri"/>
        </w:rPr>
        <w:t xml:space="preserve"> that</w:t>
      </w:r>
      <w:r w:rsidR="00F44095" w:rsidRPr="00C054FE">
        <w:rPr>
          <w:rFonts w:ascii="Calibri" w:eastAsia="Times New Roman" w:hAnsi="Calibri" w:cs="Calibri"/>
        </w:rPr>
        <w:t xml:space="preserve"> all Mainers qualify for health coverage - regardless of immigration status.</w:t>
      </w:r>
      <w:r w:rsidR="00F44095" w:rsidRPr="00C054FE">
        <w:rPr>
          <w:rStyle w:val="FootnoteReference"/>
          <w:rFonts w:ascii="Calibri" w:eastAsia="Times New Roman" w:hAnsi="Calibri" w:cs="Calibri"/>
        </w:rPr>
        <w:footnoteReference w:id="12"/>
      </w:r>
      <w:r w:rsidR="00861D49" w:rsidRPr="00C054FE">
        <w:rPr>
          <w:rFonts w:ascii="Calibri" w:eastAsia="Times New Roman" w:hAnsi="Calibri" w:cs="Calibri"/>
        </w:rPr>
        <w:t xml:space="preserve"> </w:t>
      </w:r>
      <w:r w:rsidR="000E63CF" w:rsidRPr="00C054FE">
        <w:rPr>
          <w:rFonts w:ascii="Calibri" w:hAnsi="Calibri"/>
          <w:b/>
        </w:rPr>
        <w:t xml:space="preserve"> </w:t>
      </w:r>
      <w:r w:rsidR="000E63CF" w:rsidRPr="00C054FE">
        <w:rPr>
          <w:rFonts w:ascii="Calibri" w:hAnsi="Calibri"/>
        </w:rPr>
        <w:t>Governor Mills and the Maine Legislature took</w:t>
      </w:r>
      <w:r w:rsidR="000E63CF" w:rsidRPr="00C054FE">
        <w:rPr>
          <w:rFonts w:ascii="Calibri" w:hAnsi="Calibri"/>
          <w:b/>
        </w:rPr>
        <w:t xml:space="preserve"> </w:t>
      </w:r>
      <w:r w:rsidR="000E63CF" w:rsidRPr="00C054FE">
        <w:rPr>
          <w:rFonts w:ascii="Calibri" w:hAnsi="Calibri"/>
          <w:color w:val="000000" w:themeColor="text1"/>
        </w:rPr>
        <w:t xml:space="preserve">a significant step in improving health care affordability and advancing health care equity by restoring eligibility for MaineCare to children and pregnant people regardless of their immigration status. However, </w:t>
      </w:r>
      <w:r w:rsidR="000E63CF" w:rsidRPr="00C054FE">
        <w:rPr>
          <w:rStyle w:val="normaltextrun"/>
          <w:rFonts w:ascii="Calibri" w:hAnsi="Calibri"/>
          <w:color w:val="000000" w:themeColor="text1"/>
        </w:rPr>
        <w:t>the coverage gap still exists for adults</w:t>
      </w:r>
      <w:r w:rsidR="00576FBB">
        <w:rPr>
          <w:rStyle w:val="normaltextrun"/>
          <w:rFonts w:ascii="Calibri" w:hAnsi="Calibri"/>
          <w:color w:val="000000" w:themeColor="text1"/>
        </w:rPr>
        <w:t>,</w:t>
      </w:r>
      <w:r w:rsidR="000E63CF" w:rsidRPr="00C054FE">
        <w:rPr>
          <w:rStyle w:val="normaltextrun"/>
          <w:rFonts w:ascii="Calibri" w:hAnsi="Calibri"/>
          <w:color w:val="000000" w:themeColor="text1"/>
        </w:rPr>
        <w:t xml:space="preserve"> and many immigrants living and working in Maine </w:t>
      </w:r>
      <w:r w:rsidR="15298FC3" w:rsidRPr="00C054FE">
        <w:rPr>
          <w:rStyle w:val="normaltextrun"/>
          <w:rFonts w:ascii="Calibri" w:hAnsi="Calibri" w:cs="Calibri"/>
          <w:color w:val="000000" w:themeColor="text1"/>
        </w:rPr>
        <w:t xml:space="preserve">who </w:t>
      </w:r>
      <w:r w:rsidR="000E63CF" w:rsidRPr="00C054FE">
        <w:rPr>
          <w:rStyle w:val="normaltextrun"/>
          <w:rFonts w:ascii="Calibri" w:hAnsi="Calibri"/>
          <w:color w:val="000000" w:themeColor="text1"/>
        </w:rPr>
        <w:t>are ineligible for MaineCare due to their immigration status. Removing this discriminatory exclusion so that all income-eligible people living in Maine can have access to coverage for the same scope of services through MaineCare, regardless of their immigration status</w:t>
      </w:r>
      <w:r w:rsidR="7AD41F39" w:rsidRPr="00C054FE">
        <w:rPr>
          <w:rStyle w:val="normaltextrun"/>
          <w:rFonts w:ascii="Calibri" w:hAnsi="Calibri" w:cs="Calibri"/>
          <w:color w:val="000000" w:themeColor="text1"/>
        </w:rPr>
        <w:t>,</w:t>
      </w:r>
      <w:r w:rsidR="000E63CF" w:rsidRPr="00C054FE">
        <w:rPr>
          <w:rStyle w:val="normaltextrun"/>
          <w:rFonts w:ascii="Calibri" w:hAnsi="Calibri"/>
          <w:color w:val="000000" w:themeColor="text1"/>
        </w:rPr>
        <w:t xml:space="preserve"> is crucial to addressing health care affordability in Maine</w:t>
      </w:r>
      <w:r w:rsidR="00861D49" w:rsidRPr="00C054FE">
        <w:rPr>
          <w:rStyle w:val="normaltextrun"/>
          <w:rFonts w:ascii="Calibri" w:hAnsi="Calibri"/>
          <w:color w:val="000000" w:themeColor="text1"/>
        </w:rPr>
        <w:t>.</w:t>
      </w:r>
      <w:r w:rsidR="0012012C" w:rsidRPr="00C054FE">
        <w:rPr>
          <w:rStyle w:val="normaltextrun"/>
          <w:rFonts w:ascii="Calibri" w:hAnsi="Calibri"/>
          <w:color w:val="000000" w:themeColor="text1"/>
        </w:rPr>
        <w:t xml:space="preserve"> </w:t>
      </w:r>
    </w:p>
    <w:p w14:paraId="105005DF" w14:textId="675909E3" w:rsidR="00692B8A" w:rsidRPr="00C054FE" w:rsidRDefault="00692B8A" w:rsidP="008219EB">
      <w:pPr>
        <w:rPr>
          <w:rFonts w:ascii="Calibri" w:hAnsi="Calibri" w:cs="Calibri"/>
          <w:b/>
          <w:bCs/>
        </w:rPr>
      </w:pPr>
      <w:r w:rsidRPr="00C054FE">
        <w:rPr>
          <w:rFonts w:ascii="Calibri" w:hAnsi="Calibri" w:cs="Calibri"/>
        </w:rPr>
        <w:t xml:space="preserve"> </w:t>
      </w:r>
    </w:p>
    <w:p w14:paraId="1F5C968E" w14:textId="4926F203" w:rsidR="001645FB" w:rsidRPr="00C054FE" w:rsidRDefault="00B56001" w:rsidP="008F0650">
      <w:pPr>
        <w:rPr>
          <w:rFonts w:ascii="Calibri" w:hAnsi="Calibri"/>
          <w:b/>
        </w:rPr>
      </w:pPr>
      <w:r w:rsidRPr="00C054FE">
        <w:rPr>
          <w:rFonts w:ascii="Calibri" w:hAnsi="Calibri"/>
          <w:b/>
        </w:rPr>
        <w:t>Provide</w:t>
      </w:r>
      <w:r w:rsidR="000342F9" w:rsidRPr="00C054FE">
        <w:rPr>
          <w:rFonts w:ascii="Calibri" w:hAnsi="Calibri"/>
          <w:b/>
        </w:rPr>
        <w:t xml:space="preserve"> Extended</w:t>
      </w:r>
      <w:r w:rsidRPr="00C054FE">
        <w:rPr>
          <w:rFonts w:ascii="Calibri" w:hAnsi="Calibri"/>
          <w:b/>
        </w:rPr>
        <w:t xml:space="preserve"> </w:t>
      </w:r>
      <w:r w:rsidR="007178A5" w:rsidRPr="00C054FE">
        <w:rPr>
          <w:rFonts w:ascii="Calibri" w:hAnsi="Calibri"/>
          <w:b/>
        </w:rPr>
        <w:t>Continuous</w:t>
      </w:r>
      <w:r w:rsidR="008219EB" w:rsidRPr="00C054FE">
        <w:rPr>
          <w:rFonts w:ascii="Calibri" w:hAnsi="Calibri"/>
          <w:b/>
        </w:rPr>
        <w:t xml:space="preserve"> Eligibility for Children</w:t>
      </w:r>
      <w:r w:rsidR="001B20FB">
        <w:rPr>
          <w:rFonts w:ascii="Calibri" w:hAnsi="Calibri"/>
        </w:rPr>
        <w:t>:</w:t>
      </w:r>
      <w:r w:rsidR="008219EB" w:rsidRPr="00C054FE">
        <w:rPr>
          <w:rFonts w:ascii="Calibri" w:hAnsi="Calibri"/>
        </w:rPr>
        <w:t xml:space="preserve"> </w:t>
      </w:r>
      <w:r w:rsidR="008F0650" w:rsidRPr="00C054FE">
        <w:rPr>
          <w:rFonts w:ascii="Calibri" w:hAnsi="Calibri"/>
          <w:color w:val="000000"/>
          <w:shd w:val="clear" w:color="auto" w:fill="FFFFFF"/>
        </w:rPr>
        <w:t>Having access to regular preventive care starting in childhood is crucial to growing into a healthy adult later in life.</w:t>
      </w:r>
      <w:r w:rsidR="008F0650" w:rsidRPr="00C054FE">
        <w:rPr>
          <w:rStyle w:val="FootnoteReference"/>
          <w:rFonts w:ascii="Calibri" w:hAnsi="Calibri"/>
          <w:color w:val="000000"/>
          <w:shd w:val="clear" w:color="auto" w:fill="FFFFFF"/>
        </w:rPr>
        <w:t xml:space="preserve"> </w:t>
      </w:r>
      <w:r w:rsidR="008F0650" w:rsidRPr="00C054FE">
        <w:rPr>
          <w:rStyle w:val="FootnoteReference"/>
          <w:rFonts w:ascii="Calibri" w:hAnsi="Calibri"/>
          <w:color w:val="000000"/>
          <w:shd w:val="clear" w:color="auto" w:fill="FFFFFF"/>
        </w:rPr>
        <w:footnoteReference w:id="13"/>
      </w:r>
      <w:r w:rsidR="008F0650" w:rsidRPr="00C054FE">
        <w:rPr>
          <w:rFonts w:ascii="Calibri" w:hAnsi="Calibri"/>
          <w:color w:val="000000"/>
          <w:shd w:val="clear" w:color="auto" w:fill="FFFFFF"/>
        </w:rPr>
        <w:t xml:space="preserve"> However, our healthcare system includes a patchwork of many different types of coverage all with unique eligibility criteria and oftentimes gaps in coverage can be difficult to avoid. Maine should explore federal innovation waivers to provide extended continuous coverage to children</w:t>
      </w:r>
      <w:r w:rsidRPr="00C054FE">
        <w:rPr>
          <w:rFonts w:ascii="Calibri" w:hAnsi="Calibri"/>
          <w:color w:val="000000"/>
          <w:shd w:val="clear" w:color="auto" w:fill="FFFFFF"/>
        </w:rPr>
        <w:t xml:space="preserve"> for multiple years</w:t>
      </w:r>
      <w:r w:rsidR="008F0650" w:rsidRPr="00C054FE">
        <w:rPr>
          <w:rFonts w:ascii="Calibri" w:hAnsi="Calibri"/>
          <w:color w:val="000000"/>
          <w:shd w:val="clear" w:color="auto" w:fill="FFFFFF"/>
        </w:rPr>
        <w:t xml:space="preserve">, such as </w:t>
      </w:r>
      <w:r w:rsidRPr="00C054FE">
        <w:rPr>
          <w:rFonts w:ascii="Calibri" w:hAnsi="Calibri"/>
          <w:color w:val="000000"/>
          <w:shd w:val="clear" w:color="auto" w:fill="FFFFFF"/>
        </w:rPr>
        <w:t xml:space="preserve">waivers approved in </w:t>
      </w:r>
      <w:r w:rsidR="008F0650" w:rsidRPr="00C054FE">
        <w:rPr>
          <w:rFonts w:ascii="Calibri" w:hAnsi="Calibri"/>
        </w:rPr>
        <w:t>Oregon</w:t>
      </w:r>
      <w:r w:rsidRPr="00C054FE">
        <w:rPr>
          <w:rFonts w:ascii="Calibri" w:hAnsi="Calibri"/>
        </w:rPr>
        <w:t xml:space="preserve"> and Washington.</w:t>
      </w:r>
      <w:r w:rsidRPr="00C054FE">
        <w:rPr>
          <w:rStyle w:val="FootnoteReference"/>
          <w:rFonts w:ascii="Calibri" w:hAnsi="Calibri"/>
        </w:rPr>
        <w:footnoteReference w:id="14"/>
      </w:r>
      <w:r w:rsidRPr="00C054FE">
        <w:rPr>
          <w:rFonts w:ascii="Calibri" w:hAnsi="Calibri" w:cs="Calibri"/>
        </w:rPr>
        <w:t xml:space="preserve"> </w:t>
      </w:r>
      <w:r w:rsidR="00576FBB">
        <w:rPr>
          <w:rFonts w:ascii="Calibri" w:hAnsi="Calibri" w:cs="Calibri"/>
        </w:rPr>
        <w:t xml:space="preserve">This can have the </w:t>
      </w:r>
      <w:r w:rsidR="001300D4">
        <w:rPr>
          <w:rFonts w:ascii="Calibri" w:hAnsi="Calibri" w:cs="Calibri"/>
        </w:rPr>
        <w:t>concomitant</w:t>
      </w:r>
      <w:r w:rsidR="00576FBB">
        <w:rPr>
          <w:rFonts w:ascii="Calibri" w:hAnsi="Calibri" w:cs="Calibri"/>
        </w:rPr>
        <w:t xml:space="preserve"> effect of lowering MaineCare administrative costs r</w:t>
      </w:r>
      <w:r w:rsidR="001300D4">
        <w:rPr>
          <w:rFonts w:ascii="Calibri" w:hAnsi="Calibri" w:cs="Calibri"/>
        </w:rPr>
        <w:t>e</w:t>
      </w:r>
      <w:r w:rsidR="00576FBB">
        <w:rPr>
          <w:rFonts w:ascii="Calibri" w:hAnsi="Calibri" w:cs="Calibri"/>
        </w:rPr>
        <w:t>lating to those under such waivers.</w:t>
      </w:r>
    </w:p>
    <w:p w14:paraId="2D2404B4" w14:textId="7A59F203" w:rsidR="005A5FCB" w:rsidRPr="0091726D" w:rsidRDefault="005A5FCB" w:rsidP="0091726D">
      <w:pPr>
        <w:tabs>
          <w:tab w:val="left" w:pos="1990"/>
        </w:tabs>
        <w:rPr>
          <w:rFonts w:ascii="Calibri" w:hAnsi="Calibri" w:cs="Calibri"/>
          <w:b/>
          <w:bCs/>
        </w:rPr>
      </w:pPr>
    </w:p>
    <w:p w14:paraId="28144B87" w14:textId="255A67D8" w:rsidR="00E04132" w:rsidRPr="00C054FE" w:rsidRDefault="00B56001" w:rsidP="00E04132">
      <w:pPr>
        <w:rPr>
          <w:rFonts w:eastAsiaTheme="minorEastAsia"/>
        </w:rPr>
      </w:pPr>
      <w:r w:rsidRPr="00C054FE">
        <w:rPr>
          <w:rFonts w:ascii="Calibri" w:hAnsi="Calibri"/>
          <w:b/>
        </w:rPr>
        <w:t>Expand and Improve Access to Hospital Financial Assistance Programs</w:t>
      </w:r>
      <w:r w:rsidR="001B20FB">
        <w:rPr>
          <w:rFonts w:ascii="Calibri" w:hAnsi="Calibri"/>
          <w:b/>
        </w:rPr>
        <w:t>:</w:t>
      </w:r>
      <w:r w:rsidR="00627D7F" w:rsidRPr="00C054FE">
        <w:rPr>
          <w:rFonts w:ascii="Calibri" w:hAnsi="Calibri"/>
          <w:b/>
        </w:rPr>
        <w:t xml:space="preserve"> </w:t>
      </w:r>
      <w:r w:rsidR="00627D7F" w:rsidRPr="00C054FE">
        <w:rPr>
          <w:rFonts w:ascii="Calibri" w:hAnsi="Calibri"/>
          <w:bCs/>
        </w:rPr>
        <w:t xml:space="preserve"> </w:t>
      </w:r>
      <w:r w:rsidR="00B63CAD" w:rsidRPr="00C054FE">
        <w:rPr>
          <w:rFonts w:ascii="Calibri" w:hAnsi="Calibri" w:cs="Calibri"/>
        </w:rPr>
        <w:t xml:space="preserve">We hear from consumers on our </w:t>
      </w:r>
      <w:proofErr w:type="spellStart"/>
      <w:r w:rsidR="00B63CAD" w:rsidRPr="00C054FE">
        <w:rPr>
          <w:rFonts w:ascii="Calibri" w:hAnsi="Calibri" w:cs="Calibri"/>
        </w:rPr>
        <w:t>HelpLine</w:t>
      </w:r>
      <w:proofErr w:type="spellEnd"/>
      <w:r w:rsidR="00B63CAD" w:rsidRPr="00C054FE">
        <w:rPr>
          <w:rFonts w:ascii="Calibri" w:hAnsi="Calibri" w:cs="Calibri"/>
        </w:rPr>
        <w:t xml:space="preserve"> and </w:t>
      </w:r>
      <w:r w:rsidR="00E04132" w:rsidRPr="00C054FE">
        <w:rPr>
          <w:rFonts w:ascii="Calibri" w:hAnsi="Calibri" w:cs="Calibri"/>
        </w:rPr>
        <w:t xml:space="preserve">from </w:t>
      </w:r>
      <w:r w:rsidR="00B63CAD" w:rsidRPr="00C054FE">
        <w:rPr>
          <w:rFonts w:ascii="Calibri" w:hAnsi="Calibri" w:cs="Calibri"/>
        </w:rPr>
        <w:t xml:space="preserve">partner organizations who work with low-income populations about the difficulties </w:t>
      </w:r>
      <w:r w:rsidR="001300D4">
        <w:rPr>
          <w:rFonts w:ascii="Calibri" w:hAnsi="Calibri" w:cs="Calibri"/>
        </w:rPr>
        <w:t xml:space="preserve">people with </w:t>
      </w:r>
      <w:r w:rsidR="00576FBB">
        <w:rPr>
          <w:rFonts w:ascii="Calibri" w:hAnsi="Calibri" w:cs="Calibri"/>
        </w:rPr>
        <w:t xml:space="preserve">low-income </w:t>
      </w:r>
      <w:r w:rsidR="00B63CAD" w:rsidRPr="00C054FE">
        <w:rPr>
          <w:rFonts w:ascii="Calibri" w:hAnsi="Calibri" w:cs="Calibri"/>
        </w:rPr>
        <w:t xml:space="preserve">accessing the hospital Free Care </w:t>
      </w:r>
      <w:r w:rsidR="00576FBB">
        <w:rPr>
          <w:rFonts w:ascii="Calibri" w:hAnsi="Calibri" w:cs="Calibri"/>
        </w:rPr>
        <w:t>for which</w:t>
      </w:r>
      <w:r w:rsidR="00B63CAD" w:rsidRPr="00C054FE">
        <w:rPr>
          <w:rFonts w:ascii="Calibri" w:hAnsi="Calibri" w:cs="Calibri"/>
        </w:rPr>
        <w:t xml:space="preserve"> they are income</w:t>
      </w:r>
      <w:r w:rsidR="001300D4">
        <w:rPr>
          <w:rFonts w:ascii="Calibri" w:hAnsi="Calibri" w:cs="Calibri"/>
        </w:rPr>
        <w:t xml:space="preserve"> </w:t>
      </w:r>
      <w:r w:rsidR="00B63CAD" w:rsidRPr="00C054FE">
        <w:rPr>
          <w:rFonts w:ascii="Calibri" w:hAnsi="Calibri" w:cs="Calibri"/>
        </w:rPr>
        <w:t xml:space="preserve">eligible. Requiring </w:t>
      </w:r>
      <w:r w:rsidR="00E04132" w:rsidRPr="00C054FE">
        <w:rPr>
          <w:rFonts w:ascii="Calibri" w:hAnsi="Calibri" w:cs="Calibri"/>
        </w:rPr>
        <w:t>non-profit</w:t>
      </w:r>
      <w:r w:rsidR="00B63CAD" w:rsidRPr="00C054FE">
        <w:rPr>
          <w:rFonts w:ascii="Calibri" w:hAnsi="Calibri" w:cs="Calibri"/>
        </w:rPr>
        <w:t xml:space="preserve"> hospitals </w:t>
      </w:r>
      <w:r w:rsidR="00E04132" w:rsidRPr="00C054FE">
        <w:rPr>
          <w:rFonts w:ascii="Calibri" w:hAnsi="Calibri" w:cs="Calibri"/>
        </w:rPr>
        <w:t xml:space="preserve">to </w:t>
      </w:r>
      <w:r w:rsidR="00B63CAD" w:rsidRPr="00C054FE">
        <w:rPr>
          <w:rFonts w:ascii="Calibri" w:hAnsi="Calibri" w:cs="Calibri"/>
        </w:rPr>
        <w:t>do the following would ensure there is greater acce</w:t>
      </w:r>
      <w:r w:rsidR="00B63CAD" w:rsidRPr="00C054FE">
        <w:rPr>
          <w:rFonts w:eastAsiaTheme="minorEastAsia"/>
        </w:rPr>
        <w:t xml:space="preserve">ssibility to the free care program for those who need it most: </w:t>
      </w:r>
    </w:p>
    <w:p w14:paraId="5BCB93CB" w14:textId="61A9D980" w:rsidR="007C6BD3" w:rsidRPr="00C054FE" w:rsidRDefault="00B85B36" w:rsidP="00E04132">
      <w:pPr>
        <w:pStyle w:val="ListParagraph"/>
        <w:numPr>
          <w:ilvl w:val="0"/>
          <w:numId w:val="36"/>
        </w:numPr>
        <w:rPr>
          <w:rFonts w:ascii="Calibri" w:hAnsi="Calibri"/>
          <w:bCs/>
        </w:rPr>
      </w:pPr>
      <w:r w:rsidRPr="00C054FE">
        <w:rPr>
          <w:rFonts w:ascii="Calibri" w:hAnsi="Calibri"/>
          <w:bCs/>
        </w:rPr>
        <w:lastRenderedPageBreak/>
        <w:t>Strengthen and enforc</w:t>
      </w:r>
      <w:r w:rsidR="00BF64A3" w:rsidRPr="00C054FE">
        <w:rPr>
          <w:rFonts w:ascii="Calibri" w:hAnsi="Calibri"/>
          <w:bCs/>
        </w:rPr>
        <w:t xml:space="preserve">e </w:t>
      </w:r>
      <w:r w:rsidRPr="00C054FE">
        <w:rPr>
          <w:rFonts w:ascii="Calibri" w:hAnsi="Calibri"/>
          <w:bCs/>
        </w:rPr>
        <w:t xml:space="preserve">requirements to </w:t>
      </w:r>
      <w:r w:rsidR="007C6BD3" w:rsidRPr="00C054FE">
        <w:rPr>
          <w:rFonts w:ascii="Calibri" w:hAnsi="Calibri"/>
          <w:bCs/>
        </w:rPr>
        <w:t xml:space="preserve">widely publicize </w:t>
      </w:r>
      <w:r w:rsidR="00D75327" w:rsidRPr="00C054FE">
        <w:rPr>
          <w:rFonts w:ascii="Calibri" w:hAnsi="Calibri"/>
          <w:bCs/>
        </w:rPr>
        <w:t>information about the</w:t>
      </w:r>
      <w:r w:rsidR="007C6BD3" w:rsidRPr="00C054FE">
        <w:rPr>
          <w:rFonts w:ascii="Calibri" w:hAnsi="Calibri"/>
          <w:bCs/>
        </w:rPr>
        <w:t xml:space="preserve"> availability of financial assistance</w:t>
      </w:r>
      <w:r w:rsidR="00D75327" w:rsidRPr="00C054FE">
        <w:rPr>
          <w:rFonts w:ascii="Calibri" w:hAnsi="Calibri"/>
          <w:bCs/>
        </w:rPr>
        <w:t xml:space="preserve"> and how to apply, and </w:t>
      </w:r>
      <w:r w:rsidR="00576FBB">
        <w:rPr>
          <w:rFonts w:ascii="Calibri" w:hAnsi="Calibri"/>
          <w:bCs/>
        </w:rPr>
        <w:t>require the</w:t>
      </w:r>
      <w:r w:rsidR="00D75327" w:rsidRPr="00C054FE">
        <w:rPr>
          <w:rFonts w:ascii="Calibri" w:hAnsi="Calibri"/>
          <w:bCs/>
        </w:rPr>
        <w:t xml:space="preserve"> screen</w:t>
      </w:r>
      <w:r w:rsidR="00576FBB">
        <w:rPr>
          <w:rFonts w:ascii="Calibri" w:hAnsi="Calibri"/>
          <w:bCs/>
        </w:rPr>
        <w:t>ing of</w:t>
      </w:r>
      <w:r w:rsidR="00D75327" w:rsidRPr="00C054FE">
        <w:rPr>
          <w:rFonts w:ascii="Calibri" w:hAnsi="Calibri"/>
          <w:bCs/>
        </w:rPr>
        <w:t xml:space="preserve"> individuals</w:t>
      </w:r>
      <w:r w:rsidR="00CE6655" w:rsidRPr="00C054FE">
        <w:rPr>
          <w:rFonts w:ascii="Calibri" w:hAnsi="Calibri"/>
          <w:bCs/>
        </w:rPr>
        <w:t xml:space="preserve"> for financial assistance</w:t>
      </w:r>
      <w:r w:rsidR="00576FBB">
        <w:rPr>
          <w:rFonts w:ascii="Calibri" w:hAnsi="Calibri"/>
          <w:bCs/>
        </w:rPr>
        <w:t>,</w:t>
      </w:r>
      <w:r w:rsidR="00CE6655" w:rsidRPr="00C054FE">
        <w:rPr>
          <w:rFonts w:ascii="Calibri" w:hAnsi="Calibri"/>
          <w:bCs/>
        </w:rPr>
        <w:t xml:space="preserve"> prior to </w:t>
      </w:r>
      <w:r w:rsidR="001300D4">
        <w:rPr>
          <w:rFonts w:ascii="Calibri" w:hAnsi="Calibri"/>
          <w:bCs/>
        </w:rPr>
        <w:t>initiating</w:t>
      </w:r>
      <w:r w:rsidR="00A872F2">
        <w:rPr>
          <w:rFonts w:ascii="Calibri" w:hAnsi="Calibri"/>
          <w:bCs/>
        </w:rPr>
        <w:t xml:space="preserve"> </w:t>
      </w:r>
      <w:r w:rsidR="00CE6655" w:rsidRPr="00C054FE">
        <w:rPr>
          <w:rFonts w:ascii="Calibri" w:hAnsi="Calibri"/>
          <w:bCs/>
        </w:rPr>
        <w:t>collect</w:t>
      </w:r>
      <w:r w:rsidR="00BD7425">
        <w:rPr>
          <w:rFonts w:ascii="Calibri" w:hAnsi="Calibri"/>
          <w:bCs/>
        </w:rPr>
        <w:t>ion actions</w:t>
      </w:r>
      <w:r w:rsidR="00CE6655" w:rsidRPr="00C054FE">
        <w:rPr>
          <w:rFonts w:ascii="Calibri" w:hAnsi="Calibri"/>
          <w:bCs/>
        </w:rPr>
        <w:t>.</w:t>
      </w:r>
    </w:p>
    <w:p w14:paraId="5301E6BD" w14:textId="2F21BFA6" w:rsidR="00C61416" w:rsidRPr="00C054FE" w:rsidRDefault="007C6BD3" w:rsidP="00B85B36">
      <w:pPr>
        <w:pStyle w:val="ListParagraph"/>
        <w:numPr>
          <w:ilvl w:val="0"/>
          <w:numId w:val="35"/>
        </w:numPr>
        <w:rPr>
          <w:rFonts w:ascii="Calibri" w:hAnsi="Calibri"/>
          <w:bCs/>
        </w:rPr>
      </w:pPr>
      <w:r w:rsidRPr="00C054FE">
        <w:rPr>
          <w:rFonts w:ascii="Calibri" w:hAnsi="Calibri"/>
          <w:bCs/>
        </w:rPr>
        <w:t>Remov</w:t>
      </w:r>
      <w:r w:rsidR="00CE6655" w:rsidRPr="00C054FE">
        <w:rPr>
          <w:rFonts w:ascii="Calibri" w:hAnsi="Calibri"/>
          <w:bCs/>
        </w:rPr>
        <w:t xml:space="preserve">e application </w:t>
      </w:r>
      <w:r w:rsidR="00C61416" w:rsidRPr="00C054FE">
        <w:rPr>
          <w:rFonts w:ascii="Calibri" w:hAnsi="Calibri"/>
          <w:bCs/>
        </w:rPr>
        <w:t>deadlines</w:t>
      </w:r>
      <w:r w:rsidR="00BD7425">
        <w:rPr>
          <w:rFonts w:ascii="Calibri" w:hAnsi="Calibri"/>
          <w:bCs/>
        </w:rPr>
        <w:t xml:space="preserve"> for Free Care applications</w:t>
      </w:r>
      <w:r w:rsidR="00CE6655" w:rsidRPr="00C054FE">
        <w:rPr>
          <w:rFonts w:ascii="Calibri" w:hAnsi="Calibri"/>
          <w:bCs/>
        </w:rPr>
        <w:t>.</w:t>
      </w:r>
    </w:p>
    <w:p w14:paraId="41076D5A" w14:textId="0C1E5718" w:rsidR="00E53D53" w:rsidRPr="00C054FE" w:rsidRDefault="00C61416" w:rsidP="00E53D53">
      <w:pPr>
        <w:pStyle w:val="ListParagraph"/>
        <w:numPr>
          <w:ilvl w:val="0"/>
          <w:numId w:val="35"/>
        </w:numPr>
        <w:rPr>
          <w:rFonts w:ascii="Calibri" w:hAnsi="Calibri"/>
          <w:bCs/>
        </w:rPr>
      </w:pPr>
      <w:r w:rsidRPr="00C054FE">
        <w:rPr>
          <w:rFonts w:ascii="Calibri" w:hAnsi="Calibri"/>
          <w:bCs/>
        </w:rPr>
        <w:t>Prohibit</w:t>
      </w:r>
      <w:r w:rsidR="00737F05" w:rsidRPr="00C054FE">
        <w:rPr>
          <w:rFonts w:ascii="Calibri" w:hAnsi="Calibri"/>
          <w:bCs/>
        </w:rPr>
        <w:t xml:space="preserve"> </w:t>
      </w:r>
      <w:r w:rsidR="006352B1" w:rsidRPr="00C054FE">
        <w:rPr>
          <w:rFonts w:ascii="Calibri" w:hAnsi="Calibri"/>
          <w:bCs/>
        </w:rPr>
        <w:t xml:space="preserve">free care </w:t>
      </w:r>
      <w:r w:rsidR="00737F05" w:rsidRPr="00C054FE">
        <w:rPr>
          <w:rFonts w:ascii="Calibri" w:hAnsi="Calibri"/>
          <w:bCs/>
        </w:rPr>
        <w:t xml:space="preserve">applications from </w:t>
      </w:r>
      <w:r w:rsidR="001E2D98" w:rsidRPr="00C054FE">
        <w:rPr>
          <w:rFonts w:ascii="Calibri" w:hAnsi="Calibri"/>
          <w:bCs/>
        </w:rPr>
        <w:t>asking</w:t>
      </w:r>
      <w:r w:rsidR="00E53D53" w:rsidRPr="00C054FE">
        <w:rPr>
          <w:rFonts w:ascii="Calibri" w:hAnsi="Calibri"/>
          <w:bCs/>
        </w:rPr>
        <w:t xml:space="preserve"> for unnecessary information, such as information about assets</w:t>
      </w:r>
      <w:r w:rsidR="004E4FE9" w:rsidRPr="00C054FE">
        <w:rPr>
          <w:rFonts w:ascii="Calibri" w:hAnsi="Calibri"/>
          <w:bCs/>
        </w:rPr>
        <w:t>,</w:t>
      </w:r>
      <w:r w:rsidR="006352B1" w:rsidRPr="00C054FE">
        <w:rPr>
          <w:rFonts w:ascii="Calibri" w:hAnsi="Calibri"/>
          <w:bCs/>
        </w:rPr>
        <w:t xml:space="preserve"> or </w:t>
      </w:r>
      <w:r w:rsidR="004E4FE9" w:rsidRPr="00C054FE">
        <w:rPr>
          <w:rFonts w:ascii="Calibri" w:hAnsi="Calibri"/>
          <w:bCs/>
        </w:rPr>
        <w:t xml:space="preserve">from </w:t>
      </w:r>
      <w:r w:rsidR="006352B1" w:rsidRPr="00C054FE">
        <w:rPr>
          <w:rFonts w:ascii="Calibri" w:hAnsi="Calibri"/>
          <w:bCs/>
        </w:rPr>
        <w:t xml:space="preserve">imposing </w:t>
      </w:r>
      <w:r w:rsidR="004E4FE9" w:rsidRPr="00C054FE">
        <w:rPr>
          <w:rFonts w:ascii="Calibri" w:hAnsi="Calibri"/>
          <w:bCs/>
        </w:rPr>
        <w:t xml:space="preserve">other </w:t>
      </w:r>
      <w:r w:rsidR="006352B1" w:rsidRPr="00C054FE">
        <w:rPr>
          <w:rFonts w:ascii="Calibri" w:hAnsi="Calibri"/>
          <w:bCs/>
        </w:rPr>
        <w:t xml:space="preserve">unnecessary </w:t>
      </w:r>
      <w:r w:rsidR="004E4FE9" w:rsidRPr="00C054FE">
        <w:rPr>
          <w:rFonts w:ascii="Calibri" w:hAnsi="Calibri"/>
          <w:bCs/>
        </w:rPr>
        <w:t xml:space="preserve">application requirements, such </w:t>
      </w:r>
      <w:r w:rsidR="008566AB" w:rsidRPr="00C054FE">
        <w:rPr>
          <w:rFonts w:ascii="Calibri" w:hAnsi="Calibri"/>
          <w:bCs/>
        </w:rPr>
        <w:t xml:space="preserve">as </w:t>
      </w:r>
      <w:r w:rsidR="004E4FE9" w:rsidRPr="00C054FE">
        <w:rPr>
          <w:rFonts w:ascii="Calibri" w:hAnsi="Calibri"/>
          <w:bCs/>
        </w:rPr>
        <w:t>re</w:t>
      </w:r>
      <w:r w:rsidR="008566AB" w:rsidRPr="00C054FE">
        <w:rPr>
          <w:rFonts w:ascii="Calibri" w:hAnsi="Calibri"/>
          <w:bCs/>
        </w:rPr>
        <w:t xml:space="preserve">quirements for documents to be notarized or signed </w:t>
      </w:r>
      <w:r w:rsidR="004E043D" w:rsidRPr="00C054FE">
        <w:rPr>
          <w:rFonts w:ascii="Calibri" w:hAnsi="Calibri"/>
          <w:bCs/>
        </w:rPr>
        <w:t>in-person</w:t>
      </w:r>
      <w:r w:rsidR="008566AB" w:rsidRPr="00C054FE">
        <w:rPr>
          <w:rFonts w:ascii="Calibri" w:hAnsi="Calibri"/>
          <w:bCs/>
        </w:rPr>
        <w:t xml:space="preserve"> at specified </w:t>
      </w:r>
      <w:r w:rsidR="004E043D" w:rsidRPr="00C054FE">
        <w:rPr>
          <w:rFonts w:ascii="Calibri" w:hAnsi="Calibri"/>
          <w:bCs/>
        </w:rPr>
        <w:t>locations</w:t>
      </w:r>
      <w:r w:rsidR="00CE6655" w:rsidRPr="00C054FE">
        <w:rPr>
          <w:rFonts w:ascii="Calibri" w:hAnsi="Calibri"/>
          <w:bCs/>
        </w:rPr>
        <w:t>.</w:t>
      </w:r>
    </w:p>
    <w:p w14:paraId="59B3A855" w14:textId="7C6DE6ED" w:rsidR="003856A0" w:rsidRPr="003856A0" w:rsidRDefault="00C054FE" w:rsidP="00CD1E22">
      <w:pPr>
        <w:pStyle w:val="ListParagraph"/>
        <w:numPr>
          <w:ilvl w:val="0"/>
          <w:numId w:val="8"/>
        </w:numPr>
        <w:rPr>
          <w:rFonts w:ascii="Calibri" w:hAnsi="Calibri"/>
        </w:rPr>
      </w:pPr>
      <w:r>
        <w:rPr>
          <w:rFonts w:ascii="Calibri" w:hAnsi="Calibri"/>
          <w:bCs/>
        </w:rPr>
        <w:t>Require hospitals to provide medically necessary free care to people with income up to at least 2</w:t>
      </w:r>
      <w:r w:rsidR="00A16156">
        <w:rPr>
          <w:rFonts w:ascii="Calibri" w:hAnsi="Calibri"/>
          <w:bCs/>
        </w:rPr>
        <w:t>00%</w:t>
      </w:r>
      <w:r w:rsidR="007A7A27">
        <w:rPr>
          <w:rFonts w:ascii="Calibri" w:hAnsi="Calibri"/>
          <w:bCs/>
        </w:rPr>
        <w:t xml:space="preserve"> </w:t>
      </w:r>
      <w:r w:rsidR="00A16156">
        <w:rPr>
          <w:rFonts w:ascii="Calibri" w:hAnsi="Calibri"/>
          <w:bCs/>
        </w:rPr>
        <w:t xml:space="preserve">FPL. </w:t>
      </w:r>
    </w:p>
    <w:p w14:paraId="69F574C4" w14:textId="758EDA6F" w:rsidR="00B56001" w:rsidRPr="00987B8A" w:rsidRDefault="00E00DF2" w:rsidP="00987B8A">
      <w:pPr>
        <w:pStyle w:val="ListParagraph"/>
        <w:numPr>
          <w:ilvl w:val="0"/>
          <w:numId w:val="8"/>
        </w:numPr>
        <w:rPr>
          <w:rFonts w:ascii="Calibri" w:hAnsi="Calibri"/>
        </w:rPr>
      </w:pPr>
      <w:r>
        <w:rPr>
          <w:rFonts w:ascii="Calibri" w:hAnsi="Calibri"/>
          <w:bCs/>
        </w:rPr>
        <w:t xml:space="preserve">Eliminate “surprise billing” </w:t>
      </w:r>
      <w:r w:rsidR="00305B2C">
        <w:rPr>
          <w:rFonts w:ascii="Calibri" w:hAnsi="Calibri"/>
          <w:bCs/>
        </w:rPr>
        <w:t>by e</w:t>
      </w:r>
      <w:r w:rsidR="008B7933">
        <w:rPr>
          <w:rFonts w:ascii="Calibri" w:hAnsi="Calibri"/>
          <w:bCs/>
        </w:rPr>
        <w:t>nsur</w:t>
      </w:r>
      <w:r w:rsidR="00305B2C">
        <w:rPr>
          <w:rFonts w:ascii="Calibri" w:hAnsi="Calibri"/>
          <w:bCs/>
        </w:rPr>
        <w:t xml:space="preserve">ing </w:t>
      </w:r>
      <w:r w:rsidR="00987B8A">
        <w:rPr>
          <w:rFonts w:ascii="Calibri" w:hAnsi="Calibri"/>
          <w:bCs/>
        </w:rPr>
        <w:t>hospital free care programs cover all medically necessary services provided in a hospital or hospital-based setting</w:t>
      </w:r>
      <w:r>
        <w:rPr>
          <w:rFonts w:ascii="Calibri" w:hAnsi="Calibri"/>
          <w:bCs/>
        </w:rPr>
        <w:t>, regardless of which individual provider performed the service</w:t>
      </w:r>
      <w:r w:rsidR="00987B8A">
        <w:rPr>
          <w:rFonts w:ascii="Calibri" w:hAnsi="Calibri"/>
          <w:bCs/>
        </w:rPr>
        <w:t>.</w:t>
      </w:r>
      <w:r w:rsidR="00B63CAD">
        <w:rPr>
          <w:rFonts w:ascii="Calibri" w:hAnsi="Calibri"/>
          <w:bCs/>
        </w:rPr>
        <w:t xml:space="preserve"> </w:t>
      </w:r>
    </w:p>
    <w:p w14:paraId="343A2D75" w14:textId="4CC7A23E" w:rsidR="00F422D1" w:rsidRDefault="00F422D1" w:rsidP="00F422D1">
      <w:pPr>
        <w:pStyle w:val="ListParagraph"/>
        <w:numPr>
          <w:ilvl w:val="0"/>
          <w:numId w:val="8"/>
        </w:numPr>
        <w:spacing w:after="160" w:line="259" w:lineRule="auto"/>
        <w:rPr>
          <w:rFonts w:eastAsiaTheme="minorEastAsia" w:cstheme="minorHAnsi"/>
        </w:rPr>
      </w:pPr>
      <w:r w:rsidRPr="00C915F5">
        <w:rPr>
          <w:rFonts w:eastAsia="Calibri" w:cstheme="minorHAnsi"/>
          <w:color w:val="101820"/>
        </w:rPr>
        <w:t xml:space="preserve">Require hospitals </w:t>
      </w:r>
      <w:r>
        <w:rPr>
          <w:rFonts w:eastAsia="Calibri" w:cstheme="minorHAnsi"/>
          <w:color w:val="101820"/>
        </w:rPr>
        <w:t xml:space="preserve">to </w:t>
      </w:r>
      <w:r w:rsidRPr="00C915F5">
        <w:rPr>
          <w:rFonts w:eastAsiaTheme="minorEastAsia" w:cstheme="minorHAnsi"/>
        </w:rPr>
        <w:t>offer patients</w:t>
      </w:r>
      <w:r>
        <w:rPr>
          <w:rFonts w:eastAsiaTheme="minorEastAsia" w:cstheme="minorHAnsi"/>
        </w:rPr>
        <w:t xml:space="preserve"> who do not qualify for free care affordable</w:t>
      </w:r>
      <w:r w:rsidRPr="00C915F5">
        <w:rPr>
          <w:rFonts w:eastAsiaTheme="minorEastAsia" w:cstheme="minorHAnsi"/>
        </w:rPr>
        <w:t xml:space="preserve"> payment plan</w:t>
      </w:r>
      <w:r>
        <w:rPr>
          <w:rFonts w:eastAsiaTheme="minorEastAsia" w:cstheme="minorHAnsi"/>
        </w:rPr>
        <w:t>s</w:t>
      </w:r>
      <w:r w:rsidRPr="00C915F5">
        <w:rPr>
          <w:rFonts w:eastAsiaTheme="minorEastAsia" w:cstheme="minorHAnsi"/>
        </w:rPr>
        <w:t xml:space="preserve"> with terms of at least 2 years</w:t>
      </w:r>
      <w:r>
        <w:rPr>
          <w:rFonts w:eastAsiaTheme="minorEastAsia" w:cstheme="minorHAnsi"/>
        </w:rPr>
        <w:t xml:space="preserve"> and with</w:t>
      </w:r>
      <w:r w:rsidRPr="00C915F5">
        <w:rPr>
          <w:rFonts w:eastAsiaTheme="minorEastAsia" w:cstheme="minorHAnsi"/>
        </w:rPr>
        <w:t xml:space="preserve"> monthly payments</w:t>
      </w:r>
      <w:r>
        <w:rPr>
          <w:rFonts w:eastAsiaTheme="minorEastAsia" w:cstheme="minorHAnsi"/>
        </w:rPr>
        <w:t xml:space="preserve"> that do</w:t>
      </w:r>
      <w:r w:rsidRPr="00C915F5">
        <w:rPr>
          <w:rFonts w:eastAsiaTheme="minorEastAsia" w:cstheme="minorHAnsi"/>
        </w:rPr>
        <w:t xml:space="preserve"> not exceed 3% of the patient's monthly gross incom</w:t>
      </w:r>
      <w:r>
        <w:rPr>
          <w:rFonts w:eastAsiaTheme="minorEastAsia" w:cstheme="minorHAnsi"/>
        </w:rPr>
        <w:t>e.</w:t>
      </w:r>
    </w:p>
    <w:p w14:paraId="4A1D75FE" w14:textId="7FB499B7" w:rsidR="00987B8A" w:rsidRPr="00C054FE" w:rsidRDefault="00987B8A" w:rsidP="00987B8A">
      <w:pPr>
        <w:pStyle w:val="ListParagraph"/>
        <w:numPr>
          <w:ilvl w:val="0"/>
          <w:numId w:val="8"/>
        </w:numPr>
        <w:rPr>
          <w:rFonts w:ascii="Calibri" w:hAnsi="Calibri"/>
          <w:bCs/>
        </w:rPr>
      </w:pPr>
      <w:r w:rsidRPr="00C054FE">
        <w:rPr>
          <w:rFonts w:ascii="Calibri" w:hAnsi="Calibri"/>
          <w:bCs/>
        </w:rPr>
        <w:t xml:space="preserve">Strengthen guardrails </w:t>
      </w:r>
      <w:r w:rsidR="00B80156" w:rsidRPr="00C054FE">
        <w:rPr>
          <w:rFonts w:ascii="Calibri" w:hAnsi="Calibri"/>
          <w:bCs/>
        </w:rPr>
        <w:t>related to</w:t>
      </w:r>
      <w:r w:rsidRPr="00C054FE">
        <w:rPr>
          <w:rFonts w:ascii="Calibri" w:hAnsi="Calibri"/>
          <w:bCs/>
        </w:rPr>
        <w:t xml:space="preserve"> extraordinary collection activities</w:t>
      </w:r>
      <w:r w:rsidR="00B80156" w:rsidRPr="00C054FE">
        <w:rPr>
          <w:rFonts w:ascii="Calibri" w:hAnsi="Calibri"/>
          <w:bCs/>
        </w:rPr>
        <w:t xml:space="preserve"> taken by hospitals</w:t>
      </w:r>
      <w:r w:rsidRPr="00C054FE">
        <w:rPr>
          <w:rFonts w:ascii="Calibri" w:hAnsi="Calibri"/>
          <w:bCs/>
        </w:rPr>
        <w:t xml:space="preserve">. </w:t>
      </w:r>
    </w:p>
    <w:p w14:paraId="5BDC5979" w14:textId="53117618" w:rsidR="00987B8A" w:rsidRPr="0091726D" w:rsidRDefault="00B63CAD" w:rsidP="0091726D">
      <w:pPr>
        <w:pStyle w:val="ListParagraph"/>
        <w:numPr>
          <w:ilvl w:val="0"/>
          <w:numId w:val="8"/>
        </w:numPr>
        <w:rPr>
          <w:rFonts w:eastAsiaTheme="minorEastAsia"/>
        </w:rPr>
      </w:pPr>
      <w:r w:rsidRPr="32996AA7">
        <w:rPr>
          <w:rFonts w:eastAsiaTheme="minorEastAsia"/>
        </w:rPr>
        <w:t>Require hospitals use a single streamlined application for all financial assistance programs</w:t>
      </w:r>
      <w:r w:rsidR="00E04132">
        <w:rPr>
          <w:rFonts w:eastAsiaTheme="minorEastAsia"/>
        </w:rPr>
        <w:t>.</w:t>
      </w:r>
    </w:p>
    <w:p w14:paraId="5BCDCCD0" w14:textId="77777777" w:rsidR="0091726D" w:rsidRDefault="0091726D" w:rsidP="0091726D">
      <w:pPr>
        <w:rPr>
          <w:rFonts w:ascii="Calibri" w:hAnsi="Calibri" w:cs="Calibri"/>
          <w:b/>
          <w:bCs/>
        </w:rPr>
      </w:pPr>
    </w:p>
    <w:p w14:paraId="2FB4CFEE" w14:textId="184408C2" w:rsidR="00DC0E77" w:rsidRDefault="0091726D" w:rsidP="0091726D">
      <w:pPr>
        <w:rPr>
          <w:rFonts w:eastAsia="Calibri"/>
          <w:color w:val="101820"/>
        </w:rPr>
      </w:pPr>
      <w:r>
        <w:rPr>
          <w:rFonts w:ascii="Calibri" w:hAnsi="Calibri" w:cs="Calibri"/>
          <w:b/>
          <w:bCs/>
        </w:rPr>
        <w:t xml:space="preserve">Strengthen Consumer Protections Related to </w:t>
      </w:r>
      <w:r w:rsidR="0051599D" w:rsidRPr="000E3AAC">
        <w:rPr>
          <w:rFonts w:ascii="Calibri" w:hAnsi="Calibri" w:cs="Calibri"/>
          <w:b/>
          <w:bCs/>
        </w:rPr>
        <w:t>Medical Credit Cards</w:t>
      </w:r>
      <w:r w:rsidR="001B20FB">
        <w:rPr>
          <w:rFonts w:ascii="Calibri" w:hAnsi="Calibri" w:cs="Calibri"/>
          <w:b/>
          <w:bCs/>
        </w:rPr>
        <w:t>:</w:t>
      </w:r>
      <w:r>
        <w:rPr>
          <w:rFonts w:ascii="Calibri" w:hAnsi="Calibri" w:cs="Calibri"/>
          <w:b/>
          <w:bCs/>
        </w:rPr>
        <w:t xml:space="preserve"> </w:t>
      </w:r>
      <w:r w:rsidR="0051599D" w:rsidRPr="000E3AAC">
        <w:rPr>
          <w:rFonts w:ascii="Calibri" w:eastAsia="Calibri" w:hAnsi="Calibri" w:cs="Calibri"/>
          <w:color w:val="000000" w:themeColor="text1"/>
        </w:rPr>
        <w:t>M</w:t>
      </w:r>
      <w:r w:rsidR="0051599D" w:rsidRPr="000E3AAC">
        <w:rPr>
          <w:rFonts w:ascii="Calibri" w:eastAsia="Calibri" w:hAnsi="Calibri" w:cs="Calibri"/>
          <w:color w:val="101820"/>
        </w:rPr>
        <w:t xml:space="preserve">edical credit cards are </w:t>
      </w:r>
      <w:r w:rsidR="00BF76E9" w:rsidRPr="000E3AAC">
        <w:rPr>
          <w:rFonts w:ascii="Calibri" w:eastAsia="Calibri" w:hAnsi="Calibri" w:cs="Calibri"/>
          <w:color w:val="101820"/>
        </w:rPr>
        <w:t>sometimes</w:t>
      </w:r>
      <w:r w:rsidR="0051599D" w:rsidRPr="000E3AAC">
        <w:rPr>
          <w:rFonts w:ascii="Calibri" w:eastAsia="Calibri" w:hAnsi="Calibri" w:cs="Calibri"/>
          <w:color w:val="101820"/>
        </w:rPr>
        <w:t xml:space="preserve"> pushed on patients to pay for routine </w:t>
      </w:r>
      <w:r w:rsidR="00BF76E9" w:rsidRPr="000E3AAC">
        <w:rPr>
          <w:rFonts w:ascii="Calibri" w:eastAsia="Calibri" w:hAnsi="Calibri" w:cs="Calibri"/>
          <w:color w:val="101820"/>
        </w:rPr>
        <w:t xml:space="preserve">or other </w:t>
      </w:r>
      <w:r w:rsidR="0051599D" w:rsidRPr="000E3AAC">
        <w:rPr>
          <w:rFonts w:ascii="Calibri" w:eastAsia="Calibri" w:hAnsi="Calibri" w:cs="Calibri"/>
          <w:color w:val="101820"/>
        </w:rPr>
        <w:t xml:space="preserve">medical care. The cards are </w:t>
      </w:r>
      <w:r w:rsidR="00DE3F3C" w:rsidRPr="000E3AAC">
        <w:rPr>
          <w:rFonts w:ascii="Calibri" w:eastAsia="Calibri" w:hAnsi="Calibri" w:cs="Calibri"/>
          <w:color w:val="101820"/>
        </w:rPr>
        <w:t xml:space="preserve">often </w:t>
      </w:r>
      <w:r w:rsidR="0051599D" w:rsidRPr="000E3AAC">
        <w:rPr>
          <w:rFonts w:ascii="Calibri" w:eastAsia="Calibri" w:hAnsi="Calibri" w:cs="Calibri"/>
          <w:color w:val="101820"/>
        </w:rPr>
        <w:t>promoted as interest free,</w:t>
      </w:r>
      <w:r w:rsidR="00BF76E9" w:rsidRPr="000E3AAC">
        <w:rPr>
          <w:rFonts w:ascii="Calibri" w:eastAsia="Calibri" w:hAnsi="Calibri" w:cs="Calibri"/>
          <w:color w:val="101820"/>
        </w:rPr>
        <w:t xml:space="preserve"> </w:t>
      </w:r>
      <w:r w:rsidR="008B0604" w:rsidRPr="000E3AAC">
        <w:rPr>
          <w:rFonts w:ascii="Calibri" w:eastAsia="Calibri" w:hAnsi="Calibri" w:cs="Calibri"/>
          <w:color w:val="101820"/>
        </w:rPr>
        <w:t>but may actually charge interest in certain situations, such as if a</w:t>
      </w:r>
      <w:r w:rsidR="0051599D" w:rsidRPr="000E3AAC">
        <w:rPr>
          <w:rFonts w:ascii="Calibri" w:eastAsia="Calibri" w:hAnsi="Calibri" w:cs="Calibri"/>
          <w:color w:val="101820"/>
        </w:rPr>
        <w:t xml:space="preserve"> payment is late, etc. This drives up health care costs and medical debt. This practice </w:t>
      </w:r>
      <w:r w:rsidR="00BD7425">
        <w:rPr>
          <w:rFonts w:ascii="Calibri" w:eastAsia="Calibri" w:hAnsi="Calibri" w:cs="Calibri"/>
          <w:color w:val="101820"/>
        </w:rPr>
        <w:t>aggravates</w:t>
      </w:r>
      <w:r w:rsidR="0051599D" w:rsidRPr="000E3AAC">
        <w:rPr>
          <w:rFonts w:ascii="Calibri" w:eastAsia="Calibri" w:hAnsi="Calibri" w:cs="Calibri"/>
          <w:color w:val="101820"/>
        </w:rPr>
        <w:t xml:space="preserve"> existing issues in health care billing and collections for patients who are unable to afford care. Many times, enrollment in advertised medical credit cards results in the loss of medical bill negotiating power, </w:t>
      </w:r>
      <w:r w:rsidR="000B294E" w:rsidRPr="000E3AAC">
        <w:rPr>
          <w:rFonts w:ascii="Calibri" w:eastAsia="Calibri" w:hAnsi="Calibri" w:cs="Calibri"/>
          <w:color w:val="101820"/>
        </w:rPr>
        <w:t>increased barriers</w:t>
      </w:r>
      <w:r w:rsidR="0051599D" w:rsidRPr="000E3AAC">
        <w:rPr>
          <w:rFonts w:ascii="Calibri" w:eastAsia="Calibri" w:hAnsi="Calibri" w:cs="Calibri"/>
          <w:color w:val="101820"/>
        </w:rPr>
        <w:t xml:space="preserve"> to access</w:t>
      </w:r>
      <w:r w:rsidR="000B294E" w:rsidRPr="000E3AAC">
        <w:rPr>
          <w:rFonts w:ascii="Calibri" w:eastAsia="Calibri" w:hAnsi="Calibri" w:cs="Calibri"/>
          <w:color w:val="101820"/>
        </w:rPr>
        <w:t>ing</w:t>
      </w:r>
      <w:r w:rsidR="0051599D" w:rsidRPr="000E3AAC">
        <w:rPr>
          <w:rFonts w:ascii="Calibri" w:eastAsia="Calibri" w:hAnsi="Calibri" w:cs="Calibri"/>
          <w:color w:val="101820"/>
        </w:rPr>
        <w:t xml:space="preserve"> Hospital Free Care or other </w:t>
      </w:r>
      <w:r w:rsidR="000B294E" w:rsidRPr="000E3AAC">
        <w:rPr>
          <w:rFonts w:ascii="Calibri" w:eastAsia="Calibri" w:hAnsi="Calibri" w:cs="Calibri"/>
          <w:color w:val="101820"/>
        </w:rPr>
        <w:t xml:space="preserve">financial </w:t>
      </w:r>
      <w:r w:rsidR="0051599D" w:rsidRPr="000E3AAC">
        <w:rPr>
          <w:rFonts w:ascii="Calibri" w:eastAsia="Calibri" w:hAnsi="Calibri" w:cs="Calibri"/>
          <w:color w:val="101820"/>
        </w:rPr>
        <w:t>assistance</w:t>
      </w:r>
      <w:r w:rsidR="000B294E" w:rsidRPr="000E3AAC">
        <w:rPr>
          <w:rFonts w:ascii="Calibri" w:eastAsia="Calibri" w:hAnsi="Calibri" w:cs="Calibri"/>
          <w:color w:val="101820"/>
        </w:rPr>
        <w:t xml:space="preserve"> programs, </w:t>
      </w:r>
      <w:r w:rsidR="0051599D" w:rsidRPr="000E3AAC">
        <w:rPr>
          <w:rFonts w:ascii="Calibri" w:eastAsia="Calibri" w:hAnsi="Calibri" w:cs="Calibri"/>
          <w:color w:val="101820"/>
        </w:rPr>
        <w:t xml:space="preserve">aggressive debt collection practices, </w:t>
      </w:r>
      <w:r w:rsidR="002B7A1C" w:rsidRPr="000E3AAC">
        <w:rPr>
          <w:rFonts w:ascii="Calibri" w:eastAsia="Calibri" w:hAnsi="Calibri" w:cs="Calibri"/>
          <w:color w:val="101820"/>
        </w:rPr>
        <w:t>or</w:t>
      </w:r>
      <w:r w:rsidR="0051599D" w:rsidRPr="000E3AAC">
        <w:rPr>
          <w:rFonts w:eastAsia="Calibri"/>
          <w:color w:val="101820"/>
        </w:rPr>
        <w:t xml:space="preserve"> loss of credit reporting protections.</w:t>
      </w:r>
      <w:r w:rsidR="0051599D" w:rsidRPr="6D3FB524">
        <w:rPr>
          <w:rFonts w:eastAsia="Calibri"/>
          <w:color w:val="101820"/>
        </w:rPr>
        <w:t xml:space="preserve"> </w:t>
      </w:r>
    </w:p>
    <w:p w14:paraId="7B819CE1" w14:textId="77777777" w:rsidR="0091726D" w:rsidRPr="0091726D" w:rsidRDefault="0091726D" w:rsidP="0091726D">
      <w:pPr>
        <w:rPr>
          <w:rFonts w:ascii="Calibri" w:hAnsi="Calibri" w:cs="Calibri"/>
          <w:b/>
          <w:bCs/>
        </w:rPr>
      </w:pPr>
    </w:p>
    <w:p w14:paraId="66573C75" w14:textId="366C5CAC" w:rsidR="00594B67" w:rsidRPr="0091726D" w:rsidRDefault="00DC0E77" w:rsidP="00594B67">
      <w:pPr>
        <w:spacing w:after="160" w:line="259" w:lineRule="auto"/>
        <w:rPr>
          <w:rFonts w:eastAsia="Calibri"/>
          <w:color w:val="101820"/>
          <w:highlight w:val="yellow"/>
        </w:rPr>
      </w:pPr>
      <w:r>
        <w:rPr>
          <w:rFonts w:eastAsia="Calibri"/>
          <w:color w:val="101820"/>
        </w:rPr>
        <w:t>Nearly one in three Mainer</w:t>
      </w:r>
      <w:r w:rsidR="00DD61E4">
        <w:rPr>
          <w:rFonts w:eastAsia="Calibri"/>
          <w:color w:val="101820"/>
        </w:rPr>
        <w:t xml:space="preserve">s report their family </w:t>
      </w:r>
      <w:r w:rsidR="00A95895">
        <w:rPr>
          <w:rFonts w:eastAsia="Calibri"/>
          <w:color w:val="101820"/>
        </w:rPr>
        <w:t>incurred new or additional credit card debit within the past two years</w:t>
      </w:r>
      <w:r w:rsidR="00BD7425">
        <w:rPr>
          <w:rFonts w:eastAsia="Calibri"/>
          <w:color w:val="101820"/>
        </w:rPr>
        <w:t>,</w:t>
      </w:r>
      <w:r w:rsidR="00A95895">
        <w:rPr>
          <w:rFonts w:eastAsia="Calibri"/>
          <w:color w:val="101820"/>
        </w:rPr>
        <w:t xml:space="preserve"> as a result of medical bills. </w:t>
      </w:r>
      <w:r w:rsidR="00B168BF">
        <w:rPr>
          <w:rFonts w:eastAsia="Calibri" w:cstheme="minorHAnsi"/>
          <w:color w:val="101820"/>
        </w:rPr>
        <w:t>We encourage the</w:t>
      </w:r>
      <w:r w:rsidR="00557465">
        <w:rPr>
          <w:rFonts w:eastAsia="Calibri" w:cstheme="minorHAnsi"/>
          <w:color w:val="101820"/>
        </w:rPr>
        <w:t xml:space="preserve"> Office </w:t>
      </w:r>
      <w:r w:rsidR="00B168BF">
        <w:rPr>
          <w:rFonts w:eastAsia="Calibri" w:cstheme="minorHAnsi"/>
          <w:color w:val="101820"/>
        </w:rPr>
        <w:t>to consider policies to strengthen consumer protections related to medical credit cards</w:t>
      </w:r>
      <w:r w:rsidR="00B1003E">
        <w:rPr>
          <w:rFonts w:eastAsia="Calibri" w:cstheme="minorHAnsi"/>
          <w:color w:val="101820"/>
        </w:rPr>
        <w:t xml:space="preserve">. Specific policies may include those highlighted by </w:t>
      </w:r>
      <w:r w:rsidR="0051599D" w:rsidRPr="005C2BDB">
        <w:rPr>
          <w:rFonts w:eastAsiaTheme="minorEastAsia" w:cstheme="minorHAnsi"/>
        </w:rPr>
        <w:t>Consumer Reports</w:t>
      </w:r>
      <w:r w:rsidR="00B1003E">
        <w:rPr>
          <w:rFonts w:eastAsiaTheme="minorEastAsia" w:cstheme="minorHAnsi"/>
        </w:rPr>
        <w:t>, including</w:t>
      </w:r>
      <w:r w:rsidR="00594B67">
        <w:rPr>
          <w:rFonts w:eastAsiaTheme="minorEastAsia" w:cstheme="minorHAnsi"/>
        </w:rPr>
        <w:t xml:space="preserve">: </w:t>
      </w:r>
    </w:p>
    <w:p w14:paraId="541237A7" w14:textId="77777777" w:rsidR="00645956" w:rsidRDefault="0051599D" w:rsidP="00B22DD1">
      <w:pPr>
        <w:pStyle w:val="ListParagraph"/>
        <w:numPr>
          <w:ilvl w:val="0"/>
          <w:numId w:val="28"/>
        </w:numPr>
        <w:shd w:val="clear" w:color="auto" w:fill="FFFFFF"/>
        <w:spacing w:before="100" w:beforeAutospacing="1" w:after="100" w:afterAutospacing="1" w:line="259" w:lineRule="auto"/>
        <w:rPr>
          <w:rFonts w:eastAsia="Times New Roman" w:cstheme="minorHAnsi"/>
          <w:color w:val="000000"/>
        </w:rPr>
      </w:pPr>
      <w:r w:rsidRPr="00645956">
        <w:rPr>
          <w:rFonts w:eastAsia="Times New Roman" w:cstheme="minorHAnsi"/>
          <w:color w:val="000000"/>
        </w:rPr>
        <w:t xml:space="preserve">Prohibit deferred interest on medical credit </w:t>
      </w:r>
      <w:r w:rsidR="00594B67" w:rsidRPr="00645956">
        <w:rPr>
          <w:rFonts w:eastAsia="Times New Roman" w:cstheme="minorHAnsi"/>
          <w:color w:val="000000"/>
        </w:rPr>
        <w:t>cards.</w:t>
      </w:r>
    </w:p>
    <w:p w14:paraId="1EECFB92" w14:textId="5CA2292B" w:rsidR="0051599D" w:rsidRPr="00645956" w:rsidRDefault="0051599D" w:rsidP="00B22DD1">
      <w:pPr>
        <w:pStyle w:val="ListParagraph"/>
        <w:numPr>
          <w:ilvl w:val="0"/>
          <w:numId w:val="28"/>
        </w:numPr>
        <w:shd w:val="clear" w:color="auto" w:fill="FFFFFF"/>
        <w:spacing w:before="100" w:beforeAutospacing="1" w:after="100" w:afterAutospacing="1" w:line="259" w:lineRule="auto"/>
        <w:rPr>
          <w:rFonts w:eastAsia="Times New Roman" w:cstheme="minorHAnsi"/>
          <w:color w:val="000000"/>
        </w:rPr>
      </w:pPr>
      <w:r w:rsidRPr="00645956">
        <w:rPr>
          <w:rFonts w:eastAsia="Times New Roman" w:cstheme="minorHAnsi"/>
          <w:color w:val="000000"/>
        </w:rPr>
        <w:t>Bar medical credit card providers from placing a charge on an account or issuing funds before a medical procedure is completed or the medical product is delivered (with limited exceptions)</w:t>
      </w:r>
    </w:p>
    <w:p w14:paraId="047BC3D2" w14:textId="54839F74" w:rsidR="0051599D" w:rsidRPr="005C4EA1" w:rsidRDefault="0051599D" w:rsidP="0051599D">
      <w:pPr>
        <w:numPr>
          <w:ilvl w:val="0"/>
          <w:numId w:val="28"/>
        </w:numPr>
        <w:shd w:val="clear" w:color="auto" w:fill="FFFFFF"/>
        <w:spacing w:before="100" w:beforeAutospacing="1" w:after="100" w:afterAutospacing="1"/>
        <w:rPr>
          <w:rFonts w:eastAsia="Times New Roman" w:cstheme="minorHAnsi"/>
          <w:color w:val="000000"/>
        </w:rPr>
      </w:pPr>
      <w:r w:rsidRPr="005C4EA1">
        <w:rPr>
          <w:rFonts w:eastAsia="Times New Roman" w:cstheme="minorHAnsi"/>
          <w:color w:val="000000"/>
        </w:rPr>
        <w:t xml:space="preserve">Reminding credit card companies that patients are entitled to withhold payment based on claims or defenses due to problematic practices by medical providers related to </w:t>
      </w:r>
      <w:r w:rsidRPr="005C4EA1">
        <w:rPr>
          <w:rFonts w:eastAsia="Times New Roman" w:cstheme="minorHAnsi"/>
          <w:color w:val="000000"/>
        </w:rPr>
        <w:lastRenderedPageBreak/>
        <w:t>medical credit cards, and that they must conduct a reasonable investigation of such disputes</w:t>
      </w:r>
      <w:r w:rsidR="00645956">
        <w:rPr>
          <w:rFonts w:eastAsia="Times New Roman" w:cstheme="minorHAnsi"/>
          <w:color w:val="000000"/>
        </w:rPr>
        <w:t>.</w:t>
      </w:r>
    </w:p>
    <w:p w14:paraId="1B13F01C" w14:textId="5AE0698C" w:rsidR="0051599D" w:rsidRPr="00971151" w:rsidRDefault="0051599D" w:rsidP="0051599D">
      <w:pPr>
        <w:numPr>
          <w:ilvl w:val="0"/>
          <w:numId w:val="28"/>
        </w:numPr>
        <w:shd w:val="clear" w:color="auto" w:fill="FFFFFF"/>
        <w:spacing w:before="100" w:beforeAutospacing="1" w:after="100" w:afterAutospacing="1"/>
        <w:rPr>
          <w:rFonts w:eastAsia="Times New Roman" w:cstheme="minorHAnsi"/>
          <w:color w:val="000000"/>
        </w:rPr>
      </w:pPr>
      <w:r w:rsidRPr="005C4EA1">
        <w:rPr>
          <w:rFonts w:eastAsia="Times New Roman" w:cstheme="minorHAnsi"/>
          <w:color w:val="000000"/>
        </w:rPr>
        <w:t>Adopting the requirements of the 2013</w:t>
      </w:r>
      <w:r w:rsidR="005A6C2B">
        <w:rPr>
          <w:rFonts w:eastAsia="Times New Roman" w:cstheme="minorHAnsi"/>
          <w:color w:val="000000"/>
        </w:rPr>
        <w:t xml:space="preserve"> Consumer Financial Protection Bureau Administrative Proceeding</w:t>
      </w:r>
      <w:r w:rsidRPr="005C4EA1">
        <w:rPr>
          <w:rFonts w:eastAsia="Times New Roman" w:cstheme="minorHAnsi"/>
          <w:color w:val="000000"/>
        </w:rPr>
        <w:t xml:space="preserve"> Consent Order against CareCredit as regulations, such as requiring patients to apply directly with the credit card company for credit limits over $1,000; requiring training of provider staff; and prohibiting providers from charging for services not yet rendered, with limited exceptions</w:t>
      </w:r>
      <w:r w:rsidR="0045578E">
        <w:rPr>
          <w:rFonts w:eastAsia="Times New Roman" w:cstheme="minorHAnsi"/>
          <w:color w:val="000000"/>
        </w:rPr>
        <w:t>.</w:t>
      </w:r>
      <w:r w:rsidR="00645956" w:rsidRPr="00645956">
        <w:rPr>
          <w:rStyle w:val="FootnoteReference"/>
          <w:rFonts w:eastAsiaTheme="minorEastAsia" w:cstheme="minorHAnsi"/>
        </w:rPr>
        <w:t xml:space="preserve"> </w:t>
      </w:r>
      <w:r w:rsidR="00645956" w:rsidRPr="005C2BDB">
        <w:rPr>
          <w:rStyle w:val="FootnoteReference"/>
          <w:rFonts w:eastAsiaTheme="minorEastAsia" w:cstheme="minorHAnsi"/>
        </w:rPr>
        <w:footnoteReference w:id="15"/>
      </w:r>
    </w:p>
    <w:p w14:paraId="4536799B" w14:textId="77777777" w:rsidR="005A5FCB" w:rsidRDefault="005A5FCB" w:rsidP="00B56001">
      <w:pPr>
        <w:rPr>
          <w:rFonts w:ascii="Calibri" w:hAnsi="Calibri" w:cs="Calibri"/>
          <w:b/>
          <w:bCs/>
        </w:rPr>
      </w:pPr>
    </w:p>
    <w:p w14:paraId="0E0C1772" w14:textId="6E04E341" w:rsidR="00B56001" w:rsidRPr="00EE1DEE" w:rsidRDefault="00B56001" w:rsidP="002A3D95">
      <w:pPr>
        <w:rPr>
          <w:rFonts w:ascii="Calibri" w:hAnsi="Calibri" w:cs="Calibri"/>
        </w:rPr>
      </w:pPr>
      <w:r w:rsidRPr="32996AA7">
        <w:rPr>
          <w:rFonts w:ascii="Calibri" w:hAnsi="Calibri" w:cs="Calibri"/>
          <w:b/>
          <w:bCs/>
        </w:rPr>
        <w:t>Utilize Medicare Reference Pricing</w:t>
      </w:r>
      <w:r w:rsidR="001B20FB">
        <w:rPr>
          <w:rFonts w:ascii="Calibri" w:hAnsi="Calibri" w:cs="Calibri"/>
          <w:b/>
          <w:bCs/>
        </w:rPr>
        <w:t>:</w:t>
      </w:r>
      <w:r w:rsidR="00960E32" w:rsidRPr="32996AA7">
        <w:rPr>
          <w:rFonts w:ascii="Calibri" w:hAnsi="Calibri" w:cs="Calibri"/>
          <w:b/>
          <w:bCs/>
        </w:rPr>
        <w:t xml:space="preserve"> </w:t>
      </w:r>
      <w:r w:rsidR="00095235" w:rsidRPr="00095235">
        <w:rPr>
          <w:rFonts w:ascii="Calibri" w:hAnsi="Calibri"/>
        </w:rPr>
        <w:t>The</w:t>
      </w:r>
      <w:r w:rsidRPr="00095235">
        <w:rPr>
          <w:rFonts w:ascii="Calibri" w:hAnsi="Calibri"/>
        </w:rPr>
        <w:t xml:space="preserve"> Inflation Reduction Act, passed in 2022, contained several provisions aimed at reducing the costs of prescription drugs, including requiring the Secretary of Health and Human Services (HHS) to negotiate prices for some of the costliest prescription drugs covered by Medicare.</w:t>
      </w:r>
      <w:r w:rsidRPr="00EE1DEE">
        <w:rPr>
          <w:rFonts w:ascii="Calibri" w:hAnsi="Calibri" w:cs="Calibri"/>
        </w:rPr>
        <w:t xml:space="preserve"> CMS recently selected ten drugs for negotiation for 2026. The total number of negotiated drugs will increase each year, with 15 additional Part D drugs selected for negotiation for 2027, up to 15 additional Part B or Part D drugs for 2028, and up to 20 additional 20 Part B or Part D drugs for 2029 and subsequent years.</w:t>
      </w:r>
      <w:r w:rsidRPr="00EE1DEE">
        <w:rPr>
          <w:rStyle w:val="FootnoteReference"/>
          <w:rFonts w:ascii="Calibri" w:hAnsi="Calibri" w:cs="Calibri"/>
        </w:rPr>
        <w:footnoteReference w:id="16"/>
      </w:r>
      <w:r w:rsidRPr="00EE1DEE">
        <w:rPr>
          <w:rFonts w:ascii="Calibri" w:hAnsi="Calibri" w:cs="Calibri"/>
          <w:position w:val="8"/>
        </w:rPr>
        <w:t xml:space="preserve"> </w:t>
      </w:r>
      <w:r w:rsidRPr="00EE1DEE">
        <w:rPr>
          <w:rFonts w:ascii="Calibri" w:hAnsi="Calibri" w:cs="Calibri"/>
        </w:rPr>
        <w:t xml:space="preserve">CMS will select drugs from among the 50 drugs with the highest total Medicare Part D spending and the 50 drugs with the highest total Medicare Part B spending. </w:t>
      </w:r>
    </w:p>
    <w:p w14:paraId="00EC2445" w14:textId="77777777" w:rsidR="00B56001" w:rsidRPr="00EE1DEE" w:rsidRDefault="00B56001" w:rsidP="00B56001">
      <w:pPr>
        <w:pStyle w:val="NormalWeb"/>
        <w:rPr>
          <w:rFonts w:ascii="Calibri" w:hAnsi="Calibri" w:cs="Calibri"/>
        </w:rPr>
      </w:pPr>
      <w:r w:rsidRPr="00EE1DEE">
        <w:rPr>
          <w:rFonts w:ascii="Calibri" w:hAnsi="Calibri" w:cs="Calibri"/>
        </w:rPr>
        <w:t>Seven of the ten drugs that will be part of the first round of negotiations are also in the top 25 most costly drugs in Maine, according to data from the Maine Health Data Organization.</w:t>
      </w:r>
      <w:r w:rsidRPr="00EE1DEE">
        <w:rPr>
          <w:rStyle w:val="FootnoteReference"/>
          <w:rFonts w:ascii="Calibri" w:hAnsi="Calibri" w:cs="Calibri"/>
        </w:rPr>
        <w:footnoteReference w:id="17"/>
      </w:r>
      <w:r w:rsidRPr="00EE1DEE">
        <w:rPr>
          <w:rFonts w:ascii="Calibri" w:hAnsi="Calibri" w:cs="Calibri"/>
        </w:rPr>
        <w:t xml:space="preserve"> </w:t>
      </w:r>
    </w:p>
    <w:p w14:paraId="7E3812DA" w14:textId="77777777" w:rsidR="00B56001" w:rsidRPr="00EE1DEE" w:rsidRDefault="00B56001" w:rsidP="00B56001">
      <w:pPr>
        <w:pStyle w:val="NormalWeb"/>
        <w:rPr>
          <w:rFonts w:ascii="Calibri" w:hAnsi="Calibri" w:cs="Calibri"/>
        </w:rPr>
      </w:pPr>
      <w:r w:rsidRPr="00EE1DEE">
        <w:rPr>
          <w:rFonts w:ascii="Calibri" w:hAnsi="Calibri" w:cs="Calibri"/>
        </w:rPr>
        <w:t>In its most recent annual report, the Maine Prescription Drug Board (MPDAB) identified the new Medicare maximum fair prices “as an opportunity for Maine to leverage the work of the federal government,” and recommended Maine adopt maximum fair prices as reference rates to set upper payment limits for selected drugs sold in Maine.</w:t>
      </w:r>
      <w:r w:rsidRPr="00EE1DEE">
        <w:rPr>
          <w:rStyle w:val="FootnoteReference"/>
          <w:rFonts w:ascii="Calibri" w:hAnsi="Calibri" w:cs="Calibri"/>
        </w:rPr>
        <w:footnoteReference w:id="18"/>
      </w:r>
      <w:r w:rsidRPr="00EE1DEE">
        <w:rPr>
          <w:rFonts w:ascii="Calibri" w:hAnsi="Calibri" w:cs="Calibri"/>
          <w:position w:val="8"/>
        </w:rPr>
        <w:t xml:space="preserve"> </w:t>
      </w:r>
      <w:r w:rsidRPr="00EE1DEE">
        <w:rPr>
          <w:rFonts w:ascii="Calibri" w:hAnsi="Calibri" w:cs="Calibri"/>
        </w:rPr>
        <w:t>This would ensure that Mainers who are not enrolled in Medicare will still be able to benefit from the maximum fair prices for selected drugs negotiated for Medicare. It is also worth noting that, due to the limited number of drugs that will be selected for negotiation for Medicare, the MPDAB also recommends that Maine “institute Medicare reference rates supplemented by Canadian reference rates where domestic MFPs are not available, to maximize savings.”</w:t>
      </w:r>
      <w:r w:rsidRPr="00EE1DEE">
        <w:rPr>
          <w:rStyle w:val="FootnoteReference"/>
          <w:rFonts w:ascii="Calibri" w:hAnsi="Calibri" w:cs="Calibri"/>
        </w:rPr>
        <w:footnoteReference w:id="19"/>
      </w:r>
      <w:r w:rsidRPr="00EE1DEE">
        <w:rPr>
          <w:rFonts w:ascii="Calibri" w:hAnsi="Calibri" w:cs="Calibri"/>
          <w:position w:val="8"/>
        </w:rPr>
        <w:t xml:space="preserve"> </w:t>
      </w:r>
      <w:r w:rsidRPr="00EE1DEE">
        <w:rPr>
          <w:rFonts w:ascii="Calibri" w:hAnsi="Calibri" w:cs="Calibri"/>
        </w:rPr>
        <w:t xml:space="preserve">Due to the large number of drugs that have price tags too high for Mainers to afford, CAHC also supports using Canadian reference rates to supplement Medicare-based reference rates, when a Medicare MFP is not available for a drug. </w:t>
      </w:r>
    </w:p>
    <w:p w14:paraId="3D4268D1" w14:textId="4C2AE0A5" w:rsidR="000E0118" w:rsidRPr="00895FCA" w:rsidRDefault="00B56001" w:rsidP="00B56001">
      <w:pPr>
        <w:pStyle w:val="NormalWeb"/>
        <w:rPr>
          <w:rFonts w:asciiTheme="minorHAnsi" w:hAnsiTheme="minorHAnsi"/>
          <w:color w:val="000000"/>
          <w:shd w:val="clear" w:color="auto" w:fill="FFFFFF"/>
        </w:rPr>
      </w:pPr>
      <w:r w:rsidRPr="00102E55">
        <w:rPr>
          <w:rFonts w:ascii="Calibri" w:hAnsi="Calibri" w:cs="Calibri"/>
        </w:rPr>
        <w:t xml:space="preserve">In addition to prescription </w:t>
      </w:r>
      <w:r w:rsidRPr="00895FCA">
        <w:rPr>
          <w:rFonts w:asciiTheme="minorHAnsi" w:hAnsiTheme="minorHAnsi"/>
        </w:rPr>
        <w:t xml:space="preserve">drugs, we also urge the Office to consider policies that promote the use of Medicare referenced-based pricing </w:t>
      </w:r>
      <w:r w:rsidR="00DC700F" w:rsidRPr="001A727C">
        <w:rPr>
          <w:rFonts w:asciiTheme="minorHAnsi" w:hAnsiTheme="minorHAnsi" w:cstheme="minorHAnsi"/>
        </w:rPr>
        <w:t xml:space="preserve">(RBP) </w:t>
      </w:r>
      <w:r w:rsidRPr="001A727C">
        <w:rPr>
          <w:rFonts w:asciiTheme="minorHAnsi" w:hAnsiTheme="minorHAnsi" w:cstheme="minorHAnsi"/>
        </w:rPr>
        <w:t>for health care services</w:t>
      </w:r>
      <w:r w:rsidR="00DC700F" w:rsidRPr="001A727C">
        <w:rPr>
          <w:rFonts w:asciiTheme="minorHAnsi" w:hAnsiTheme="minorHAnsi" w:cstheme="minorHAnsi"/>
        </w:rPr>
        <w:t xml:space="preserve">. </w:t>
      </w:r>
      <w:r w:rsidR="00B06B4C" w:rsidRPr="001A727C">
        <w:rPr>
          <w:rFonts w:asciiTheme="minorHAnsi" w:hAnsiTheme="minorHAnsi" w:cstheme="minorHAnsi"/>
          <w:color w:val="000000"/>
          <w:shd w:val="clear" w:color="auto" w:fill="FFFFFF"/>
        </w:rPr>
        <w:t xml:space="preserve">To address high </w:t>
      </w:r>
      <w:r w:rsidR="00B06B4C" w:rsidRPr="001A727C">
        <w:rPr>
          <w:rFonts w:asciiTheme="minorHAnsi" w:hAnsiTheme="minorHAnsi" w:cstheme="minorHAnsi"/>
          <w:color w:val="000000"/>
          <w:shd w:val="clear" w:color="auto" w:fill="FFFFFF"/>
        </w:rPr>
        <w:lastRenderedPageBreak/>
        <w:t xml:space="preserve">hospital prices, some state health purchasers are using </w:t>
      </w:r>
      <w:r w:rsidR="00EF1D8D" w:rsidRPr="001A727C">
        <w:rPr>
          <w:rFonts w:asciiTheme="minorHAnsi" w:hAnsiTheme="minorHAnsi" w:cstheme="minorHAnsi"/>
          <w:color w:val="000000"/>
          <w:shd w:val="clear" w:color="auto" w:fill="FFFFFF"/>
        </w:rPr>
        <w:t>Medicare RBP</w:t>
      </w:r>
      <w:r w:rsidR="00B06B4C" w:rsidRPr="001A727C">
        <w:rPr>
          <w:rFonts w:asciiTheme="minorHAnsi" w:hAnsiTheme="minorHAnsi" w:cstheme="minorHAnsi"/>
          <w:color w:val="000000"/>
          <w:shd w:val="clear" w:color="auto" w:fill="FFFFFF"/>
        </w:rPr>
        <w:t xml:space="preserve"> as a reference-point </w:t>
      </w:r>
      <w:r w:rsidR="00B74C2B">
        <w:rPr>
          <w:rFonts w:asciiTheme="minorHAnsi" w:hAnsiTheme="minorHAnsi" w:cstheme="minorHAnsi"/>
          <w:color w:val="000000"/>
          <w:shd w:val="clear" w:color="auto" w:fill="FFFFFF"/>
        </w:rPr>
        <w:t>when setting hospital reimbursement</w:t>
      </w:r>
      <w:r w:rsidR="00B06B4C" w:rsidRPr="001A727C">
        <w:rPr>
          <w:rFonts w:asciiTheme="minorHAnsi" w:hAnsiTheme="minorHAnsi" w:cstheme="minorHAnsi"/>
          <w:color w:val="000000"/>
          <w:shd w:val="clear" w:color="auto" w:fill="FFFFFF"/>
        </w:rPr>
        <w:t xml:space="preserve"> </w:t>
      </w:r>
      <w:r w:rsidR="00BB36B5">
        <w:rPr>
          <w:rFonts w:asciiTheme="minorHAnsi" w:hAnsiTheme="minorHAnsi" w:cstheme="minorHAnsi"/>
          <w:color w:val="000000"/>
          <w:shd w:val="clear" w:color="auto" w:fill="FFFFFF"/>
        </w:rPr>
        <w:t>rates, which can help</w:t>
      </w:r>
      <w:r w:rsidR="00980A33">
        <w:rPr>
          <w:rFonts w:asciiTheme="minorHAnsi" w:hAnsiTheme="minorHAnsi" w:cstheme="minorHAnsi"/>
          <w:color w:val="000000"/>
          <w:shd w:val="clear" w:color="auto" w:fill="FFFFFF"/>
        </w:rPr>
        <w:t xml:space="preserve"> </w:t>
      </w:r>
      <w:r w:rsidR="00E926C0">
        <w:rPr>
          <w:rFonts w:asciiTheme="minorHAnsi" w:hAnsiTheme="minorHAnsi" w:cstheme="minorHAnsi"/>
          <w:color w:val="000000"/>
          <w:shd w:val="clear" w:color="auto" w:fill="FFFFFF"/>
        </w:rPr>
        <w:t xml:space="preserve">lower costs and </w:t>
      </w:r>
      <w:r w:rsidR="00980A33">
        <w:rPr>
          <w:rFonts w:asciiTheme="minorHAnsi" w:hAnsiTheme="minorHAnsi" w:cstheme="minorHAnsi"/>
          <w:color w:val="000000"/>
          <w:shd w:val="clear" w:color="auto" w:fill="FFFFFF"/>
        </w:rPr>
        <w:t xml:space="preserve">ensure rates </w:t>
      </w:r>
      <w:r w:rsidR="00B06B4C" w:rsidRPr="001A727C">
        <w:rPr>
          <w:rFonts w:asciiTheme="minorHAnsi" w:hAnsiTheme="minorHAnsi" w:cstheme="minorHAnsi"/>
          <w:color w:val="000000"/>
          <w:shd w:val="clear" w:color="auto" w:fill="FFFFFF"/>
        </w:rPr>
        <w:t>more accurately reflect</w:t>
      </w:r>
      <w:r w:rsidR="00A57A7E">
        <w:rPr>
          <w:rFonts w:asciiTheme="minorHAnsi" w:hAnsiTheme="minorHAnsi" w:cstheme="minorHAnsi"/>
          <w:color w:val="000000"/>
          <w:shd w:val="clear" w:color="auto" w:fill="FFFFFF"/>
        </w:rPr>
        <w:t xml:space="preserve"> </w:t>
      </w:r>
      <w:r w:rsidR="00BB36B5">
        <w:rPr>
          <w:rFonts w:asciiTheme="minorHAnsi" w:hAnsiTheme="minorHAnsi" w:cstheme="minorHAnsi"/>
          <w:color w:val="000000"/>
          <w:shd w:val="clear" w:color="auto" w:fill="FFFFFF"/>
        </w:rPr>
        <w:t xml:space="preserve">actual </w:t>
      </w:r>
      <w:r w:rsidR="00B06B4C" w:rsidRPr="001A727C">
        <w:rPr>
          <w:rFonts w:asciiTheme="minorHAnsi" w:hAnsiTheme="minorHAnsi" w:cstheme="minorHAnsi"/>
          <w:color w:val="000000"/>
          <w:shd w:val="clear" w:color="auto" w:fill="FFFFFF"/>
        </w:rPr>
        <w:t>cost</w:t>
      </w:r>
      <w:r w:rsidR="00BB36B5">
        <w:rPr>
          <w:rFonts w:asciiTheme="minorHAnsi" w:hAnsiTheme="minorHAnsi" w:cstheme="minorHAnsi"/>
          <w:color w:val="000000"/>
          <w:shd w:val="clear" w:color="auto" w:fill="FFFFFF"/>
        </w:rPr>
        <w:t>s</w:t>
      </w:r>
      <w:r w:rsidR="00B06B4C" w:rsidRPr="001A727C">
        <w:rPr>
          <w:rFonts w:asciiTheme="minorHAnsi" w:hAnsiTheme="minorHAnsi" w:cstheme="minorHAnsi"/>
          <w:color w:val="000000"/>
          <w:shd w:val="clear" w:color="auto" w:fill="FFFFFF"/>
        </w:rPr>
        <w:t xml:space="preserve"> of providing services</w:t>
      </w:r>
      <w:r w:rsidR="001A727C" w:rsidRPr="001A727C">
        <w:rPr>
          <w:rFonts w:asciiTheme="minorHAnsi" w:hAnsiTheme="minorHAnsi" w:cstheme="minorHAnsi"/>
          <w:color w:val="000000"/>
          <w:shd w:val="clear" w:color="auto" w:fill="FFFFFF"/>
        </w:rPr>
        <w:t xml:space="preserve">. </w:t>
      </w:r>
    </w:p>
    <w:p w14:paraId="447FF5E7" w14:textId="00082FB4" w:rsidR="000E0118" w:rsidRPr="00971151" w:rsidRDefault="00310F69" w:rsidP="00971151">
      <w:pPr>
        <w:pStyle w:val="NormalWeb"/>
        <w:rPr>
          <w:rFonts w:asciiTheme="minorHAnsi" w:hAnsiTheme="minorHAnsi" w:cstheme="minorBidi"/>
        </w:rPr>
      </w:pPr>
      <w:r w:rsidRPr="63E1B7C1">
        <w:rPr>
          <w:rFonts w:asciiTheme="minorHAnsi" w:hAnsiTheme="minorHAnsi" w:cstheme="minorBidi"/>
        </w:rPr>
        <w:t xml:space="preserve">For example, </w:t>
      </w:r>
      <w:r w:rsidRPr="0032311C">
        <w:rPr>
          <w:rFonts w:asciiTheme="minorHAnsi" w:hAnsiTheme="minorHAnsi" w:cstheme="minorBidi"/>
          <w:bdr w:val="none" w:sz="0" w:space="0" w:color="auto" w:frame="1"/>
          <w:shd w:val="clear" w:color="auto" w:fill="FFFFFF"/>
        </w:rPr>
        <w:t>Montana</w:t>
      </w:r>
      <w:r w:rsidRPr="63E1B7C1">
        <w:rPr>
          <w:rFonts w:asciiTheme="minorHAnsi" w:hAnsiTheme="minorHAnsi" w:cstheme="minorBidi"/>
          <w:color w:val="262222"/>
          <w:shd w:val="clear" w:color="auto" w:fill="FFFFFF"/>
        </w:rPr>
        <w:t>’s state employee health plan uses a Medicare-based reference point to pay hospitals and other medical facilities.</w:t>
      </w:r>
      <w:r w:rsidR="0032311C">
        <w:rPr>
          <w:rStyle w:val="FootnoteReference"/>
          <w:rFonts w:asciiTheme="minorHAnsi" w:hAnsiTheme="minorHAnsi" w:cstheme="minorBidi"/>
          <w:color w:val="262222"/>
          <w:shd w:val="clear" w:color="auto" w:fill="FFFFFF"/>
        </w:rPr>
        <w:footnoteReference w:id="20"/>
      </w:r>
      <w:r w:rsidRPr="63E1B7C1">
        <w:rPr>
          <w:rFonts w:asciiTheme="minorHAnsi" w:hAnsiTheme="minorHAnsi" w:cstheme="minorBidi"/>
          <w:color w:val="262222"/>
          <w:shd w:val="clear" w:color="auto" w:fill="FFFFFF"/>
        </w:rPr>
        <w:t xml:space="preserve"> The reference-based pricing agreements </w:t>
      </w:r>
      <w:r w:rsidRPr="00CE3C9C">
        <w:rPr>
          <w:rFonts w:asciiTheme="minorHAnsi" w:hAnsiTheme="minorHAnsi" w:cstheme="minorBidi"/>
          <w:bdr w:val="none" w:sz="0" w:space="0" w:color="auto" w:frame="1"/>
          <w:shd w:val="clear" w:color="auto" w:fill="FFFFFF"/>
        </w:rPr>
        <w:t>set the price range</w:t>
      </w:r>
      <w:r w:rsidRPr="63E1B7C1">
        <w:rPr>
          <w:rFonts w:asciiTheme="minorHAnsi" w:hAnsiTheme="minorHAnsi" w:cstheme="minorBidi"/>
          <w:color w:val="262222"/>
          <w:shd w:val="clear" w:color="auto" w:fill="FFFFFF"/>
        </w:rPr>
        <w:t xml:space="preserve"> paid by the health plan </w:t>
      </w:r>
      <w:r w:rsidR="0032311C">
        <w:rPr>
          <w:rFonts w:asciiTheme="minorHAnsi" w:hAnsiTheme="minorHAnsi" w:cstheme="minorBidi"/>
          <w:color w:val="262222"/>
          <w:shd w:val="clear" w:color="auto" w:fill="FFFFFF"/>
        </w:rPr>
        <w:t>from</w:t>
      </w:r>
      <w:r w:rsidRPr="63E1B7C1">
        <w:rPr>
          <w:rFonts w:asciiTheme="minorHAnsi" w:hAnsiTheme="minorHAnsi" w:cstheme="minorBidi"/>
          <w:color w:val="262222"/>
          <w:shd w:val="clear" w:color="auto" w:fill="FFFFFF"/>
        </w:rPr>
        <w:t xml:space="preserve"> 220% to 225% for inpatient services and 230% to 250% for outpatient services.</w:t>
      </w:r>
      <w:r w:rsidR="00344B88">
        <w:rPr>
          <w:rStyle w:val="FootnoteReference"/>
          <w:rFonts w:asciiTheme="minorHAnsi" w:hAnsiTheme="minorHAnsi" w:cstheme="minorBidi"/>
          <w:color w:val="262222"/>
          <w:shd w:val="clear" w:color="auto" w:fill="FFFFFF"/>
        </w:rPr>
        <w:footnoteReference w:id="21"/>
      </w:r>
      <w:r w:rsidR="00D47D9E" w:rsidRPr="63E1B7C1">
        <w:rPr>
          <w:rFonts w:asciiTheme="minorHAnsi" w:hAnsiTheme="minorHAnsi" w:cstheme="minorBidi"/>
          <w:color w:val="262222"/>
          <w:shd w:val="clear" w:color="auto" w:fill="FFFFFF"/>
        </w:rPr>
        <w:t xml:space="preserve"> An </w:t>
      </w:r>
      <w:r w:rsidR="00D47D9E" w:rsidRPr="00CE3C9C">
        <w:rPr>
          <w:rFonts w:asciiTheme="minorHAnsi" w:hAnsiTheme="minorHAnsi" w:cstheme="minorBidi"/>
          <w:bdr w:val="none" w:sz="0" w:space="0" w:color="auto" w:frame="1"/>
          <w:shd w:val="clear" w:color="auto" w:fill="FFFFFF"/>
        </w:rPr>
        <w:t>independent study</w:t>
      </w:r>
      <w:r w:rsidR="00D47D9E" w:rsidRPr="63E1B7C1">
        <w:rPr>
          <w:rFonts w:asciiTheme="minorHAnsi" w:hAnsiTheme="minorHAnsi" w:cstheme="minorBidi"/>
          <w:color w:val="262222"/>
          <w:shd w:val="clear" w:color="auto" w:fill="FFFFFF"/>
        </w:rPr>
        <w:t> of publicly available data estimated the Montana state employee plan saved $47.8 million from state fiscal years 2017 to 2019 using reference-based pricing.</w:t>
      </w:r>
      <w:r w:rsidR="00CE3C9C">
        <w:rPr>
          <w:rStyle w:val="FootnoteReference"/>
          <w:rFonts w:asciiTheme="minorHAnsi" w:hAnsiTheme="minorHAnsi" w:cstheme="minorBidi"/>
          <w:color w:val="262222"/>
          <w:shd w:val="clear" w:color="auto" w:fill="FFFFFF"/>
        </w:rPr>
        <w:footnoteReference w:id="22"/>
      </w:r>
      <w:r w:rsidR="00CE3C9C" w:rsidRPr="00CE3C9C">
        <w:rPr>
          <w:rFonts w:asciiTheme="minorHAnsi" w:hAnsiTheme="minorHAnsi" w:cstheme="minorBidi"/>
          <w:color w:val="262222"/>
          <w:shd w:val="clear" w:color="auto" w:fill="FFFFFF"/>
          <w:vertAlign w:val="superscript"/>
        </w:rPr>
        <w:t>,</w:t>
      </w:r>
      <w:r w:rsidR="001300D4">
        <w:rPr>
          <w:rFonts w:asciiTheme="minorHAnsi" w:hAnsiTheme="minorHAnsi" w:cstheme="minorBidi"/>
          <w:color w:val="262222"/>
          <w:shd w:val="clear" w:color="auto" w:fill="FFFFFF"/>
          <w:vertAlign w:val="superscript"/>
        </w:rPr>
        <w:t xml:space="preserve"> </w:t>
      </w:r>
      <w:r w:rsidR="00ED7940" w:rsidRPr="63E1B7C1">
        <w:rPr>
          <w:rStyle w:val="FootnoteReference"/>
          <w:rFonts w:asciiTheme="minorHAnsi" w:hAnsiTheme="minorHAnsi" w:cstheme="minorBidi"/>
          <w:color w:val="262222"/>
          <w:shd w:val="clear" w:color="auto" w:fill="FFFFFF"/>
        </w:rPr>
        <w:footnoteReference w:id="23"/>
      </w:r>
    </w:p>
    <w:p w14:paraId="2FC9969A" w14:textId="2CF58728" w:rsidR="000E0118" w:rsidRPr="00EE1DEE" w:rsidRDefault="000E0118" w:rsidP="000E0118">
      <w:pPr>
        <w:rPr>
          <w:rFonts w:ascii="Calibri" w:hAnsi="Calibri" w:cs="Calibri"/>
          <w:b/>
          <w:bCs/>
        </w:rPr>
      </w:pPr>
      <w:r w:rsidRPr="005E31F3">
        <w:rPr>
          <w:rFonts w:ascii="Calibri" w:hAnsi="Calibri"/>
          <w:b/>
        </w:rPr>
        <w:t>Prohibit Anti-Competitive Practices</w:t>
      </w:r>
      <w:r w:rsidR="001B20FB">
        <w:rPr>
          <w:rFonts w:ascii="Calibri" w:hAnsi="Calibri"/>
          <w:b/>
        </w:rPr>
        <w:t>:</w:t>
      </w:r>
      <w:r w:rsidRPr="005E31F3">
        <w:rPr>
          <w:rFonts w:ascii="Calibri" w:hAnsi="Calibri"/>
          <w:b/>
        </w:rPr>
        <w:t xml:space="preserve"> </w:t>
      </w:r>
      <w:r w:rsidRPr="005E31F3">
        <w:rPr>
          <w:rFonts w:ascii="Calibri" w:hAnsi="Calibri"/>
          <w:color w:val="000000" w:themeColor="text1"/>
        </w:rPr>
        <w:t>Nationally, some dominant health systems have used anticompetitive contract provisions to keep high-cost, low-value providers in preferred plan networks and to raise hospital prices, including anti-tiering, anti-steering, and all-or-nothing</w:t>
      </w:r>
      <w:r w:rsidRPr="005E31F3">
        <w:rPr>
          <w:rFonts w:ascii="Calibri" w:eastAsia="Times New Roman" w:hAnsi="Calibri" w:cs="Calibri"/>
          <w:color w:val="000000" w:themeColor="text1"/>
        </w:rPr>
        <w:t xml:space="preserve"> clauses</w:t>
      </w:r>
      <w:r w:rsidRPr="00EE1DEE">
        <w:rPr>
          <w:rFonts w:ascii="Calibri" w:eastAsia="Times New Roman" w:hAnsi="Calibri" w:cs="Calibri"/>
          <w:color w:val="000000" w:themeColor="text1"/>
        </w:rPr>
        <w:t>.</w:t>
      </w:r>
      <w:r w:rsidRPr="00EE1DEE">
        <w:rPr>
          <w:rStyle w:val="FootnoteReference"/>
          <w:rFonts w:ascii="Calibri" w:eastAsia="Times New Roman" w:hAnsi="Calibri" w:cs="Calibri"/>
        </w:rPr>
        <w:footnoteReference w:id="24"/>
      </w:r>
      <w:r w:rsidRPr="00EE1DEE">
        <w:rPr>
          <w:rFonts w:ascii="Calibri" w:eastAsia="Times New Roman" w:hAnsi="Calibri" w:cs="Calibri"/>
          <w:color w:val="000000" w:themeColor="text1"/>
        </w:rPr>
        <w:t xml:space="preserve"> </w:t>
      </w:r>
      <w:r w:rsidRPr="00EE1DEE">
        <w:rPr>
          <w:rStyle w:val="FootnoteReference"/>
          <w:rFonts w:ascii="Calibri" w:eastAsia="Times New Roman" w:hAnsi="Calibri" w:cs="Calibri"/>
          <w:color w:val="000000" w:themeColor="text1"/>
        </w:rPr>
        <w:footnoteReference w:id="25"/>
      </w:r>
    </w:p>
    <w:p w14:paraId="63A34E43" w14:textId="77777777" w:rsidR="000E0118" w:rsidRPr="00EE1DEE" w:rsidRDefault="000E0118" w:rsidP="000E0118">
      <w:pPr>
        <w:rPr>
          <w:rFonts w:ascii="Calibri" w:eastAsia="Times New Roman" w:hAnsi="Calibri" w:cs="Calibri"/>
          <w:color w:val="000000" w:themeColor="text1"/>
        </w:rPr>
      </w:pPr>
    </w:p>
    <w:p w14:paraId="0AFE42A6" w14:textId="017ED2CD" w:rsidR="000E0118" w:rsidRPr="00EE1DEE" w:rsidRDefault="000E0118" w:rsidP="000E0118">
      <w:pPr>
        <w:rPr>
          <w:rFonts w:ascii="Calibri" w:eastAsia="Times New Roman" w:hAnsi="Calibri" w:cs="Calibri"/>
        </w:rPr>
      </w:pPr>
      <w:r w:rsidRPr="32996AA7">
        <w:rPr>
          <w:rFonts w:ascii="Calibri" w:eastAsia="Times New Roman" w:hAnsi="Calibri" w:cs="Calibri"/>
        </w:rPr>
        <w:t xml:space="preserve">Since carriers are required to maintain adequate provider networks, there are some providers or facilities, particularly in rural areas, that they likely must contract with in order to maintain an adequate network. If these facilities are part of a larger health care system, anti-steering, anti-tiering, and all-or-nothing clauses can dramatically diminish a carrier’s leverage when negotiating rates and contract terms for other facilities or hospitals within the health system, even when those facilities or hospitals are not necessary to meet network adequacy requirements. This often leads to higher </w:t>
      </w:r>
      <w:r w:rsidR="2B1B8CBA" w:rsidRPr="32996AA7">
        <w:rPr>
          <w:rFonts w:ascii="Calibri" w:eastAsia="Times New Roman" w:hAnsi="Calibri" w:cs="Calibri"/>
        </w:rPr>
        <w:t>prices and</w:t>
      </w:r>
      <w:r w:rsidRPr="32996AA7">
        <w:rPr>
          <w:rFonts w:ascii="Calibri" w:eastAsia="Times New Roman" w:hAnsi="Calibri" w:cs="Calibri"/>
        </w:rPr>
        <w:t xml:space="preserve"> may also result in consumers being steered away from other independent smaller practices or higher-value providers. </w:t>
      </w:r>
    </w:p>
    <w:p w14:paraId="3DFAFE8D" w14:textId="77777777" w:rsidR="00CD59BE" w:rsidRDefault="00CD59BE" w:rsidP="000E0118">
      <w:pPr>
        <w:rPr>
          <w:rFonts w:ascii="Calibri" w:eastAsia="Times New Roman" w:hAnsi="Calibri" w:cs="Calibri"/>
        </w:rPr>
      </w:pPr>
    </w:p>
    <w:p w14:paraId="7D0960F2" w14:textId="7B043D68" w:rsidR="000E0118" w:rsidRPr="00EE1DEE" w:rsidRDefault="00CD59BE" w:rsidP="000E0118">
      <w:pPr>
        <w:rPr>
          <w:rFonts w:ascii="Calibri" w:eastAsia="Times New Roman" w:hAnsi="Calibri" w:cs="Calibri"/>
          <w:color w:val="000000" w:themeColor="text1"/>
        </w:rPr>
      </w:pPr>
      <w:r>
        <w:rPr>
          <w:rFonts w:ascii="Calibri" w:eastAsia="Times New Roman" w:hAnsi="Calibri" w:cs="Calibri"/>
        </w:rPr>
        <w:t>Prohibiting</w:t>
      </w:r>
      <w:r w:rsidR="000E0118" w:rsidRPr="32996AA7">
        <w:rPr>
          <w:rFonts w:ascii="Calibri" w:eastAsia="Times New Roman" w:hAnsi="Calibri" w:cs="Calibri"/>
        </w:rPr>
        <w:t xml:space="preserve"> anti-steering, anti-teering, and all-or-nothing clauses in contracts </w:t>
      </w:r>
      <w:r w:rsidR="000E0118" w:rsidRPr="32996AA7">
        <w:rPr>
          <w:rFonts w:ascii="Calibri" w:eastAsia="Times New Roman" w:hAnsi="Calibri" w:cs="Calibri"/>
          <w:color w:val="000000" w:themeColor="text1"/>
        </w:rPr>
        <w:t xml:space="preserve">can help level the playing field for negotiations between insurers and large health systems, which helps insurers to better negotiate lower in-network prices, which should </w:t>
      </w:r>
      <w:r w:rsidR="000E0118" w:rsidRPr="32996AA7">
        <w:rPr>
          <w:rFonts w:ascii="Calibri" w:eastAsia="Times New Roman" w:hAnsi="Calibri" w:cs="Calibri"/>
        </w:rPr>
        <w:t xml:space="preserve">ultimately lead to lower costs for their members. Prohibiting anti-competitive contracting terms will also help to </w:t>
      </w:r>
      <w:r w:rsidR="6A26099A" w:rsidRPr="32996AA7">
        <w:rPr>
          <w:rFonts w:ascii="Calibri" w:eastAsia="Times New Roman" w:hAnsi="Calibri" w:cs="Calibri"/>
        </w:rPr>
        <w:t>ensure</w:t>
      </w:r>
      <w:r w:rsidR="000E0118" w:rsidRPr="32996AA7">
        <w:rPr>
          <w:rFonts w:ascii="Calibri" w:eastAsia="Times New Roman" w:hAnsi="Calibri" w:cs="Calibri"/>
        </w:rPr>
        <w:t xml:space="preserve"> carriers are able to </w:t>
      </w:r>
      <w:r w:rsidR="000E0118" w:rsidRPr="32996AA7">
        <w:rPr>
          <w:rFonts w:ascii="Calibri" w:eastAsia="Times New Roman" w:hAnsi="Calibri" w:cs="Calibri"/>
          <w:color w:val="000000" w:themeColor="text1"/>
        </w:rPr>
        <w:t xml:space="preserve">design networks with the highest-quality, lowest-cost providers available. </w:t>
      </w:r>
    </w:p>
    <w:p w14:paraId="6BD92204" w14:textId="77777777" w:rsidR="000E0118" w:rsidRPr="00EE1DEE" w:rsidRDefault="000E0118" w:rsidP="000E0118">
      <w:pPr>
        <w:rPr>
          <w:rFonts w:ascii="Calibri" w:eastAsia="Times New Roman" w:hAnsi="Calibri" w:cs="Calibri"/>
          <w:color w:val="000000" w:themeColor="text1"/>
        </w:rPr>
      </w:pPr>
    </w:p>
    <w:p w14:paraId="4246C392" w14:textId="68D30D53" w:rsidR="000E0118" w:rsidRDefault="000E0118" w:rsidP="000E0118">
      <w:pPr>
        <w:rPr>
          <w:rFonts w:ascii="Calibri" w:eastAsia="Times New Roman" w:hAnsi="Calibri" w:cs="Calibri"/>
        </w:rPr>
      </w:pPr>
      <w:r w:rsidRPr="00EE1DEE">
        <w:rPr>
          <w:rFonts w:ascii="Calibri" w:eastAsia="Times New Roman" w:hAnsi="Calibri" w:cs="Calibri"/>
          <w:color w:val="111111"/>
        </w:rPr>
        <w:t>Massachusetts, California</w:t>
      </w:r>
      <w:r w:rsidR="00A73631">
        <w:rPr>
          <w:rFonts w:ascii="Calibri" w:eastAsia="Times New Roman" w:hAnsi="Calibri" w:cs="Calibri"/>
          <w:color w:val="111111"/>
        </w:rPr>
        <w:t>,</w:t>
      </w:r>
      <w:r w:rsidRPr="00EE1DEE">
        <w:rPr>
          <w:rFonts w:ascii="Calibri" w:eastAsia="Times New Roman" w:hAnsi="Calibri" w:cs="Calibri"/>
          <w:color w:val="111111"/>
        </w:rPr>
        <w:t xml:space="preserve"> and Nevada already have </w:t>
      </w:r>
      <w:r w:rsidRPr="00EE1DEE">
        <w:rPr>
          <w:rFonts w:ascii="Calibri" w:eastAsia="Times New Roman" w:hAnsi="Calibri" w:cs="Calibri"/>
        </w:rPr>
        <w:t>laws that restrict these types of clauses</w:t>
      </w:r>
      <w:r w:rsidRPr="00EE1DEE">
        <w:rPr>
          <w:rFonts w:ascii="Calibri" w:eastAsia="Times New Roman" w:hAnsi="Calibri" w:cs="Calibri"/>
          <w:color w:val="111111"/>
        </w:rPr>
        <w:t>.</w:t>
      </w:r>
      <w:r w:rsidRPr="00EE1DEE">
        <w:rPr>
          <w:rStyle w:val="FootnoteReference"/>
          <w:rFonts w:ascii="Calibri" w:eastAsia="Times New Roman" w:hAnsi="Calibri" w:cs="Calibri"/>
          <w:color w:val="111111"/>
        </w:rPr>
        <w:footnoteReference w:id="26"/>
      </w:r>
      <w:r w:rsidRPr="00EE1DEE">
        <w:rPr>
          <w:rFonts w:ascii="Calibri" w:eastAsia="Times New Roman" w:hAnsi="Calibri" w:cs="Calibri"/>
          <w:color w:val="111111"/>
        </w:rPr>
        <w:t xml:space="preserve"> </w:t>
      </w:r>
      <w:r w:rsidRPr="00EE1DEE">
        <w:rPr>
          <w:rFonts w:ascii="Calibri" w:eastAsia="Times New Roman" w:hAnsi="Calibri" w:cs="Calibri"/>
        </w:rPr>
        <w:t>Maine would benefit from following their lead, especially given the highly consolidated nature of our health care market.</w:t>
      </w:r>
    </w:p>
    <w:p w14:paraId="5AEE9B9F" w14:textId="77777777" w:rsidR="000E0118" w:rsidRPr="000E0118" w:rsidRDefault="000E0118" w:rsidP="000E0118">
      <w:pPr>
        <w:rPr>
          <w:rFonts w:ascii="Calibri" w:eastAsia="Times New Roman" w:hAnsi="Calibri" w:cs="Calibri"/>
          <w:color w:val="000000" w:themeColor="text1"/>
        </w:rPr>
      </w:pPr>
    </w:p>
    <w:p w14:paraId="7526AA99" w14:textId="05F73663" w:rsidR="00960E32" w:rsidRDefault="00960E32" w:rsidP="000E0118">
      <w:pPr>
        <w:rPr>
          <w:rFonts w:ascii="Calibri" w:hAnsi="Calibri" w:cs="Calibri"/>
        </w:rPr>
      </w:pPr>
      <w:r w:rsidRPr="00CD59BE">
        <w:rPr>
          <w:rFonts w:ascii="Calibri" w:hAnsi="Calibri"/>
          <w:b/>
        </w:rPr>
        <w:t>Limit Facility Fees for Certain Services</w:t>
      </w:r>
      <w:r w:rsidR="000E0118" w:rsidRPr="00CD59BE">
        <w:rPr>
          <w:rFonts w:ascii="Calibri" w:hAnsi="Calibri"/>
          <w:b/>
        </w:rPr>
        <w:t xml:space="preserve"> and Settings</w:t>
      </w:r>
      <w:r w:rsidR="001B20FB">
        <w:rPr>
          <w:rFonts w:ascii="Calibri" w:hAnsi="Calibri"/>
          <w:b/>
        </w:rPr>
        <w:t>:</w:t>
      </w:r>
      <w:r w:rsidRPr="00CD59BE">
        <w:rPr>
          <w:rFonts w:ascii="Calibri" w:hAnsi="Calibri"/>
          <w:b/>
        </w:rPr>
        <w:t xml:space="preserve"> </w:t>
      </w:r>
      <w:r w:rsidR="000E0118" w:rsidRPr="00CD59BE">
        <w:rPr>
          <w:rFonts w:ascii="Calibri" w:hAnsi="Calibri"/>
        </w:rPr>
        <w:t>The types of services and settings subject to facility fees have increased over the years and are now often charged for routine services and outpatient care, which has led to higher costs and confusion for patients.</w:t>
      </w:r>
      <w:r w:rsidR="000E0118" w:rsidRPr="000E0118">
        <w:rPr>
          <w:rFonts w:ascii="Calibri" w:hAnsi="Calibri" w:cs="Calibri"/>
        </w:rPr>
        <w:t xml:space="preserve"> </w:t>
      </w:r>
      <w:r w:rsidR="000E0118">
        <w:rPr>
          <w:rFonts w:ascii="Calibri" w:hAnsi="Calibri" w:cs="Calibri"/>
        </w:rPr>
        <w:t xml:space="preserve">We encourage the Office to consider policies to increase transparency of facility fees, as well as limit the types of services and settings </w:t>
      </w:r>
      <w:r w:rsidR="003465C7">
        <w:rPr>
          <w:rFonts w:ascii="Calibri" w:hAnsi="Calibri" w:cs="Calibri"/>
        </w:rPr>
        <w:t>for which</w:t>
      </w:r>
      <w:r w:rsidR="000E0118">
        <w:rPr>
          <w:rFonts w:ascii="Calibri" w:hAnsi="Calibri" w:cs="Calibri"/>
        </w:rPr>
        <w:t xml:space="preserve"> patients may be billed a facility fee. </w:t>
      </w:r>
    </w:p>
    <w:p w14:paraId="2E381BF7" w14:textId="77777777" w:rsidR="00FE56E6" w:rsidRPr="00EE1DEE" w:rsidRDefault="00FE56E6" w:rsidP="00FE56E6">
      <w:pPr>
        <w:rPr>
          <w:rFonts w:ascii="Calibri" w:hAnsi="Calibri" w:cs="Calibri"/>
        </w:rPr>
      </w:pPr>
    </w:p>
    <w:p w14:paraId="480322D6" w14:textId="0801397E" w:rsidR="00E8653E" w:rsidRDefault="00FE56E6" w:rsidP="00E8653E">
      <w:pPr>
        <w:rPr>
          <w:rFonts w:ascii="Calibri" w:hAnsi="Calibri"/>
        </w:rPr>
      </w:pPr>
      <w:r w:rsidRPr="00960E32">
        <w:rPr>
          <w:rFonts w:ascii="Calibri" w:hAnsi="Calibri" w:cs="Calibri"/>
          <w:b/>
          <w:bCs/>
        </w:rPr>
        <w:t>Ensure Alignment of Silver Premiums</w:t>
      </w:r>
      <w:r w:rsidR="001B20FB">
        <w:rPr>
          <w:rFonts w:ascii="Calibri" w:hAnsi="Calibri" w:cs="Calibri"/>
          <w:b/>
          <w:bCs/>
        </w:rPr>
        <w:t>:</w:t>
      </w:r>
      <w:r>
        <w:rPr>
          <w:rFonts w:ascii="Calibri" w:hAnsi="Calibri" w:cs="Calibri"/>
        </w:rPr>
        <w:t xml:space="preserve"> </w:t>
      </w:r>
      <w:r w:rsidR="00953E89">
        <w:rPr>
          <w:rFonts w:ascii="Calibri" w:hAnsi="Calibri" w:cs="Calibri"/>
        </w:rPr>
        <w:t xml:space="preserve">The </w:t>
      </w:r>
      <w:r w:rsidR="60AEEBF7" w:rsidRPr="1138538E">
        <w:rPr>
          <w:rFonts w:ascii="Calibri" w:hAnsi="Calibri" w:cs="Calibri"/>
        </w:rPr>
        <w:t xml:space="preserve">Affordable Care Act </w:t>
      </w:r>
      <w:r w:rsidR="60AEEBF7" w:rsidRPr="67E1CD36">
        <w:rPr>
          <w:rFonts w:eastAsiaTheme="minorEastAsia"/>
        </w:rPr>
        <w:t>require</w:t>
      </w:r>
      <w:r w:rsidR="00953E89">
        <w:rPr>
          <w:rFonts w:eastAsiaTheme="minorEastAsia"/>
        </w:rPr>
        <w:t>s</w:t>
      </w:r>
      <w:r w:rsidR="60AEEBF7" w:rsidRPr="67E1CD36">
        <w:rPr>
          <w:rFonts w:eastAsiaTheme="minorEastAsia"/>
        </w:rPr>
        <w:t xml:space="preserve"> </w:t>
      </w:r>
      <w:r w:rsidR="00CB231D">
        <w:rPr>
          <w:rFonts w:eastAsiaTheme="minorEastAsia"/>
        </w:rPr>
        <w:t>carriers to set</w:t>
      </w:r>
      <w:r w:rsidR="60AEEBF7" w:rsidRPr="67E1CD36">
        <w:rPr>
          <w:rFonts w:eastAsiaTheme="minorEastAsia"/>
        </w:rPr>
        <w:t xml:space="preserve"> premiums </w:t>
      </w:r>
      <w:r w:rsidR="00CB231D">
        <w:rPr>
          <w:rFonts w:eastAsiaTheme="minorEastAsia"/>
        </w:rPr>
        <w:t xml:space="preserve">that </w:t>
      </w:r>
      <w:r w:rsidR="60AEEBF7" w:rsidRPr="67E1CD36">
        <w:rPr>
          <w:rFonts w:eastAsiaTheme="minorEastAsia"/>
        </w:rPr>
        <w:t xml:space="preserve">reflect the characteristics of </w:t>
      </w:r>
      <w:r w:rsidR="00CF70F9">
        <w:rPr>
          <w:rFonts w:eastAsiaTheme="minorEastAsia"/>
        </w:rPr>
        <w:t xml:space="preserve">a </w:t>
      </w:r>
      <w:r w:rsidR="00CB231D">
        <w:rPr>
          <w:rFonts w:eastAsiaTheme="minorEastAsia"/>
        </w:rPr>
        <w:t>particular</w:t>
      </w:r>
      <w:r w:rsidR="60AEEBF7" w:rsidRPr="67E1CD36">
        <w:rPr>
          <w:rFonts w:eastAsiaTheme="minorEastAsia"/>
        </w:rPr>
        <w:t xml:space="preserve"> plan, not the characteristics of </w:t>
      </w:r>
      <w:r w:rsidR="60AEEBF7" w:rsidRPr="00114960">
        <w:rPr>
          <w:rFonts w:eastAsiaTheme="minorEastAsia"/>
        </w:rPr>
        <w:t>th</w:t>
      </w:r>
      <w:r w:rsidR="39CFA9AB" w:rsidRPr="00114960">
        <w:rPr>
          <w:rFonts w:eastAsiaTheme="minorEastAsia"/>
        </w:rPr>
        <w:t xml:space="preserve">e </w:t>
      </w:r>
      <w:r w:rsidR="39CFA9AB" w:rsidRPr="092586F4">
        <w:rPr>
          <w:rFonts w:eastAsiaTheme="minorEastAsia"/>
        </w:rPr>
        <w:t xml:space="preserve">population </w:t>
      </w:r>
      <w:r w:rsidR="60AEEBF7" w:rsidRPr="092586F4">
        <w:rPr>
          <w:rFonts w:eastAsiaTheme="minorEastAsia"/>
        </w:rPr>
        <w:t>expected</w:t>
      </w:r>
      <w:r w:rsidR="60AEEBF7" w:rsidRPr="67E1CD36">
        <w:rPr>
          <w:rFonts w:eastAsiaTheme="minorEastAsia"/>
        </w:rPr>
        <w:t xml:space="preserve"> to enroll in </w:t>
      </w:r>
      <w:r w:rsidR="00CB231D">
        <w:rPr>
          <w:rFonts w:eastAsiaTheme="minorEastAsia"/>
        </w:rPr>
        <w:t>that</w:t>
      </w:r>
      <w:r w:rsidR="60AEEBF7" w:rsidRPr="67E1CD36">
        <w:rPr>
          <w:rFonts w:eastAsiaTheme="minorEastAsia"/>
        </w:rPr>
        <w:t xml:space="preserve"> plan. This </w:t>
      </w:r>
      <w:r w:rsidR="002A5D10">
        <w:rPr>
          <w:rFonts w:eastAsiaTheme="minorEastAsia"/>
        </w:rPr>
        <w:t xml:space="preserve">means </w:t>
      </w:r>
      <w:r w:rsidR="60AEEBF7" w:rsidRPr="67E1CD36">
        <w:rPr>
          <w:rFonts w:eastAsiaTheme="minorEastAsia"/>
        </w:rPr>
        <w:t xml:space="preserve">plans </w:t>
      </w:r>
      <w:r w:rsidR="002A5D10">
        <w:rPr>
          <w:rFonts w:eastAsiaTheme="minorEastAsia"/>
        </w:rPr>
        <w:t xml:space="preserve">with </w:t>
      </w:r>
      <w:r w:rsidR="60AEEBF7" w:rsidRPr="67E1CD36">
        <w:rPr>
          <w:rFonts w:eastAsiaTheme="minorEastAsia"/>
        </w:rPr>
        <w:t xml:space="preserve">more generous coverage should </w:t>
      </w:r>
      <w:r w:rsidR="002A5D10">
        <w:rPr>
          <w:rFonts w:eastAsiaTheme="minorEastAsia"/>
        </w:rPr>
        <w:t xml:space="preserve">have higher premiums than plans </w:t>
      </w:r>
      <w:r w:rsidR="00A40BDE">
        <w:rPr>
          <w:rFonts w:eastAsiaTheme="minorEastAsia"/>
        </w:rPr>
        <w:t>that offer</w:t>
      </w:r>
      <w:r w:rsidR="60AEEBF7" w:rsidRPr="67E1CD36">
        <w:rPr>
          <w:rFonts w:eastAsiaTheme="minorEastAsia"/>
        </w:rPr>
        <w:t xml:space="preserve"> less generous coverage. </w:t>
      </w:r>
      <w:r w:rsidR="50334ECD" w:rsidRPr="67E1CD36">
        <w:rPr>
          <w:rFonts w:eastAsiaTheme="minorEastAsia"/>
        </w:rPr>
        <w:t xml:space="preserve">However, </w:t>
      </w:r>
      <w:r w:rsidR="00A40BDE">
        <w:rPr>
          <w:rFonts w:eastAsiaTheme="minorEastAsia"/>
        </w:rPr>
        <w:t>in</w:t>
      </w:r>
      <w:r w:rsidR="2BBCFD2C" w:rsidRPr="5AFE84D1">
        <w:rPr>
          <w:rFonts w:eastAsiaTheme="minorEastAsia"/>
        </w:rPr>
        <w:t xml:space="preserve"> </w:t>
      </w:r>
      <w:r w:rsidR="00A40BDE">
        <w:rPr>
          <w:rFonts w:eastAsiaTheme="minorEastAsia"/>
        </w:rPr>
        <w:t>many</w:t>
      </w:r>
      <w:r w:rsidR="2BBCFD2C" w:rsidRPr="5AFE84D1">
        <w:rPr>
          <w:rFonts w:eastAsiaTheme="minorEastAsia"/>
        </w:rPr>
        <w:t xml:space="preserve"> states, </w:t>
      </w:r>
      <w:r w:rsidR="2BBCFD2C" w:rsidRPr="364CABB3">
        <w:rPr>
          <w:rFonts w:eastAsiaTheme="minorEastAsia"/>
        </w:rPr>
        <w:t xml:space="preserve">including </w:t>
      </w:r>
      <w:r w:rsidR="2BBCFD2C" w:rsidRPr="0142AD34">
        <w:rPr>
          <w:rFonts w:eastAsiaTheme="minorEastAsia"/>
        </w:rPr>
        <w:t>Maine,</w:t>
      </w:r>
      <w:r w:rsidR="2BBCFD2C" w:rsidRPr="1A19D224">
        <w:rPr>
          <w:rFonts w:eastAsiaTheme="minorEastAsia"/>
        </w:rPr>
        <w:t xml:space="preserve"> </w:t>
      </w:r>
      <w:r w:rsidR="2BBCFD2C" w:rsidRPr="5AFE84D1">
        <w:rPr>
          <w:rFonts w:eastAsiaTheme="minorEastAsia"/>
        </w:rPr>
        <w:t>variation</w:t>
      </w:r>
      <w:r w:rsidR="000F4D5B">
        <w:rPr>
          <w:rFonts w:eastAsiaTheme="minorEastAsia"/>
        </w:rPr>
        <w:t>s</w:t>
      </w:r>
      <w:r w:rsidR="2BBCFD2C" w:rsidRPr="5AFE84D1">
        <w:rPr>
          <w:rFonts w:eastAsiaTheme="minorEastAsia"/>
        </w:rPr>
        <w:t xml:space="preserve"> in metal-level premiums </w:t>
      </w:r>
      <w:r w:rsidR="000F4D5B">
        <w:rPr>
          <w:rFonts w:eastAsiaTheme="minorEastAsia"/>
        </w:rPr>
        <w:t>do</w:t>
      </w:r>
      <w:r w:rsidR="2BBCFD2C" w:rsidRPr="5AFE84D1">
        <w:rPr>
          <w:rFonts w:eastAsiaTheme="minorEastAsia"/>
        </w:rPr>
        <w:t xml:space="preserve"> not</w:t>
      </w:r>
      <w:r w:rsidR="000F4D5B">
        <w:rPr>
          <w:rFonts w:eastAsiaTheme="minorEastAsia"/>
        </w:rPr>
        <w:t xml:space="preserve"> always</w:t>
      </w:r>
      <w:r w:rsidR="2BBCFD2C" w:rsidRPr="5AFE84D1">
        <w:rPr>
          <w:rFonts w:eastAsiaTheme="minorEastAsia"/>
        </w:rPr>
        <w:t xml:space="preserve"> correspond </w:t>
      </w:r>
      <w:r w:rsidR="005438B7">
        <w:rPr>
          <w:rFonts w:eastAsiaTheme="minorEastAsia"/>
        </w:rPr>
        <w:t xml:space="preserve">appropriately </w:t>
      </w:r>
      <w:r w:rsidR="2BBCFD2C" w:rsidRPr="5AFE84D1">
        <w:rPr>
          <w:rFonts w:eastAsiaTheme="minorEastAsia"/>
        </w:rPr>
        <w:t>to differences in coverage generosity</w:t>
      </w:r>
      <w:r w:rsidR="3C26AE69" w:rsidRPr="32AC31FB">
        <w:rPr>
          <w:rFonts w:eastAsiaTheme="minorEastAsia"/>
        </w:rPr>
        <w:t>.</w:t>
      </w:r>
      <w:r w:rsidR="002A048B">
        <w:rPr>
          <w:rStyle w:val="FootnoteReference"/>
          <w:rFonts w:eastAsiaTheme="minorEastAsia"/>
        </w:rPr>
        <w:footnoteReference w:id="27"/>
      </w:r>
      <w:r w:rsidR="002A048B">
        <w:rPr>
          <w:rFonts w:eastAsiaTheme="minorEastAsia"/>
        </w:rPr>
        <w:t xml:space="preserve"> </w:t>
      </w:r>
      <w:r w:rsidR="007E2E33">
        <w:rPr>
          <w:rFonts w:eastAsiaTheme="minorEastAsia"/>
        </w:rPr>
        <w:t xml:space="preserve">This </w:t>
      </w:r>
      <w:r w:rsidR="005438B7">
        <w:rPr>
          <w:rFonts w:eastAsiaTheme="minorEastAsia"/>
        </w:rPr>
        <w:t>can increase</w:t>
      </w:r>
      <w:r w:rsidR="00B04F23">
        <w:rPr>
          <w:rFonts w:eastAsiaTheme="minorEastAsia"/>
        </w:rPr>
        <w:t xml:space="preserve">, sometimes </w:t>
      </w:r>
      <w:r w:rsidR="000B092F">
        <w:rPr>
          <w:rFonts w:eastAsiaTheme="minorEastAsia"/>
        </w:rPr>
        <w:t>significantly,</w:t>
      </w:r>
      <w:r w:rsidR="005438B7">
        <w:rPr>
          <w:rFonts w:eastAsiaTheme="minorEastAsia"/>
        </w:rPr>
        <w:t xml:space="preserve"> premium</w:t>
      </w:r>
      <w:r w:rsidR="004559F0" w:rsidRPr="004559F0">
        <w:rPr>
          <w:rFonts w:eastAsiaTheme="minorEastAsia"/>
        </w:rPr>
        <w:t xml:space="preserve"> costs for consumers</w:t>
      </w:r>
      <w:r w:rsidR="004559F0">
        <w:rPr>
          <w:rFonts w:eastAsiaTheme="minorEastAsia"/>
        </w:rPr>
        <w:t>,</w:t>
      </w:r>
      <w:r w:rsidR="00844D58">
        <w:rPr>
          <w:rFonts w:eastAsiaTheme="minorEastAsia"/>
        </w:rPr>
        <w:t xml:space="preserve"> both among subsidy-eligible and ineligible populations. </w:t>
      </w:r>
      <w:r w:rsidR="00E8653E" w:rsidRPr="00BF17AC">
        <w:rPr>
          <w:rFonts w:ascii="Calibri" w:hAnsi="Calibri"/>
        </w:rPr>
        <w:t>An analysis published by Families USA estimated the impacts of realigning metal-tier premiums based on coverage generosity in 2020 Marketplace plans. The analysis found metal-tier premium realignment would have saved Marketplace enrollees</w:t>
      </w:r>
      <w:r w:rsidR="002C766A">
        <w:rPr>
          <w:rFonts w:ascii="Calibri" w:hAnsi="Calibri"/>
        </w:rPr>
        <w:t xml:space="preserve"> in Maine</w:t>
      </w:r>
      <w:r w:rsidR="00E8653E" w:rsidRPr="00BF17AC">
        <w:rPr>
          <w:rFonts w:ascii="Calibri" w:hAnsi="Calibri"/>
        </w:rPr>
        <w:t xml:space="preserve"> an average of $739, amounting to $46 million of total projected premium savings on 2020 Marketplace plans in Maine.</w:t>
      </w:r>
      <w:r w:rsidR="00E8653E" w:rsidRPr="00BF17AC">
        <w:rPr>
          <w:rStyle w:val="FootnoteReference"/>
          <w:rFonts w:ascii="Calibri" w:hAnsi="Calibri"/>
        </w:rPr>
        <w:footnoteReference w:id="28"/>
      </w:r>
    </w:p>
    <w:p w14:paraId="72CD75DF" w14:textId="77777777" w:rsidR="00E8653E" w:rsidRPr="00EE1DEE" w:rsidRDefault="00E8653E" w:rsidP="00E8653E">
      <w:pPr>
        <w:rPr>
          <w:rFonts w:ascii="Calibri" w:hAnsi="Calibri" w:cs="Calibri"/>
        </w:rPr>
      </w:pPr>
    </w:p>
    <w:p w14:paraId="7071A785" w14:textId="3FD4876A" w:rsidR="00FE56E6" w:rsidRPr="00F37CD8" w:rsidRDefault="00FF4B33" w:rsidP="00FE56E6">
      <w:pPr>
        <w:rPr>
          <w:rFonts w:ascii="Calibri" w:hAnsi="Calibri" w:cs="Calibri"/>
        </w:rPr>
      </w:pPr>
      <w:r>
        <w:rPr>
          <w:rFonts w:eastAsiaTheme="minorEastAsia"/>
        </w:rPr>
        <w:t>Adopting the</w:t>
      </w:r>
      <w:r w:rsidR="00C10BF3">
        <w:rPr>
          <w:rFonts w:eastAsiaTheme="minorEastAsia"/>
        </w:rPr>
        <w:t xml:space="preserve"> following policies </w:t>
      </w:r>
      <w:r w:rsidR="00A26A11">
        <w:rPr>
          <w:rFonts w:eastAsiaTheme="minorEastAsia"/>
        </w:rPr>
        <w:t>would</w:t>
      </w:r>
      <w:r w:rsidR="00C10BF3">
        <w:rPr>
          <w:rFonts w:eastAsiaTheme="minorEastAsia"/>
        </w:rPr>
        <w:t xml:space="preserve"> help</w:t>
      </w:r>
      <w:r w:rsidR="00A26A11">
        <w:rPr>
          <w:rFonts w:eastAsiaTheme="minorEastAsia"/>
        </w:rPr>
        <w:t xml:space="preserve"> </w:t>
      </w:r>
      <w:r w:rsidR="00042EB0">
        <w:rPr>
          <w:rFonts w:eastAsiaTheme="minorEastAsia"/>
        </w:rPr>
        <w:t>to prevent</w:t>
      </w:r>
      <w:r w:rsidR="00C10BF3">
        <w:rPr>
          <w:rFonts w:eastAsiaTheme="minorEastAsia"/>
        </w:rPr>
        <w:t xml:space="preserve"> premium</w:t>
      </w:r>
      <w:r w:rsidR="00EC493B">
        <w:rPr>
          <w:rFonts w:eastAsiaTheme="minorEastAsia"/>
        </w:rPr>
        <w:t xml:space="preserve"> </w:t>
      </w:r>
      <w:r w:rsidR="00A75D24">
        <w:rPr>
          <w:rFonts w:eastAsiaTheme="minorEastAsia"/>
        </w:rPr>
        <w:t>misalignment</w:t>
      </w:r>
      <w:r w:rsidR="00C10BF3">
        <w:rPr>
          <w:rFonts w:eastAsiaTheme="minorEastAsia"/>
        </w:rPr>
        <w:t xml:space="preserve"> in Maine</w:t>
      </w:r>
      <w:r w:rsidR="00A75D24">
        <w:rPr>
          <w:rFonts w:eastAsiaTheme="minorEastAsia"/>
        </w:rPr>
        <w:t>:</w:t>
      </w:r>
    </w:p>
    <w:p w14:paraId="6393E876" w14:textId="77777777" w:rsidR="00D42BE7" w:rsidRPr="00102E55" w:rsidRDefault="00D42BE7" w:rsidP="00FE56E6">
      <w:pPr>
        <w:rPr>
          <w:rFonts w:eastAsiaTheme="minorEastAsia"/>
        </w:rPr>
      </w:pPr>
    </w:p>
    <w:p w14:paraId="39C0201D" w14:textId="714FF695" w:rsidR="00FE56E6" w:rsidRPr="00155834" w:rsidRDefault="00155834" w:rsidP="00FE56E6">
      <w:pPr>
        <w:pStyle w:val="ListParagraph"/>
        <w:numPr>
          <w:ilvl w:val="0"/>
          <w:numId w:val="25"/>
        </w:numPr>
        <w:rPr>
          <w:rFonts w:ascii="Calibri" w:hAnsi="Calibri" w:cs="Calibri"/>
        </w:rPr>
      </w:pPr>
      <w:r>
        <w:rPr>
          <w:rFonts w:ascii="Calibri" w:hAnsi="Calibri" w:cs="Calibri"/>
        </w:rPr>
        <w:t>Require</w:t>
      </w:r>
      <w:r w:rsidR="002D5BF8">
        <w:rPr>
          <w:rFonts w:ascii="Calibri" w:hAnsi="Calibri" w:cs="Calibri"/>
        </w:rPr>
        <w:t xml:space="preserve"> </w:t>
      </w:r>
      <w:r w:rsidRPr="00155834">
        <w:rPr>
          <w:rFonts w:ascii="Calibri" w:hAnsi="Calibri" w:cs="Calibri"/>
        </w:rPr>
        <w:t>induced</w:t>
      </w:r>
      <w:r>
        <w:rPr>
          <w:rFonts w:ascii="Calibri" w:hAnsi="Calibri" w:cs="Calibri"/>
        </w:rPr>
        <w:t xml:space="preserve"> </w:t>
      </w:r>
      <w:r w:rsidRPr="00155834">
        <w:rPr>
          <w:rFonts w:ascii="Calibri" w:hAnsi="Calibri" w:cs="Calibri"/>
        </w:rPr>
        <w:t>demand assumptions</w:t>
      </w:r>
      <w:r w:rsidR="00A477AD">
        <w:rPr>
          <w:rFonts w:ascii="Calibri" w:hAnsi="Calibri" w:cs="Calibri"/>
        </w:rPr>
        <w:t xml:space="preserve"> used by carriers</w:t>
      </w:r>
      <w:r w:rsidRPr="00155834">
        <w:rPr>
          <w:rFonts w:ascii="Calibri" w:hAnsi="Calibri" w:cs="Calibri"/>
        </w:rPr>
        <w:t xml:space="preserve"> </w:t>
      </w:r>
      <w:r w:rsidR="002D5BF8">
        <w:rPr>
          <w:rFonts w:ascii="Calibri" w:hAnsi="Calibri" w:cs="Calibri"/>
        </w:rPr>
        <w:t>to</w:t>
      </w:r>
      <w:r w:rsidRPr="00155834">
        <w:rPr>
          <w:rFonts w:ascii="Calibri" w:hAnsi="Calibri" w:cs="Calibri"/>
        </w:rPr>
        <w:t xml:space="preserve"> project higher utilization when plans have lower overall cost sharing</w:t>
      </w:r>
      <w:r w:rsidR="00774EAB">
        <w:rPr>
          <w:rFonts w:ascii="Calibri" w:hAnsi="Calibri" w:cs="Calibri"/>
        </w:rPr>
        <w:t xml:space="preserve">. </w:t>
      </w:r>
    </w:p>
    <w:p w14:paraId="1A9CD347" w14:textId="5F4DEC82" w:rsidR="00FE56E6" w:rsidRPr="003F134A" w:rsidRDefault="00FE56E6" w:rsidP="00FE56E6">
      <w:pPr>
        <w:pStyle w:val="ListParagraph"/>
        <w:numPr>
          <w:ilvl w:val="0"/>
          <w:numId w:val="25"/>
        </w:numPr>
        <w:rPr>
          <w:rFonts w:ascii="Calibri" w:hAnsi="Calibri"/>
        </w:rPr>
      </w:pPr>
      <w:r w:rsidRPr="00BF17AC">
        <w:rPr>
          <w:rFonts w:ascii="Calibri" w:hAnsi="Calibri"/>
        </w:rPr>
        <w:t xml:space="preserve">Prohibit carriers from varying metal-level premiums based on their past utilization in </w:t>
      </w:r>
      <w:r w:rsidR="00546800">
        <w:rPr>
          <w:rFonts w:ascii="Calibri" w:hAnsi="Calibri"/>
        </w:rPr>
        <w:t>a particular</w:t>
      </w:r>
      <w:r w:rsidRPr="00BF17AC">
        <w:rPr>
          <w:rFonts w:ascii="Calibri" w:hAnsi="Calibri"/>
        </w:rPr>
        <w:t xml:space="preserve"> metal tier</w:t>
      </w:r>
      <w:r w:rsidR="00D954E3">
        <w:rPr>
          <w:rFonts w:ascii="Calibri" w:hAnsi="Calibri"/>
        </w:rPr>
        <w:t xml:space="preserve">. </w:t>
      </w:r>
      <w:r w:rsidR="004D2055">
        <w:rPr>
          <w:rFonts w:ascii="Calibri" w:hAnsi="Calibri"/>
        </w:rPr>
        <w:t>Carriers should rely instead on t</w:t>
      </w:r>
      <w:r w:rsidR="005931D6">
        <w:rPr>
          <w:rFonts w:ascii="Calibri" w:hAnsi="Calibri"/>
        </w:rPr>
        <w:t xml:space="preserve">he utilization patterns experienced by all </w:t>
      </w:r>
      <w:r w:rsidR="005E4805">
        <w:rPr>
          <w:rFonts w:ascii="Calibri" w:hAnsi="Calibri"/>
        </w:rPr>
        <w:t xml:space="preserve">enrollees </w:t>
      </w:r>
      <w:r w:rsidR="00CB1FE5" w:rsidRPr="003F134A">
        <w:rPr>
          <w:rFonts w:ascii="Calibri" w:hAnsi="Calibri"/>
        </w:rPr>
        <w:t>pooled together,</w:t>
      </w:r>
      <w:r w:rsidR="00A10A40" w:rsidRPr="003F134A">
        <w:rPr>
          <w:rFonts w:ascii="Calibri" w:hAnsi="Calibri"/>
        </w:rPr>
        <w:t xml:space="preserve"> </w:t>
      </w:r>
      <w:r w:rsidR="00A10A40" w:rsidRPr="003F134A">
        <w:rPr>
          <w:rFonts w:ascii="Calibri" w:hAnsi="Calibri" w:cs="Calibri"/>
          <w:sz w:val="22"/>
          <w:szCs w:val="22"/>
        </w:rPr>
        <w:t>without distinguishing between silver, gold, and bronze</w:t>
      </w:r>
      <w:r w:rsidR="003F134A" w:rsidRPr="003F134A">
        <w:rPr>
          <w:rFonts w:ascii="Calibri" w:hAnsi="Calibri" w:cs="Calibri"/>
          <w:sz w:val="22"/>
          <w:szCs w:val="22"/>
        </w:rPr>
        <w:t xml:space="preserve"> utilization patterns</w:t>
      </w:r>
      <w:r w:rsidR="00A10A40" w:rsidRPr="003F134A">
        <w:rPr>
          <w:rFonts w:ascii="Calibri" w:hAnsi="Calibri" w:cs="Calibri"/>
          <w:sz w:val="22"/>
          <w:szCs w:val="22"/>
        </w:rPr>
        <w:t>.</w:t>
      </w:r>
    </w:p>
    <w:p w14:paraId="0D61FD00" w14:textId="255224EF" w:rsidR="00FE56E6" w:rsidRPr="003830E7" w:rsidRDefault="00780E3D" w:rsidP="00FE56E6">
      <w:pPr>
        <w:pStyle w:val="ListParagraph"/>
        <w:numPr>
          <w:ilvl w:val="0"/>
          <w:numId w:val="25"/>
        </w:numPr>
        <w:rPr>
          <w:rFonts w:ascii="Calibri" w:hAnsi="Calibri"/>
        </w:rPr>
      </w:pPr>
      <w:r w:rsidRPr="003F134A">
        <w:rPr>
          <w:rFonts w:ascii="Calibri" w:hAnsi="Calibri"/>
        </w:rPr>
        <w:t>Establish s</w:t>
      </w:r>
      <w:r w:rsidR="00FE56E6" w:rsidRPr="003830E7">
        <w:rPr>
          <w:rFonts w:ascii="Calibri" w:hAnsi="Calibri"/>
        </w:rPr>
        <w:t>tandardize</w:t>
      </w:r>
      <w:r w:rsidRPr="003F134A">
        <w:rPr>
          <w:rFonts w:ascii="Calibri" w:hAnsi="Calibri"/>
        </w:rPr>
        <w:t>d</w:t>
      </w:r>
      <w:r w:rsidR="00FE56E6" w:rsidRPr="003830E7">
        <w:rPr>
          <w:rFonts w:ascii="Calibri" w:hAnsi="Calibri"/>
        </w:rPr>
        <w:t xml:space="preserve"> metal level and CSR variant enrollment projections</w:t>
      </w:r>
      <w:r>
        <w:rPr>
          <w:rFonts w:ascii="Calibri" w:hAnsi="Calibri"/>
        </w:rPr>
        <w:t xml:space="preserve">. </w:t>
      </w:r>
    </w:p>
    <w:p w14:paraId="7B40EA4A" w14:textId="77777777" w:rsidR="00FE56E6" w:rsidRPr="00155834" w:rsidRDefault="00FE56E6" w:rsidP="00FE56E6">
      <w:pPr>
        <w:rPr>
          <w:rFonts w:ascii="Calibri" w:hAnsi="Calibri" w:cs="Calibri"/>
        </w:rPr>
      </w:pPr>
    </w:p>
    <w:p w14:paraId="562AD657" w14:textId="5BD25544" w:rsidR="005D0624" w:rsidRPr="00EE1DEE" w:rsidRDefault="005D0624" w:rsidP="005D0624">
      <w:pPr>
        <w:rPr>
          <w:rFonts w:ascii="Calibri" w:eastAsia="Times New Roman" w:hAnsi="Calibri" w:cs="Calibri"/>
        </w:rPr>
      </w:pPr>
      <w:r w:rsidRPr="00905196">
        <w:rPr>
          <w:rFonts w:ascii="Calibri" w:hAnsi="Calibri"/>
          <w:b/>
        </w:rPr>
        <w:t>Limit Cost-sharing Requirements</w:t>
      </w:r>
      <w:r w:rsidR="001B20FB">
        <w:rPr>
          <w:rFonts w:ascii="Calibri" w:hAnsi="Calibri"/>
          <w:b/>
        </w:rPr>
        <w:t>:</w:t>
      </w:r>
      <w:r w:rsidRPr="00EE1DEE">
        <w:rPr>
          <w:rFonts w:ascii="Calibri" w:hAnsi="Calibri" w:cs="Calibri"/>
          <w:b/>
          <w:bCs/>
        </w:rPr>
        <w:t xml:space="preserve"> </w:t>
      </w:r>
      <w:r w:rsidRPr="00EE1DEE">
        <w:rPr>
          <w:rFonts w:ascii="Calibri" w:hAnsi="Calibri" w:cs="Calibri"/>
        </w:rPr>
        <w:t>If consumers can afford their premium but cannot afford to use their coverage, the overall value of their insurance is minimal</w:t>
      </w:r>
      <w:r w:rsidRPr="00EE1DEE">
        <w:rPr>
          <w:rFonts w:ascii="Calibri" w:eastAsia="Times New Roman" w:hAnsi="Calibri" w:cs="Calibri"/>
        </w:rPr>
        <w:t xml:space="preserve">. We appreciate all of the steps </w:t>
      </w:r>
      <w:r w:rsidR="00D67EE6">
        <w:rPr>
          <w:rFonts w:ascii="Calibri" w:eastAsia="Times New Roman" w:hAnsi="Calibri" w:cs="Calibri"/>
        </w:rPr>
        <w:t xml:space="preserve">Maine policymakers </w:t>
      </w:r>
      <w:r w:rsidRPr="00EE1DEE">
        <w:rPr>
          <w:rFonts w:ascii="Calibri" w:eastAsia="Times New Roman" w:hAnsi="Calibri" w:cs="Calibri"/>
        </w:rPr>
        <w:t xml:space="preserve">have taken to reduce out-of-pocket costs for consumers, including caping insulin copays at $35, eliminating cost-sharing for the first visits, and requiring first-dollar coverage for the second and third visits, to primary care and behavioral health providers, as well the Bureau’s continuous work </w:t>
      </w:r>
      <w:r w:rsidR="001B0C15">
        <w:rPr>
          <w:rFonts w:ascii="Calibri" w:eastAsia="Times New Roman" w:hAnsi="Calibri" w:cs="Calibri"/>
        </w:rPr>
        <w:t>on</w:t>
      </w:r>
      <w:r w:rsidR="00B956F1">
        <w:rPr>
          <w:rFonts w:ascii="Calibri" w:eastAsia="Times New Roman" w:hAnsi="Calibri" w:cs="Calibri"/>
        </w:rPr>
        <w:t xml:space="preserve"> </w:t>
      </w:r>
      <w:r w:rsidRPr="00EE1DEE">
        <w:rPr>
          <w:rFonts w:ascii="Calibri" w:eastAsia="Times New Roman" w:hAnsi="Calibri" w:cs="Calibri"/>
        </w:rPr>
        <w:t xml:space="preserve">developing and improving Clear Choice plan designs. However, even a $50 copay is significant enough to cause many Mainers to avoid or delay care, including at times when health conditions can be treated more easily and with lower overall costs </w:t>
      </w:r>
      <w:r w:rsidR="0080213D" w:rsidRPr="00EE1DEE">
        <w:rPr>
          <w:rFonts w:ascii="Calibri" w:eastAsia="Times New Roman" w:hAnsi="Calibri" w:cs="Calibri"/>
        </w:rPr>
        <w:t>than</w:t>
      </w:r>
      <w:r w:rsidRPr="00EE1DEE">
        <w:rPr>
          <w:rFonts w:ascii="Calibri" w:eastAsia="Times New Roman" w:hAnsi="Calibri" w:cs="Calibri"/>
        </w:rPr>
        <w:t xml:space="preserve"> if left unaddressed or treated at a later stage. We encourage the Office </w:t>
      </w:r>
      <w:r w:rsidR="0080213D" w:rsidRPr="00EE1DEE">
        <w:rPr>
          <w:rFonts w:ascii="Calibri" w:eastAsia="Times New Roman" w:hAnsi="Calibri" w:cs="Calibri"/>
        </w:rPr>
        <w:t>to explore</w:t>
      </w:r>
      <w:r w:rsidRPr="00EE1DEE">
        <w:rPr>
          <w:rFonts w:ascii="Calibri" w:eastAsia="Times New Roman" w:hAnsi="Calibri" w:cs="Calibri"/>
        </w:rPr>
        <w:t xml:space="preserve"> </w:t>
      </w:r>
      <w:r w:rsidRPr="00EE1DEE">
        <w:rPr>
          <w:rFonts w:ascii="Calibri" w:eastAsia="Times New Roman" w:hAnsi="Calibri" w:cs="Calibri"/>
        </w:rPr>
        <w:lastRenderedPageBreak/>
        <w:t xml:space="preserve">additional strategies to lower </w:t>
      </w:r>
      <w:r w:rsidR="00B956F1" w:rsidRPr="00EE1DEE">
        <w:rPr>
          <w:rFonts w:ascii="Calibri" w:eastAsia="Times New Roman" w:hAnsi="Calibri" w:cs="Calibri"/>
        </w:rPr>
        <w:t>out-of-pocket</w:t>
      </w:r>
      <w:r w:rsidRPr="00EE1DEE">
        <w:rPr>
          <w:rFonts w:ascii="Calibri" w:eastAsia="Times New Roman" w:hAnsi="Calibri" w:cs="Calibri"/>
        </w:rPr>
        <w:t xml:space="preserve"> costs in order to reduce affordability barriers to</w:t>
      </w:r>
      <w:r w:rsidR="009328F2">
        <w:rPr>
          <w:rFonts w:ascii="Calibri" w:eastAsia="Times New Roman" w:hAnsi="Calibri" w:cs="Calibri"/>
        </w:rPr>
        <w:t xml:space="preserve"> </w:t>
      </w:r>
      <w:r w:rsidRPr="00EE1DEE">
        <w:rPr>
          <w:rFonts w:ascii="Calibri" w:eastAsia="Times New Roman" w:hAnsi="Calibri" w:cs="Calibri"/>
        </w:rPr>
        <w:t>accessing needed medical care.  Strategies should maximize</w:t>
      </w:r>
      <w:r w:rsidRPr="00EE1DEE">
        <w:rPr>
          <w:rFonts w:ascii="Calibri" w:hAnsi="Calibri" w:cs="Calibri"/>
        </w:rPr>
        <w:t xml:space="preserve"> pre-deductible coverage, as well as utilize copays over coinsurance, to the greatest extent possible without exceeding AV limits. A 2016 study found that standardized silver plans that provided pre-deductible coverage for primary and specialty care visits, </w:t>
      </w:r>
      <w:r w:rsidRPr="00EE1DEE">
        <w:rPr>
          <w:rFonts w:ascii="Calibri" w:hAnsi="Calibri" w:cs="Calibri"/>
          <w:b/>
          <w:bCs/>
        </w:rPr>
        <w:t>all</w:t>
      </w:r>
      <w:r w:rsidRPr="00EE1DEE">
        <w:rPr>
          <w:rFonts w:ascii="Calibri" w:hAnsi="Calibri" w:cs="Calibri"/>
        </w:rPr>
        <w:t xml:space="preserve"> drugs, mental health visits, and urgent care would have comparable premiums to other non-standardized silver plans.</w:t>
      </w:r>
      <w:r w:rsidRPr="00EE1DEE">
        <w:rPr>
          <w:rStyle w:val="FootnoteReference"/>
          <w:rFonts w:ascii="Calibri" w:hAnsi="Calibri" w:cs="Calibri"/>
        </w:rPr>
        <w:footnoteReference w:id="29"/>
      </w:r>
      <w:r w:rsidRPr="00EE1DEE">
        <w:rPr>
          <w:rFonts w:ascii="Calibri" w:hAnsi="Calibri" w:cs="Calibri"/>
        </w:rPr>
        <w:t xml:space="preserve"> </w:t>
      </w:r>
    </w:p>
    <w:p w14:paraId="69C56E71" w14:textId="77777777" w:rsidR="005D0624" w:rsidRPr="00EE1DEE" w:rsidRDefault="005D0624" w:rsidP="007F23A3">
      <w:pPr>
        <w:rPr>
          <w:rFonts w:ascii="Calibri" w:hAnsi="Calibri" w:cs="Calibri"/>
          <w:b/>
          <w:bCs/>
        </w:rPr>
      </w:pPr>
    </w:p>
    <w:p w14:paraId="5BF66EF2" w14:textId="2D3A9EA1" w:rsidR="007F23A3" w:rsidRPr="00EE1DEE" w:rsidRDefault="007F23A3" w:rsidP="007F23A3">
      <w:pPr>
        <w:rPr>
          <w:rFonts w:ascii="Calibri" w:hAnsi="Calibri" w:cs="Calibri"/>
          <w:b/>
          <w:bCs/>
        </w:rPr>
      </w:pPr>
      <w:r w:rsidRPr="004A524A">
        <w:rPr>
          <w:rFonts w:ascii="Calibri" w:hAnsi="Calibri"/>
          <w:b/>
        </w:rPr>
        <w:t xml:space="preserve">Increase </w:t>
      </w:r>
      <w:r w:rsidR="00EE1DEE" w:rsidRPr="004A524A">
        <w:rPr>
          <w:rFonts w:ascii="Calibri" w:hAnsi="Calibri"/>
          <w:b/>
        </w:rPr>
        <w:t>S</w:t>
      </w:r>
      <w:r w:rsidRPr="004A524A">
        <w:rPr>
          <w:rFonts w:ascii="Calibri" w:hAnsi="Calibri"/>
          <w:b/>
        </w:rPr>
        <w:t>tandardization o</w:t>
      </w:r>
      <w:r w:rsidR="005D0624" w:rsidRPr="004A524A">
        <w:rPr>
          <w:rFonts w:ascii="Calibri" w:hAnsi="Calibri"/>
          <w:b/>
        </w:rPr>
        <w:t>f</w:t>
      </w:r>
      <w:r w:rsidRPr="004A524A">
        <w:rPr>
          <w:rFonts w:ascii="Calibri" w:hAnsi="Calibri"/>
          <w:b/>
        </w:rPr>
        <w:t xml:space="preserve"> Clear Choice </w:t>
      </w:r>
      <w:r w:rsidR="00EE1DEE" w:rsidRPr="004A524A">
        <w:rPr>
          <w:rFonts w:ascii="Calibri" w:hAnsi="Calibri"/>
          <w:b/>
        </w:rPr>
        <w:t>P</w:t>
      </w:r>
      <w:r w:rsidRPr="004A524A">
        <w:rPr>
          <w:rFonts w:ascii="Calibri" w:hAnsi="Calibri"/>
          <w:b/>
        </w:rPr>
        <w:t>lans</w:t>
      </w:r>
      <w:r w:rsidR="001B20FB">
        <w:rPr>
          <w:rFonts w:ascii="Calibri" w:hAnsi="Calibri"/>
          <w:b/>
        </w:rPr>
        <w:t>:</w:t>
      </w:r>
      <w:r w:rsidRPr="32996AA7">
        <w:rPr>
          <w:rFonts w:ascii="Calibri" w:hAnsi="Calibri" w:cs="Calibri"/>
          <w:b/>
          <w:bCs/>
        </w:rPr>
        <w:t xml:space="preserve"> </w:t>
      </w:r>
      <w:r w:rsidR="005520B1" w:rsidRPr="32996AA7">
        <w:rPr>
          <w:rFonts w:ascii="Calibri" w:hAnsi="Calibri" w:cs="Calibri"/>
          <w:b/>
          <w:bCs/>
        </w:rPr>
        <w:t xml:space="preserve"> </w:t>
      </w:r>
      <w:r w:rsidRPr="32996AA7">
        <w:rPr>
          <w:rFonts w:ascii="Calibri" w:eastAsia="Times New Roman" w:hAnsi="Calibri" w:cs="Calibri"/>
        </w:rPr>
        <w:t>The purpose of Clear Choice designs is to standardize benefits between plans</w:t>
      </w:r>
      <w:r w:rsidR="00C3408F">
        <w:rPr>
          <w:rFonts w:ascii="Calibri" w:eastAsia="Times New Roman" w:hAnsi="Calibri" w:cs="Calibri"/>
        </w:rPr>
        <w:t>,</w:t>
      </w:r>
      <w:r w:rsidRPr="32996AA7">
        <w:rPr>
          <w:rFonts w:ascii="Calibri" w:eastAsia="Times New Roman" w:hAnsi="Calibri" w:cs="Calibri"/>
        </w:rPr>
        <w:t xml:space="preserve"> in order to simplify the plan selection experience and </w:t>
      </w:r>
      <w:r w:rsidR="00C3408F">
        <w:rPr>
          <w:rFonts w:ascii="Calibri" w:eastAsia="Times New Roman" w:hAnsi="Calibri" w:cs="Calibri"/>
        </w:rPr>
        <w:t xml:space="preserve">to </w:t>
      </w:r>
      <w:r w:rsidRPr="32996AA7">
        <w:rPr>
          <w:rFonts w:ascii="Calibri" w:eastAsia="Times New Roman" w:hAnsi="Calibri" w:cs="Calibri"/>
        </w:rPr>
        <w:t xml:space="preserve">allow consumers to make apples-to-apples comparisons when shopping for health plans. However, the current variation permitted between plans within a single clear choice benefit structure undermines the ability for consumers to make a true apples-to-apples comparison between plans. Furthermore, these benefit variations frequently lead to higher out-of-pocket costs for consumers. This issue is particularly relevant to plans with tiered benefit designs, which in our experiences working with patients and consumers, are particularly confusing for individuals to understand. For example, in Kennebec County, currently half of the six Silver $4,200 clear choice plans offered on the Marketplace utilize tiered networks, all of which offer different levels of cost-sharing and include cost-sharing amounts that are higher than the cost-sharing levels specified in the Silver $4,200 clear choice design developed by the Bureau of Insurance. In addition to higher deductible and copay amounts, one plan </w:t>
      </w:r>
      <w:r w:rsidR="00477D7B" w:rsidRPr="32996AA7">
        <w:rPr>
          <w:rFonts w:ascii="Calibri" w:eastAsia="Times New Roman" w:hAnsi="Calibri" w:cs="Calibri"/>
        </w:rPr>
        <w:t xml:space="preserve">subjects a tier 2 specialist visit to a $130 copay </w:t>
      </w:r>
      <w:r w:rsidR="00477D7B" w:rsidRPr="32996AA7">
        <w:rPr>
          <w:rFonts w:ascii="Calibri" w:eastAsia="Times New Roman" w:hAnsi="Calibri" w:cs="Calibri"/>
          <w:b/>
          <w:bCs/>
        </w:rPr>
        <w:t xml:space="preserve">after </w:t>
      </w:r>
      <w:r w:rsidR="00477D7B" w:rsidRPr="32996AA7">
        <w:rPr>
          <w:rFonts w:ascii="Calibri" w:eastAsia="Times New Roman" w:hAnsi="Calibri" w:cs="Calibri"/>
        </w:rPr>
        <w:t>meeting a $7,000 deductible, even though this service</w:t>
      </w:r>
      <w:r w:rsidR="00E34607" w:rsidRPr="32996AA7">
        <w:rPr>
          <w:rFonts w:ascii="Calibri" w:eastAsia="Times New Roman" w:hAnsi="Calibri" w:cs="Calibri"/>
        </w:rPr>
        <w:t xml:space="preserve"> should have</w:t>
      </w:r>
      <w:r w:rsidR="00477D7B" w:rsidRPr="32996AA7">
        <w:rPr>
          <w:rFonts w:ascii="Calibri" w:eastAsia="Times New Roman" w:hAnsi="Calibri" w:cs="Calibri"/>
        </w:rPr>
        <w:t xml:space="preserve"> pre-deductible coverage</w:t>
      </w:r>
      <w:r w:rsidR="00E34607" w:rsidRPr="32996AA7">
        <w:rPr>
          <w:rFonts w:ascii="Calibri" w:eastAsia="Times New Roman" w:hAnsi="Calibri" w:cs="Calibri"/>
        </w:rPr>
        <w:t xml:space="preserve">, and a much smaller copay, based on the cost-sharing designated in the applicable Clear Choice benefit design. </w:t>
      </w:r>
    </w:p>
    <w:p w14:paraId="690C2D55" w14:textId="77777777" w:rsidR="00E34607" w:rsidRPr="00EE1DEE" w:rsidRDefault="00E34607" w:rsidP="007F23A3">
      <w:pPr>
        <w:rPr>
          <w:rFonts w:ascii="Calibri" w:eastAsia="Times New Roman" w:hAnsi="Calibri" w:cs="Calibri"/>
        </w:rPr>
      </w:pPr>
    </w:p>
    <w:tbl>
      <w:tblPr>
        <w:tblStyle w:val="TableGrid"/>
        <w:tblW w:w="10204" w:type="dxa"/>
        <w:jc w:val="center"/>
        <w:tblLook w:val="04A0" w:firstRow="1" w:lastRow="0" w:firstColumn="1" w:lastColumn="0" w:noHBand="0" w:noVBand="1"/>
      </w:tblPr>
      <w:tblGrid>
        <w:gridCol w:w="1014"/>
        <w:gridCol w:w="2311"/>
        <w:gridCol w:w="885"/>
        <w:gridCol w:w="1004"/>
        <w:gridCol w:w="885"/>
        <w:gridCol w:w="885"/>
        <w:gridCol w:w="581"/>
        <w:gridCol w:w="701"/>
        <w:gridCol w:w="720"/>
        <w:gridCol w:w="1393"/>
      </w:tblGrid>
      <w:tr w:rsidR="007F23A3" w:rsidRPr="00EE1DEE" w14:paraId="7D68F49E" w14:textId="77777777" w:rsidTr="00EE1DEE">
        <w:trPr>
          <w:trHeight w:val="290"/>
          <w:jc w:val="center"/>
        </w:trPr>
        <w:tc>
          <w:tcPr>
            <w:tcW w:w="10204" w:type="dxa"/>
            <w:gridSpan w:val="10"/>
            <w:tcBorders>
              <w:top w:val="single" w:sz="4" w:space="0" w:color="FFFFFF" w:themeColor="background1"/>
              <w:left w:val="single" w:sz="4" w:space="0" w:color="FFFFFF" w:themeColor="background1"/>
              <w:right w:val="single" w:sz="4" w:space="0" w:color="FFFFFF" w:themeColor="background1"/>
            </w:tcBorders>
            <w:noWrap/>
            <w:vAlign w:val="center"/>
          </w:tcPr>
          <w:p w14:paraId="180B1D1F" w14:textId="77777777" w:rsidR="007F23A3" w:rsidRPr="00EE1DEE" w:rsidRDefault="007F23A3" w:rsidP="006E4E3F">
            <w:pPr>
              <w:jc w:val="center"/>
              <w:rPr>
                <w:rFonts w:ascii="Calibri" w:eastAsia="Times New Roman" w:hAnsi="Calibri" w:cs="Calibri"/>
                <w:b/>
                <w:bCs/>
                <w:sz w:val="24"/>
                <w:szCs w:val="24"/>
              </w:rPr>
            </w:pPr>
            <w:r w:rsidRPr="00EE1DEE">
              <w:rPr>
                <w:rFonts w:ascii="Calibri" w:eastAsia="Times New Roman" w:hAnsi="Calibri" w:cs="Calibri"/>
                <w:b/>
                <w:bCs/>
                <w:sz w:val="24"/>
                <w:szCs w:val="24"/>
              </w:rPr>
              <w:t>2023 Tiered Clear Choice Silver $4,200 Plans Offered On-Marketplace in Kennebec County</w:t>
            </w:r>
          </w:p>
        </w:tc>
      </w:tr>
      <w:tr w:rsidR="007F23A3" w:rsidRPr="00EE1DEE" w14:paraId="18EEC359" w14:textId="77777777" w:rsidTr="00EE1DEE">
        <w:trPr>
          <w:trHeight w:val="290"/>
          <w:jc w:val="center"/>
        </w:trPr>
        <w:tc>
          <w:tcPr>
            <w:tcW w:w="3325" w:type="dxa"/>
            <w:gridSpan w:val="2"/>
            <w:vMerge w:val="restart"/>
            <w:noWrap/>
            <w:vAlign w:val="center"/>
          </w:tcPr>
          <w:p w14:paraId="3E7D40BE" w14:textId="77777777" w:rsidR="007F23A3" w:rsidRPr="00EE1DEE" w:rsidRDefault="007F23A3" w:rsidP="006E4E3F">
            <w:pPr>
              <w:jc w:val="center"/>
              <w:rPr>
                <w:rFonts w:ascii="Calibri" w:eastAsia="Times New Roman" w:hAnsi="Calibri" w:cs="Calibri"/>
                <w:b/>
                <w:bCs/>
                <w:sz w:val="24"/>
                <w:szCs w:val="24"/>
              </w:rPr>
            </w:pPr>
            <w:r w:rsidRPr="00EE1DEE">
              <w:rPr>
                <w:rFonts w:ascii="Calibri" w:eastAsia="Times New Roman" w:hAnsi="Calibri" w:cs="Calibri"/>
                <w:b/>
                <w:bCs/>
                <w:sz w:val="24"/>
                <w:szCs w:val="24"/>
              </w:rPr>
              <w:t>Clear Choice Silver $4,200</w:t>
            </w:r>
          </w:p>
          <w:p w14:paraId="66298FDD" w14:textId="77777777" w:rsidR="007F23A3" w:rsidRPr="00EE1DEE" w:rsidRDefault="007F23A3" w:rsidP="006E4E3F">
            <w:pPr>
              <w:jc w:val="center"/>
              <w:rPr>
                <w:rFonts w:ascii="Calibri" w:eastAsia="Times New Roman" w:hAnsi="Calibri" w:cs="Calibri"/>
                <w:b/>
                <w:bCs/>
                <w:sz w:val="24"/>
                <w:szCs w:val="24"/>
              </w:rPr>
            </w:pPr>
            <w:r w:rsidRPr="00EE1DEE">
              <w:rPr>
                <w:rFonts w:ascii="Calibri" w:eastAsia="Times New Roman" w:hAnsi="Calibri" w:cs="Calibri"/>
                <w:b/>
                <w:bCs/>
                <w:sz w:val="24"/>
                <w:szCs w:val="24"/>
              </w:rPr>
              <w:t>Benefit Design</w:t>
            </w:r>
          </w:p>
        </w:tc>
        <w:tc>
          <w:tcPr>
            <w:tcW w:w="1714" w:type="dxa"/>
            <w:gridSpan w:val="2"/>
            <w:tcBorders>
              <w:bottom w:val="single" w:sz="4" w:space="0" w:color="FFFFFF" w:themeColor="background1"/>
            </w:tcBorders>
            <w:noWrap/>
            <w:vAlign w:val="center"/>
          </w:tcPr>
          <w:p w14:paraId="6380FF21" w14:textId="77777777" w:rsidR="007F23A3" w:rsidRPr="00EE1DEE" w:rsidRDefault="007F23A3" w:rsidP="006E4E3F">
            <w:pPr>
              <w:jc w:val="center"/>
              <w:rPr>
                <w:rFonts w:ascii="Calibri" w:eastAsia="Times New Roman" w:hAnsi="Calibri" w:cs="Calibri"/>
                <w:b/>
                <w:bCs/>
                <w:sz w:val="24"/>
                <w:szCs w:val="24"/>
              </w:rPr>
            </w:pPr>
            <w:r w:rsidRPr="00EE1DEE">
              <w:rPr>
                <w:rFonts w:ascii="Calibri" w:eastAsia="Times New Roman" w:hAnsi="Calibri" w:cs="Calibri"/>
                <w:b/>
                <w:bCs/>
                <w:sz w:val="24"/>
                <w:szCs w:val="24"/>
              </w:rPr>
              <w:t>Deductible</w:t>
            </w:r>
          </w:p>
        </w:tc>
        <w:tc>
          <w:tcPr>
            <w:tcW w:w="1770" w:type="dxa"/>
            <w:gridSpan w:val="2"/>
            <w:tcBorders>
              <w:bottom w:val="single" w:sz="4" w:space="0" w:color="FFFFFF" w:themeColor="background1"/>
            </w:tcBorders>
            <w:noWrap/>
            <w:vAlign w:val="center"/>
          </w:tcPr>
          <w:p w14:paraId="66C879C4" w14:textId="77777777" w:rsidR="007F23A3" w:rsidRPr="00EE1DEE" w:rsidRDefault="007F23A3" w:rsidP="006E4E3F">
            <w:pPr>
              <w:jc w:val="center"/>
              <w:rPr>
                <w:rFonts w:ascii="Calibri" w:eastAsia="Times New Roman" w:hAnsi="Calibri" w:cs="Calibri"/>
                <w:b/>
                <w:bCs/>
                <w:sz w:val="24"/>
                <w:szCs w:val="24"/>
              </w:rPr>
            </w:pPr>
            <w:r w:rsidRPr="00EE1DEE">
              <w:rPr>
                <w:rFonts w:ascii="Calibri" w:eastAsia="Times New Roman" w:hAnsi="Calibri" w:cs="Calibri"/>
                <w:b/>
                <w:bCs/>
                <w:sz w:val="24"/>
                <w:szCs w:val="24"/>
              </w:rPr>
              <w:t>Max OOP</w:t>
            </w:r>
          </w:p>
        </w:tc>
        <w:tc>
          <w:tcPr>
            <w:tcW w:w="1282" w:type="dxa"/>
            <w:gridSpan w:val="2"/>
            <w:tcBorders>
              <w:bottom w:val="single" w:sz="4" w:space="0" w:color="FFFFFF" w:themeColor="background1"/>
            </w:tcBorders>
            <w:noWrap/>
            <w:vAlign w:val="center"/>
          </w:tcPr>
          <w:p w14:paraId="33F439CF" w14:textId="77777777" w:rsidR="007F23A3" w:rsidRPr="00EE1DEE" w:rsidRDefault="007F23A3" w:rsidP="006E4E3F">
            <w:pPr>
              <w:jc w:val="center"/>
              <w:rPr>
                <w:rFonts w:ascii="Calibri" w:eastAsia="Times New Roman" w:hAnsi="Calibri" w:cs="Calibri"/>
                <w:b/>
                <w:bCs/>
                <w:sz w:val="24"/>
                <w:szCs w:val="24"/>
              </w:rPr>
            </w:pPr>
            <w:r w:rsidRPr="00EE1DEE">
              <w:rPr>
                <w:rFonts w:ascii="Calibri" w:eastAsia="Times New Roman" w:hAnsi="Calibri" w:cs="Calibri"/>
                <w:b/>
                <w:bCs/>
                <w:sz w:val="24"/>
                <w:szCs w:val="24"/>
              </w:rPr>
              <w:t>PCP</w:t>
            </w:r>
          </w:p>
        </w:tc>
        <w:tc>
          <w:tcPr>
            <w:tcW w:w="2113" w:type="dxa"/>
            <w:gridSpan w:val="2"/>
            <w:tcBorders>
              <w:bottom w:val="single" w:sz="4" w:space="0" w:color="FFFFFF" w:themeColor="background1"/>
            </w:tcBorders>
            <w:noWrap/>
            <w:vAlign w:val="center"/>
          </w:tcPr>
          <w:p w14:paraId="3B5A795D" w14:textId="77777777" w:rsidR="007F23A3" w:rsidRPr="00EE1DEE" w:rsidRDefault="007F23A3" w:rsidP="006E4E3F">
            <w:pPr>
              <w:jc w:val="center"/>
              <w:rPr>
                <w:rFonts w:ascii="Calibri" w:eastAsia="Times New Roman" w:hAnsi="Calibri" w:cs="Calibri"/>
                <w:b/>
                <w:bCs/>
                <w:sz w:val="24"/>
                <w:szCs w:val="24"/>
              </w:rPr>
            </w:pPr>
            <w:r w:rsidRPr="00EE1DEE">
              <w:rPr>
                <w:rFonts w:ascii="Calibri" w:eastAsia="Times New Roman" w:hAnsi="Calibri" w:cs="Calibri"/>
                <w:b/>
                <w:bCs/>
                <w:sz w:val="24"/>
                <w:szCs w:val="24"/>
              </w:rPr>
              <w:t>Specialist</w:t>
            </w:r>
          </w:p>
        </w:tc>
      </w:tr>
      <w:tr w:rsidR="007F23A3" w:rsidRPr="00EE1DEE" w14:paraId="6940EF99" w14:textId="77777777" w:rsidTr="00EE1DEE">
        <w:trPr>
          <w:trHeight w:val="371"/>
          <w:jc w:val="center"/>
        </w:trPr>
        <w:tc>
          <w:tcPr>
            <w:tcW w:w="3325" w:type="dxa"/>
            <w:gridSpan w:val="2"/>
            <w:vMerge/>
            <w:noWrap/>
            <w:vAlign w:val="center"/>
          </w:tcPr>
          <w:p w14:paraId="1AC8E9A7" w14:textId="77777777" w:rsidR="007F23A3" w:rsidRPr="00EE1DEE" w:rsidRDefault="007F23A3" w:rsidP="006E4E3F">
            <w:pPr>
              <w:jc w:val="center"/>
              <w:rPr>
                <w:rFonts w:ascii="Calibri" w:eastAsia="Times New Roman" w:hAnsi="Calibri" w:cs="Calibri"/>
                <w:b/>
                <w:bCs/>
                <w:sz w:val="24"/>
                <w:szCs w:val="24"/>
              </w:rPr>
            </w:pPr>
          </w:p>
        </w:tc>
        <w:tc>
          <w:tcPr>
            <w:tcW w:w="1714" w:type="dxa"/>
            <w:gridSpan w:val="2"/>
            <w:tcBorders>
              <w:top w:val="single" w:sz="4" w:space="0" w:color="FFFFFF" w:themeColor="background1"/>
            </w:tcBorders>
            <w:noWrap/>
            <w:vAlign w:val="center"/>
          </w:tcPr>
          <w:p w14:paraId="28B8679D" w14:textId="77777777" w:rsidR="007F23A3" w:rsidRPr="00EE1DEE" w:rsidRDefault="007F23A3" w:rsidP="006E4E3F">
            <w:pPr>
              <w:jc w:val="center"/>
              <w:rPr>
                <w:rFonts w:ascii="Calibri" w:hAnsi="Calibri" w:cs="Calibri"/>
                <w:color w:val="000000"/>
                <w:sz w:val="24"/>
                <w:szCs w:val="24"/>
              </w:rPr>
            </w:pPr>
            <w:r w:rsidRPr="00EE1DEE">
              <w:rPr>
                <w:rFonts w:ascii="Calibri" w:hAnsi="Calibri" w:cs="Calibri"/>
                <w:color w:val="000000"/>
                <w:sz w:val="24"/>
                <w:szCs w:val="24"/>
              </w:rPr>
              <w:t xml:space="preserve">$4,200 </w:t>
            </w:r>
          </w:p>
        </w:tc>
        <w:tc>
          <w:tcPr>
            <w:tcW w:w="1770" w:type="dxa"/>
            <w:gridSpan w:val="2"/>
            <w:tcBorders>
              <w:top w:val="single" w:sz="4" w:space="0" w:color="FFFFFF" w:themeColor="background1"/>
            </w:tcBorders>
            <w:noWrap/>
            <w:vAlign w:val="center"/>
          </w:tcPr>
          <w:p w14:paraId="456BB180" w14:textId="04922E9A" w:rsidR="007F23A3" w:rsidRPr="00EE1DEE" w:rsidRDefault="007F23A3" w:rsidP="006E4E3F">
            <w:pPr>
              <w:jc w:val="center"/>
              <w:rPr>
                <w:rFonts w:ascii="Calibri" w:hAnsi="Calibri" w:cs="Calibri"/>
                <w:color w:val="000000"/>
                <w:sz w:val="24"/>
                <w:szCs w:val="24"/>
              </w:rPr>
            </w:pPr>
            <w:r w:rsidRPr="00EE1DEE">
              <w:rPr>
                <w:rFonts w:ascii="Calibri" w:hAnsi="Calibri" w:cs="Calibri"/>
                <w:color w:val="000000"/>
                <w:sz w:val="24"/>
                <w:szCs w:val="24"/>
              </w:rPr>
              <w:t>$</w:t>
            </w:r>
            <w:r w:rsidR="00952672" w:rsidRPr="00EE1DEE">
              <w:rPr>
                <w:rFonts w:ascii="Calibri" w:hAnsi="Calibri" w:cs="Calibri"/>
                <w:color w:val="000000"/>
                <w:sz w:val="24"/>
                <w:szCs w:val="24"/>
              </w:rPr>
              <w:t>9</w:t>
            </w:r>
            <w:r w:rsidRPr="00EE1DEE">
              <w:rPr>
                <w:rFonts w:ascii="Calibri" w:hAnsi="Calibri" w:cs="Calibri"/>
                <w:color w:val="000000"/>
                <w:sz w:val="24"/>
                <w:szCs w:val="24"/>
              </w:rPr>
              <w:t>,</w:t>
            </w:r>
            <w:r w:rsidR="00952672" w:rsidRPr="00EE1DEE">
              <w:rPr>
                <w:rFonts w:ascii="Calibri" w:hAnsi="Calibri" w:cs="Calibri"/>
                <w:color w:val="000000"/>
                <w:sz w:val="24"/>
                <w:szCs w:val="24"/>
              </w:rPr>
              <w:t>1</w:t>
            </w:r>
            <w:r w:rsidRPr="00EE1DEE">
              <w:rPr>
                <w:rFonts w:ascii="Calibri" w:hAnsi="Calibri" w:cs="Calibri"/>
                <w:color w:val="000000"/>
                <w:sz w:val="24"/>
                <w:szCs w:val="24"/>
              </w:rPr>
              <w:t xml:space="preserve">00 </w:t>
            </w:r>
          </w:p>
        </w:tc>
        <w:tc>
          <w:tcPr>
            <w:tcW w:w="1282" w:type="dxa"/>
            <w:gridSpan w:val="2"/>
            <w:tcBorders>
              <w:top w:val="single" w:sz="4" w:space="0" w:color="FFFFFF" w:themeColor="background1"/>
            </w:tcBorders>
            <w:noWrap/>
            <w:vAlign w:val="center"/>
          </w:tcPr>
          <w:p w14:paraId="4F854F92" w14:textId="77777777" w:rsidR="007F23A3" w:rsidRPr="00EE1DEE" w:rsidRDefault="007F23A3" w:rsidP="006E4E3F">
            <w:pPr>
              <w:jc w:val="center"/>
              <w:rPr>
                <w:rFonts w:ascii="Calibri" w:eastAsia="Times New Roman" w:hAnsi="Calibri" w:cs="Calibri"/>
                <w:b/>
                <w:bCs/>
                <w:sz w:val="24"/>
                <w:szCs w:val="24"/>
              </w:rPr>
            </w:pPr>
            <w:r w:rsidRPr="00EE1DEE">
              <w:rPr>
                <w:rFonts w:ascii="Calibri" w:eastAsia="Times New Roman" w:hAnsi="Calibri" w:cs="Calibri"/>
                <w:sz w:val="24"/>
                <w:szCs w:val="24"/>
              </w:rPr>
              <w:t>$50</w:t>
            </w:r>
          </w:p>
        </w:tc>
        <w:tc>
          <w:tcPr>
            <w:tcW w:w="2113" w:type="dxa"/>
            <w:gridSpan w:val="2"/>
            <w:tcBorders>
              <w:top w:val="single" w:sz="4" w:space="0" w:color="FFFFFF" w:themeColor="background1"/>
            </w:tcBorders>
            <w:noWrap/>
            <w:vAlign w:val="center"/>
          </w:tcPr>
          <w:p w14:paraId="484A663C" w14:textId="77777777" w:rsidR="007F23A3" w:rsidRPr="00EE1DEE" w:rsidRDefault="007F23A3" w:rsidP="006E4E3F">
            <w:pPr>
              <w:jc w:val="center"/>
              <w:rPr>
                <w:rFonts w:ascii="Calibri" w:eastAsia="Times New Roman" w:hAnsi="Calibri" w:cs="Calibri"/>
                <w:b/>
                <w:bCs/>
                <w:sz w:val="24"/>
                <w:szCs w:val="24"/>
              </w:rPr>
            </w:pPr>
            <w:r w:rsidRPr="00EE1DEE">
              <w:rPr>
                <w:rFonts w:ascii="Calibri" w:eastAsia="Times New Roman" w:hAnsi="Calibri" w:cs="Calibri"/>
                <w:sz w:val="24"/>
                <w:szCs w:val="24"/>
              </w:rPr>
              <w:t>$80</w:t>
            </w:r>
          </w:p>
        </w:tc>
      </w:tr>
      <w:tr w:rsidR="007F23A3" w:rsidRPr="00EE1DEE" w14:paraId="73D58B18" w14:textId="77777777" w:rsidTr="00EE1DEE">
        <w:trPr>
          <w:trHeight w:val="269"/>
          <w:jc w:val="center"/>
        </w:trPr>
        <w:tc>
          <w:tcPr>
            <w:tcW w:w="3325" w:type="dxa"/>
            <w:gridSpan w:val="2"/>
            <w:noWrap/>
            <w:vAlign w:val="center"/>
            <w:hideMark/>
          </w:tcPr>
          <w:p w14:paraId="7B34BEAF" w14:textId="77777777" w:rsidR="007F23A3" w:rsidRPr="00EE1DEE" w:rsidRDefault="007F23A3" w:rsidP="006E4E3F">
            <w:pPr>
              <w:jc w:val="center"/>
              <w:rPr>
                <w:rFonts w:ascii="Calibri" w:eastAsia="Times New Roman" w:hAnsi="Calibri" w:cs="Calibri"/>
                <w:b/>
                <w:bCs/>
                <w:sz w:val="24"/>
                <w:szCs w:val="24"/>
              </w:rPr>
            </w:pPr>
            <w:r w:rsidRPr="00EE1DEE">
              <w:rPr>
                <w:rFonts w:ascii="Calibri" w:eastAsia="Times New Roman" w:hAnsi="Calibri" w:cs="Calibri"/>
                <w:b/>
                <w:bCs/>
                <w:sz w:val="24"/>
                <w:szCs w:val="24"/>
              </w:rPr>
              <w:t>Tiered Plans</w:t>
            </w:r>
          </w:p>
        </w:tc>
        <w:tc>
          <w:tcPr>
            <w:tcW w:w="710" w:type="dxa"/>
            <w:tcBorders>
              <w:right w:val="dotted" w:sz="4" w:space="0" w:color="auto"/>
            </w:tcBorders>
            <w:noWrap/>
            <w:vAlign w:val="center"/>
            <w:hideMark/>
          </w:tcPr>
          <w:p w14:paraId="31843450" w14:textId="77777777" w:rsidR="007F23A3" w:rsidRPr="00EE1DEE" w:rsidRDefault="007F23A3" w:rsidP="006E4E3F">
            <w:pPr>
              <w:jc w:val="center"/>
              <w:rPr>
                <w:rFonts w:ascii="Calibri" w:eastAsia="Times New Roman" w:hAnsi="Calibri" w:cs="Calibri"/>
                <w:b/>
                <w:bCs/>
                <w:sz w:val="24"/>
                <w:szCs w:val="24"/>
              </w:rPr>
            </w:pPr>
            <w:r w:rsidRPr="00EE1DEE">
              <w:rPr>
                <w:rFonts w:ascii="Calibri" w:eastAsia="Times New Roman" w:hAnsi="Calibri" w:cs="Calibri"/>
                <w:b/>
                <w:bCs/>
                <w:sz w:val="24"/>
                <w:szCs w:val="24"/>
              </w:rPr>
              <w:t>T1</w:t>
            </w:r>
          </w:p>
        </w:tc>
        <w:tc>
          <w:tcPr>
            <w:tcW w:w="1004" w:type="dxa"/>
            <w:tcBorders>
              <w:left w:val="dotted" w:sz="4" w:space="0" w:color="auto"/>
            </w:tcBorders>
            <w:noWrap/>
            <w:vAlign w:val="center"/>
            <w:hideMark/>
          </w:tcPr>
          <w:p w14:paraId="37D7BAE7" w14:textId="77777777" w:rsidR="007F23A3" w:rsidRPr="00EE1DEE" w:rsidRDefault="007F23A3" w:rsidP="006E4E3F">
            <w:pPr>
              <w:jc w:val="center"/>
              <w:rPr>
                <w:rFonts w:ascii="Calibri" w:eastAsia="Times New Roman" w:hAnsi="Calibri" w:cs="Calibri"/>
                <w:b/>
                <w:bCs/>
                <w:sz w:val="24"/>
                <w:szCs w:val="24"/>
              </w:rPr>
            </w:pPr>
            <w:r w:rsidRPr="00EE1DEE">
              <w:rPr>
                <w:rFonts w:ascii="Calibri" w:eastAsia="Times New Roman" w:hAnsi="Calibri" w:cs="Calibri"/>
                <w:b/>
                <w:bCs/>
                <w:sz w:val="24"/>
                <w:szCs w:val="24"/>
              </w:rPr>
              <w:t>T2</w:t>
            </w:r>
          </w:p>
        </w:tc>
        <w:tc>
          <w:tcPr>
            <w:tcW w:w="885" w:type="dxa"/>
            <w:tcBorders>
              <w:right w:val="dotted" w:sz="4" w:space="0" w:color="auto"/>
            </w:tcBorders>
            <w:noWrap/>
            <w:vAlign w:val="center"/>
            <w:hideMark/>
          </w:tcPr>
          <w:p w14:paraId="6A2A0196" w14:textId="77777777" w:rsidR="007F23A3" w:rsidRPr="00EE1DEE" w:rsidRDefault="007F23A3" w:rsidP="006E4E3F">
            <w:pPr>
              <w:jc w:val="center"/>
              <w:rPr>
                <w:rFonts w:ascii="Calibri" w:eastAsia="Times New Roman" w:hAnsi="Calibri" w:cs="Calibri"/>
                <w:b/>
                <w:bCs/>
                <w:sz w:val="24"/>
                <w:szCs w:val="24"/>
              </w:rPr>
            </w:pPr>
            <w:r w:rsidRPr="00EE1DEE">
              <w:rPr>
                <w:rFonts w:ascii="Calibri" w:eastAsia="Times New Roman" w:hAnsi="Calibri" w:cs="Calibri"/>
                <w:b/>
                <w:bCs/>
                <w:sz w:val="24"/>
                <w:szCs w:val="24"/>
              </w:rPr>
              <w:t>T1</w:t>
            </w:r>
          </w:p>
        </w:tc>
        <w:tc>
          <w:tcPr>
            <w:tcW w:w="885" w:type="dxa"/>
            <w:tcBorders>
              <w:left w:val="dotted" w:sz="4" w:space="0" w:color="auto"/>
            </w:tcBorders>
            <w:noWrap/>
            <w:vAlign w:val="center"/>
            <w:hideMark/>
          </w:tcPr>
          <w:p w14:paraId="688BD73E" w14:textId="77777777" w:rsidR="007F23A3" w:rsidRPr="00EE1DEE" w:rsidRDefault="007F23A3" w:rsidP="006E4E3F">
            <w:pPr>
              <w:jc w:val="center"/>
              <w:rPr>
                <w:rFonts w:ascii="Calibri" w:eastAsia="Times New Roman" w:hAnsi="Calibri" w:cs="Calibri"/>
                <w:b/>
                <w:bCs/>
                <w:sz w:val="24"/>
                <w:szCs w:val="24"/>
              </w:rPr>
            </w:pPr>
            <w:r w:rsidRPr="00EE1DEE">
              <w:rPr>
                <w:rFonts w:ascii="Calibri" w:eastAsia="Times New Roman" w:hAnsi="Calibri" w:cs="Calibri"/>
                <w:b/>
                <w:bCs/>
                <w:sz w:val="24"/>
                <w:szCs w:val="24"/>
              </w:rPr>
              <w:t>T2</w:t>
            </w:r>
          </w:p>
        </w:tc>
        <w:tc>
          <w:tcPr>
            <w:tcW w:w="581" w:type="dxa"/>
            <w:tcBorders>
              <w:right w:val="dotted" w:sz="4" w:space="0" w:color="auto"/>
            </w:tcBorders>
            <w:noWrap/>
            <w:vAlign w:val="center"/>
            <w:hideMark/>
          </w:tcPr>
          <w:p w14:paraId="57CD5A1C" w14:textId="77777777" w:rsidR="007F23A3" w:rsidRPr="00EE1DEE" w:rsidRDefault="007F23A3" w:rsidP="006E4E3F">
            <w:pPr>
              <w:jc w:val="center"/>
              <w:rPr>
                <w:rFonts w:ascii="Calibri" w:eastAsia="Times New Roman" w:hAnsi="Calibri" w:cs="Calibri"/>
                <w:b/>
                <w:bCs/>
                <w:sz w:val="24"/>
                <w:szCs w:val="24"/>
              </w:rPr>
            </w:pPr>
            <w:r w:rsidRPr="00EE1DEE">
              <w:rPr>
                <w:rFonts w:ascii="Calibri" w:eastAsia="Times New Roman" w:hAnsi="Calibri" w:cs="Calibri"/>
                <w:b/>
                <w:bCs/>
                <w:sz w:val="24"/>
                <w:szCs w:val="24"/>
              </w:rPr>
              <w:t>T1</w:t>
            </w:r>
          </w:p>
        </w:tc>
        <w:tc>
          <w:tcPr>
            <w:tcW w:w="701" w:type="dxa"/>
            <w:tcBorders>
              <w:left w:val="dotted" w:sz="4" w:space="0" w:color="auto"/>
            </w:tcBorders>
            <w:noWrap/>
            <w:vAlign w:val="center"/>
            <w:hideMark/>
          </w:tcPr>
          <w:p w14:paraId="7C06D649" w14:textId="77777777" w:rsidR="007F23A3" w:rsidRPr="00EE1DEE" w:rsidRDefault="007F23A3" w:rsidP="006E4E3F">
            <w:pPr>
              <w:jc w:val="center"/>
              <w:rPr>
                <w:rFonts w:ascii="Calibri" w:eastAsia="Times New Roman" w:hAnsi="Calibri" w:cs="Calibri"/>
                <w:b/>
                <w:bCs/>
                <w:sz w:val="24"/>
                <w:szCs w:val="24"/>
              </w:rPr>
            </w:pPr>
            <w:r w:rsidRPr="00EE1DEE">
              <w:rPr>
                <w:rFonts w:ascii="Calibri" w:eastAsia="Times New Roman" w:hAnsi="Calibri" w:cs="Calibri"/>
                <w:b/>
                <w:bCs/>
                <w:sz w:val="24"/>
                <w:szCs w:val="24"/>
              </w:rPr>
              <w:t>T2</w:t>
            </w:r>
          </w:p>
        </w:tc>
        <w:tc>
          <w:tcPr>
            <w:tcW w:w="720" w:type="dxa"/>
            <w:tcBorders>
              <w:right w:val="dotted" w:sz="4" w:space="0" w:color="auto"/>
            </w:tcBorders>
            <w:noWrap/>
            <w:vAlign w:val="center"/>
            <w:hideMark/>
          </w:tcPr>
          <w:p w14:paraId="2D57A0DD" w14:textId="77777777" w:rsidR="007F23A3" w:rsidRPr="00EE1DEE" w:rsidRDefault="007F23A3" w:rsidP="006E4E3F">
            <w:pPr>
              <w:jc w:val="center"/>
              <w:rPr>
                <w:rFonts w:ascii="Calibri" w:eastAsia="Times New Roman" w:hAnsi="Calibri" w:cs="Calibri"/>
                <w:b/>
                <w:bCs/>
                <w:sz w:val="24"/>
                <w:szCs w:val="24"/>
              </w:rPr>
            </w:pPr>
            <w:r w:rsidRPr="00EE1DEE">
              <w:rPr>
                <w:rFonts w:ascii="Calibri" w:eastAsia="Times New Roman" w:hAnsi="Calibri" w:cs="Calibri"/>
                <w:b/>
                <w:bCs/>
                <w:sz w:val="24"/>
                <w:szCs w:val="24"/>
              </w:rPr>
              <w:t>T1</w:t>
            </w:r>
          </w:p>
        </w:tc>
        <w:tc>
          <w:tcPr>
            <w:tcW w:w="1393" w:type="dxa"/>
            <w:tcBorders>
              <w:left w:val="dotted" w:sz="4" w:space="0" w:color="auto"/>
            </w:tcBorders>
            <w:noWrap/>
            <w:vAlign w:val="center"/>
            <w:hideMark/>
          </w:tcPr>
          <w:p w14:paraId="15C2F8F5" w14:textId="77777777" w:rsidR="007F23A3" w:rsidRPr="00EE1DEE" w:rsidRDefault="007F23A3" w:rsidP="006E4E3F">
            <w:pPr>
              <w:jc w:val="center"/>
              <w:rPr>
                <w:rFonts w:ascii="Calibri" w:eastAsia="Times New Roman" w:hAnsi="Calibri" w:cs="Calibri"/>
                <w:b/>
                <w:bCs/>
                <w:sz w:val="24"/>
                <w:szCs w:val="24"/>
              </w:rPr>
            </w:pPr>
            <w:r w:rsidRPr="00EE1DEE">
              <w:rPr>
                <w:rFonts w:ascii="Calibri" w:eastAsia="Times New Roman" w:hAnsi="Calibri" w:cs="Calibri"/>
                <w:b/>
                <w:bCs/>
                <w:sz w:val="24"/>
                <w:szCs w:val="24"/>
              </w:rPr>
              <w:t>T2</w:t>
            </w:r>
          </w:p>
        </w:tc>
      </w:tr>
      <w:tr w:rsidR="007F23A3" w:rsidRPr="00EE1DEE" w14:paraId="54C83417" w14:textId="77777777" w:rsidTr="00EE1DEE">
        <w:trPr>
          <w:trHeight w:val="290"/>
          <w:jc w:val="center"/>
        </w:trPr>
        <w:tc>
          <w:tcPr>
            <w:tcW w:w="1014" w:type="dxa"/>
            <w:noWrap/>
            <w:hideMark/>
          </w:tcPr>
          <w:p w14:paraId="62460B7B" w14:textId="77777777" w:rsidR="007F23A3" w:rsidRPr="00EE1DEE" w:rsidRDefault="007F23A3" w:rsidP="006E4E3F">
            <w:pPr>
              <w:rPr>
                <w:rFonts w:ascii="Calibri" w:eastAsia="Times New Roman" w:hAnsi="Calibri" w:cs="Calibri"/>
                <w:sz w:val="24"/>
                <w:szCs w:val="24"/>
              </w:rPr>
            </w:pPr>
            <w:r w:rsidRPr="00EE1DEE">
              <w:rPr>
                <w:rFonts w:ascii="Calibri" w:eastAsia="Times New Roman" w:hAnsi="Calibri" w:cs="Calibri"/>
                <w:sz w:val="24"/>
                <w:szCs w:val="24"/>
              </w:rPr>
              <w:t>CHO</w:t>
            </w:r>
          </w:p>
        </w:tc>
        <w:tc>
          <w:tcPr>
            <w:tcW w:w="2311" w:type="dxa"/>
            <w:noWrap/>
            <w:hideMark/>
          </w:tcPr>
          <w:p w14:paraId="34335FF3" w14:textId="77777777" w:rsidR="007F23A3" w:rsidRPr="00EE1DEE" w:rsidRDefault="007F23A3" w:rsidP="006E4E3F">
            <w:pPr>
              <w:rPr>
                <w:rFonts w:ascii="Calibri" w:eastAsia="Times New Roman" w:hAnsi="Calibri" w:cs="Calibri"/>
                <w:sz w:val="24"/>
                <w:szCs w:val="24"/>
                <w:u w:val="single"/>
              </w:rPr>
            </w:pPr>
            <w:r w:rsidRPr="00EE1DEE">
              <w:rPr>
                <w:rFonts w:ascii="Calibri" w:eastAsia="Times New Roman" w:hAnsi="Calibri" w:cs="Calibri"/>
                <w:sz w:val="24"/>
                <w:szCs w:val="24"/>
              </w:rPr>
              <w:t>Health Options Clear Choice Silver $4200 HMO Tiered NE</w:t>
            </w:r>
          </w:p>
        </w:tc>
        <w:tc>
          <w:tcPr>
            <w:tcW w:w="710" w:type="dxa"/>
            <w:tcBorders>
              <w:right w:val="dotted" w:sz="4" w:space="0" w:color="auto"/>
            </w:tcBorders>
            <w:noWrap/>
            <w:hideMark/>
          </w:tcPr>
          <w:p w14:paraId="31F4C731" w14:textId="77777777" w:rsidR="007F23A3" w:rsidRPr="00EE1DEE" w:rsidRDefault="007F23A3" w:rsidP="006E4E3F">
            <w:pPr>
              <w:jc w:val="center"/>
              <w:rPr>
                <w:rFonts w:ascii="Calibri" w:eastAsia="Times New Roman" w:hAnsi="Calibri" w:cs="Calibri"/>
                <w:sz w:val="24"/>
                <w:szCs w:val="24"/>
              </w:rPr>
            </w:pPr>
            <w:r w:rsidRPr="00EE1DEE">
              <w:rPr>
                <w:rFonts w:ascii="Calibri" w:eastAsia="Times New Roman" w:hAnsi="Calibri" w:cs="Calibri"/>
                <w:sz w:val="24"/>
                <w:szCs w:val="24"/>
              </w:rPr>
              <w:t>$4,200</w:t>
            </w:r>
          </w:p>
        </w:tc>
        <w:tc>
          <w:tcPr>
            <w:tcW w:w="1004" w:type="dxa"/>
            <w:tcBorders>
              <w:left w:val="dotted" w:sz="4" w:space="0" w:color="auto"/>
            </w:tcBorders>
            <w:noWrap/>
            <w:hideMark/>
          </w:tcPr>
          <w:p w14:paraId="168A7B72" w14:textId="69F9E2BF" w:rsidR="007F23A3" w:rsidRPr="00EE1DEE" w:rsidRDefault="007F23A3" w:rsidP="006E4E3F">
            <w:pPr>
              <w:jc w:val="center"/>
              <w:rPr>
                <w:rFonts w:ascii="Calibri" w:eastAsia="Times New Roman" w:hAnsi="Calibri" w:cs="Calibri"/>
                <w:color w:val="C00000"/>
                <w:sz w:val="24"/>
                <w:szCs w:val="24"/>
              </w:rPr>
            </w:pPr>
            <w:r w:rsidRPr="00EE1DEE">
              <w:rPr>
                <w:rFonts w:ascii="Calibri" w:eastAsia="Times New Roman" w:hAnsi="Calibri" w:cs="Calibri"/>
                <w:color w:val="C00000"/>
                <w:sz w:val="24"/>
                <w:szCs w:val="24"/>
              </w:rPr>
              <w:t>$5,040</w:t>
            </w:r>
            <w:r w:rsidR="005D0624" w:rsidRPr="00EE1DEE">
              <w:rPr>
                <w:rFonts w:ascii="Calibri" w:eastAsia="Times New Roman" w:hAnsi="Calibri" w:cs="Calibri"/>
                <w:color w:val="C00000"/>
                <w:sz w:val="24"/>
                <w:szCs w:val="24"/>
              </w:rPr>
              <w:t>*</w:t>
            </w:r>
          </w:p>
        </w:tc>
        <w:tc>
          <w:tcPr>
            <w:tcW w:w="885" w:type="dxa"/>
            <w:tcBorders>
              <w:right w:val="dotted" w:sz="4" w:space="0" w:color="auto"/>
            </w:tcBorders>
            <w:noWrap/>
            <w:hideMark/>
          </w:tcPr>
          <w:p w14:paraId="59AE7351" w14:textId="77777777" w:rsidR="007F23A3" w:rsidRPr="00EE1DEE" w:rsidRDefault="007F23A3" w:rsidP="006E4E3F">
            <w:pPr>
              <w:jc w:val="center"/>
              <w:rPr>
                <w:rFonts w:ascii="Calibri" w:eastAsia="Times New Roman" w:hAnsi="Calibri" w:cs="Calibri"/>
                <w:color w:val="000000" w:themeColor="text1"/>
                <w:sz w:val="24"/>
                <w:szCs w:val="24"/>
              </w:rPr>
            </w:pPr>
            <w:r w:rsidRPr="00EE1DEE">
              <w:rPr>
                <w:rFonts w:ascii="Calibri" w:eastAsia="Times New Roman" w:hAnsi="Calibri" w:cs="Calibri"/>
                <w:color w:val="000000" w:themeColor="text1"/>
                <w:sz w:val="24"/>
                <w:szCs w:val="24"/>
              </w:rPr>
              <w:t>$9,100</w:t>
            </w:r>
          </w:p>
        </w:tc>
        <w:tc>
          <w:tcPr>
            <w:tcW w:w="885" w:type="dxa"/>
            <w:tcBorders>
              <w:left w:val="dotted" w:sz="4" w:space="0" w:color="auto"/>
            </w:tcBorders>
            <w:noWrap/>
            <w:hideMark/>
          </w:tcPr>
          <w:p w14:paraId="148ADF64" w14:textId="77777777" w:rsidR="007F23A3" w:rsidRPr="00EE1DEE" w:rsidRDefault="007F23A3" w:rsidP="006E4E3F">
            <w:pPr>
              <w:jc w:val="center"/>
              <w:rPr>
                <w:rFonts w:ascii="Calibri" w:eastAsia="Times New Roman" w:hAnsi="Calibri" w:cs="Calibri"/>
                <w:color w:val="000000" w:themeColor="text1"/>
                <w:sz w:val="24"/>
                <w:szCs w:val="24"/>
              </w:rPr>
            </w:pPr>
            <w:r w:rsidRPr="00EE1DEE">
              <w:rPr>
                <w:rFonts w:ascii="Calibri" w:eastAsia="Times New Roman" w:hAnsi="Calibri" w:cs="Calibri"/>
                <w:color w:val="000000" w:themeColor="text1"/>
                <w:sz w:val="24"/>
                <w:szCs w:val="24"/>
              </w:rPr>
              <w:t>$9,100</w:t>
            </w:r>
          </w:p>
        </w:tc>
        <w:tc>
          <w:tcPr>
            <w:tcW w:w="581" w:type="dxa"/>
            <w:tcBorders>
              <w:right w:val="dotted" w:sz="4" w:space="0" w:color="auto"/>
            </w:tcBorders>
            <w:noWrap/>
            <w:hideMark/>
          </w:tcPr>
          <w:p w14:paraId="2EA8C78F" w14:textId="77777777" w:rsidR="007F23A3" w:rsidRPr="00EE1DEE" w:rsidRDefault="007F23A3" w:rsidP="006E4E3F">
            <w:pPr>
              <w:jc w:val="center"/>
              <w:rPr>
                <w:rFonts w:ascii="Calibri" w:eastAsia="Times New Roman" w:hAnsi="Calibri" w:cs="Calibri"/>
                <w:sz w:val="24"/>
                <w:szCs w:val="24"/>
              </w:rPr>
            </w:pPr>
            <w:r w:rsidRPr="00EE1DEE">
              <w:rPr>
                <w:rFonts w:ascii="Calibri" w:eastAsia="Times New Roman" w:hAnsi="Calibri" w:cs="Calibri"/>
                <w:sz w:val="24"/>
                <w:szCs w:val="24"/>
              </w:rPr>
              <w:t>$50</w:t>
            </w:r>
          </w:p>
        </w:tc>
        <w:tc>
          <w:tcPr>
            <w:tcW w:w="701" w:type="dxa"/>
            <w:tcBorders>
              <w:left w:val="dotted" w:sz="4" w:space="0" w:color="auto"/>
            </w:tcBorders>
            <w:noWrap/>
            <w:hideMark/>
          </w:tcPr>
          <w:p w14:paraId="1BFC96B0" w14:textId="6039B62C" w:rsidR="007F23A3" w:rsidRPr="00EE1DEE" w:rsidRDefault="007F23A3" w:rsidP="006E4E3F">
            <w:pPr>
              <w:jc w:val="center"/>
              <w:rPr>
                <w:rFonts w:ascii="Calibri" w:eastAsia="Times New Roman" w:hAnsi="Calibri" w:cs="Calibri"/>
                <w:color w:val="C00000"/>
                <w:sz w:val="24"/>
                <w:szCs w:val="24"/>
              </w:rPr>
            </w:pPr>
            <w:r w:rsidRPr="00EE1DEE">
              <w:rPr>
                <w:rFonts w:ascii="Calibri" w:eastAsia="Times New Roman" w:hAnsi="Calibri" w:cs="Calibri"/>
                <w:color w:val="C00000"/>
                <w:sz w:val="24"/>
                <w:szCs w:val="24"/>
              </w:rPr>
              <w:t>$70</w:t>
            </w:r>
            <w:r w:rsidR="005D0624" w:rsidRPr="00EE1DEE">
              <w:rPr>
                <w:rFonts w:ascii="Calibri" w:eastAsia="Times New Roman" w:hAnsi="Calibri" w:cs="Calibri"/>
                <w:color w:val="C00000"/>
                <w:sz w:val="24"/>
                <w:szCs w:val="24"/>
              </w:rPr>
              <w:t>*</w:t>
            </w:r>
          </w:p>
        </w:tc>
        <w:tc>
          <w:tcPr>
            <w:tcW w:w="720" w:type="dxa"/>
            <w:tcBorders>
              <w:right w:val="dotted" w:sz="4" w:space="0" w:color="auto"/>
            </w:tcBorders>
            <w:noWrap/>
            <w:hideMark/>
          </w:tcPr>
          <w:p w14:paraId="442D9A54" w14:textId="77777777" w:rsidR="007F23A3" w:rsidRPr="00EE1DEE" w:rsidRDefault="007F23A3" w:rsidP="006E4E3F">
            <w:pPr>
              <w:jc w:val="center"/>
              <w:rPr>
                <w:rFonts w:ascii="Calibri" w:eastAsia="Times New Roman" w:hAnsi="Calibri" w:cs="Calibri"/>
                <w:sz w:val="24"/>
                <w:szCs w:val="24"/>
              </w:rPr>
            </w:pPr>
            <w:r w:rsidRPr="00EE1DEE">
              <w:rPr>
                <w:rFonts w:ascii="Calibri" w:eastAsia="Times New Roman" w:hAnsi="Calibri" w:cs="Calibri"/>
                <w:sz w:val="24"/>
                <w:szCs w:val="24"/>
              </w:rPr>
              <w:t>$80</w:t>
            </w:r>
          </w:p>
        </w:tc>
        <w:tc>
          <w:tcPr>
            <w:tcW w:w="1393" w:type="dxa"/>
            <w:tcBorders>
              <w:left w:val="dotted" w:sz="4" w:space="0" w:color="auto"/>
            </w:tcBorders>
            <w:noWrap/>
            <w:hideMark/>
          </w:tcPr>
          <w:p w14:paraId="248671CB" w14:textId="7FD55727" w:rsidR="007F23A3" w:rsidRPr="00EE1DEE" w:rsidRDefault="007F23A3" w:rsidP="006E4E3F">
            <w:pPr>
              <w:jc w:val="center"/>
              <w:rPr>
                <w:rFonts w:ascii="Calibri" w:eastAsia="Times New Roman" w:hAnsi="Calibri" w:cs="Calibri"/>
                <w:color w:val="C00000"/>
                <w:sz w:val="24"/>
                <w:szCs w:val="24"/>
              </w:rPr>
            </w:pPr>
            <w:r w:rsidRPr="00EE1DEE">
              <w:rPr>
                <w:rFonts w:ascii="Calibri" w:eastAsia="Times New Roman" w:hAnsi="Calibri" w:cs="Calibri"/>
                <w:color w:val="C00000"/>
                <w:sz w:val="24"/>
                <w:szCs w:val="24"/>
              </w:rPr>
              <w:t>$95</w:t>
            </w:r>
            <w:r w:rsidR="005D0624" w:rsidRPr="00EE1DEE">
              <w:rPr>
                <w:rFonts w:ascii="Calibri" w:eastAsia="Times New Roman" w:hAnsi="Calibri" w:cs="Calibri"/>
                <w:color w:val="C00000"/>
                <w:sz w:val="24"/>
                <w:szCs w:val="24"/>
              </w:rPr>
              <w:t>*</w:t>
            </w:r>
          </w:p>
        </w:tc>
      </w:tr>
      <w:tr w:rsidR="007F23A3" w:rsidRPr="00EE1DEE" w14:paraId="28BCCD1B" w14:textId="77777777" w:rsidTr="00EE1DEE">
        <w:trPr>
          <w:trHeight w:val="290"/>
          <w:jc w:val="center"/>
        </w:trPr>
        <w:tc>
          <w:tcPr>
            <w:tcW w:w="1014" w:type="dxa"/>
            <w:noWrap/>
            <w:hideMark/>
          </w:tcPr>
          <w:p w14:paraId="1F832ACD" w14:textId="77777777" w:rsidR="007F23A3" w:rsidRPr="00EE1DEE" w:rsidRDefault="007F23A3" w:rsidP="006E4E3F">
            <w:pPr>
              <w:rPr>
                <w:rFonts w:ascii="Calibri" w:eastAsia="Times New Roman" w:hAnsi="Calibri" w:cs="Calibri"/>
                <w:sz w:val="24"/>
                <w:szCs w:val="24"/>
              </w:rPr>
            </w:pPr>
            <w:r w:rsidRPr="00EE1DEE">
              <w:rPr>
                <w:rFonts w:ascii="Calibri" w:eastAsia="Times New Roman" w:hAnsi="Calibri" w:cs="Calibri"/>
                <w:sz w:val="24"/>
                <w:szCs w:val="24"/>
              </w:rPr>
              <w:t>Anthem</w:t>
            </w:r>
          </w:p>
        </w:tc>
        <w:tc>
          <w:tcPr>
            <w:tcW w:w="2311" w:type="dxa"/>
            <w:noWrap/>
            <w:hideMark/>
          </w:tcPr>
          <w:p w14:paraId="060DC927" w14:textId="77777777" w:rsidR="007F23A3" w:rsidRPr="00EE1DEE" w:rsidRDefault="007F23A3" w:rsidP="006E4E3F">
            <w:pPr>
              <w:rPr>
                <w:rFonts w:ascii="Calibri" w:eastAsia="Times New Roman" w:hAnsi="Calibri" w:cs="Calibri"/>
                <w:sz w:val="24"/>
                <w:szCs w:val="24"/>
                <w:u w:val="single"/>
              </w:rPr>
            </w:pPr>
            <w:r w:rsidRPr="00EE1DEE">
              <w:rPr>
                <w:rFonts w:ascii="Calibri" w:eastAsia="Times New Roman" w:hAnsi="Calibri" w:cs="Calibri"/>
                <w:sz w:val="24"/>
                <w:szCs w:val="24"/>
              </w:rPr>
              <w:t>Anthem Clear Choice Silver X Tiered 4200</w:t>
            </w:r>
          </w:p>
        </w:tc>
        <w:tc>
          <w:tcPr>
            <w:tcW w:w="710" w:type="dxa"/>
            <w:tcBorders>
              <w:right w:val="dotted" w:sz="4" w:space="0" w:color="auto"/>
            </w:tcBorders>
            <w:noWrap/>
            <w:hideMark/>
          </w:tcPr>
          <w:p w14:paraId="59EA8601" w14:textId="77777777" w:rsidR="007F23A3" w:rsidRPr="00EE1DEE" w:rsidRDefault="007F23A3" w:rsidP="006E4E3F">
            <w:pPr>
              <w:jc w:val="center"/>
              <w:rPr>
                <w:rFonts w:ascii="Calibri" w:eastAsia="Times New Roman" w:hAnsi="Calibri" w:cs="Calibri"/>
                <w:sz w:val="24"/>
                <w:szCs w:val="24"/>
              </w:rPr>
            </w:pPr>
            <w:r w:rsidRPr="00EE1DEE">
              <w:rPr>
                <w:rFonts w:ascii="Calibri" w:eastAsia="Times New Roman" w:hAnsi="Calibri" w:cs="Calibri"/>
                <w:sz w:val="24"/>
                <w:szCs w:val="24"/>
              </w:rPr>
              <w:t>$4,200</w:t>
            </w:r>
          </w:p>
        </w:tc>
        <w:tc>
          <w:tcPr>
            <w:tcW w:w="1004" w:type="dxa"/>
            <w:tcBorders>
              <w:left w:val="dotted" w:sz="4" w:space="0" w:color="auto"/>
            </w:tcBorders>
            <w:noWrap/>
            <w:hideMark/>
          </w:tcPr>
          <w:p w14:paraId="1523ADFB" w14:textId="327CAA01" w:rsidR="007F23A3" w:rsidRPr="00EE1DEE" w:rsidRDefault="007F23A3" w:rsidP="006E4E3F">
            <w:pPr>
              <w:jc w:val="center"/>
              <w:rPr>
                <w:rFonts w:ascii="Calibri" w:eastAsia="Times New Roman" w:hAnsi="Calibri" w:cs="Calibri"/>
                <w:color w:val="C00000"/>
                <w:sz w:val="24"/>
                <w:szCs w:val="24"/>
              </w:rPr>
            </w:pPr>
            <w:r w:rsidRPr="00EE1DEE">
              <w:rPr>
                <w:rFonts w:ascii="Calibri" w:eastAsia="Times New Roman" w:hAnsi="Calibri" w:cs="Calibri"/>
                <w:color w:val="C00000"/>
                <w:sz w:val="24"/>
                <w:szCs w:val="24"/>
              </w:rPr>
              <w:t>$6,300</w:t>
            </w:r>
            <w:r w:rsidR="005D0624" w:rsidRPr="00EE1DEE">
              <w:rPr>
                <w:rFonts w:ascii="Calibri" w:eastAsia="Times New Roman" w:hAnsi="Calibri" w:cs="Calibri"/>
                <w:color w:val="C00000"/>
                <w:sz w:val="24"/>
                <w:szCs w:val="24"/>
              </w:rPr>
              <w:t>*</w:t>
            </w:r>
          </w:p>
        </w:tc>
        <w:tc>
          <w:tcPr>
            <w:tcW w:w="885" w:type="dxa"/>
            <w:tcBorders>
              <w:right w:val="dotted" w:sz="4" w:space="0" w:color="auto"/>
            </w:tcBorders>
            <w:noWrap/>
            <w:hideMark/>
          </w:tcPr>
          <w:p w14:paraId="14D632F4" w14:textId="77777777" w:rsidR="007F23A3" w:rsidRPr="00EE1DEE" w:rsidRDefault="007F23A3" w:rsidP="006E4E3F">
            <w:pPr>
              <w:jc w:val="center"/>
              <w:rPr>
                <w:rFonts w:ascii="Calibri" w:eastAsia="Times New Roman" w:hAnsi="Calibri" w:cs="Calibri"/>
                <w:color w:val="000000" w:themeColor="text1"/>
                <w:sz w:val="24"/>
                <w:szCs w:val="24"/>
              </w:rPr>
            </w:pPr>
            <w:r w:rsidRPr="00EE1DEE">
              <w:rPr>
                <w:rFonts w:ascii="Calibri" w:eastAsia="Times New Roman" w:hAnsi="Calibri" w:cs="Calibri"/>
                <w:color w:val="000000" w:themeColor="text1"/>
                <w:sz w:val="24"/>
                <w:szCs w:val="24"/>
              </w:rPr>
              <w:t>$9,100</w:t>
            </w:r>
          </w:p>
        </w:tc>
        <w:tc>
          <w:tcPr>
            <w:tcW w:w="885" w:type="dxa"/>
            <w:tcBorders>
              <w:left w:val="dotted" w:sz="4" w:space="0" w:color="auto"/>
            </w:tcBorders>
            <w:noWrap/>
            <w:hideMark/>
          </w:tcPr>
          <w:p w14:paraId="786D7A07" w14:textId="77777777" w:rsidR="007F23A3" w:rsidRPr="00EE1DEE" w:rsidRDefault="007F23A3" w:rsidP="006E4E3F">
            <w:pPr>
              <w:jc w:val="center"/>
              <w:rPr>
                <w:rFonts w:ascii="Calibri" w:eastAsia="Times New Roman" w:hAnsi="Calibri" w:cs="Calibri"/>
                <w:color w:val="000000" w:themeColor="text1"/>
                <w:sz w:val="24"/>
                <w:szCs w:val="24"/>
              </w:rPr>
            </w:pPr>
            <w:r w:rsidRPr="00EE1DEE">
              <w:rPr>
                <w:rFonts w:ascii="Calibri" w:eastAsia="Times New Roman" w:hAnsi="Calibri" w:cs="Calibri"/>
                <w:color w:val="000000" w:themeColor="text1"/>
                <w:sz w:val="24"/>
                <w:szCs w:val="24"/>
              </w:rPr>
              <w:t>$9,100</w:t>
            </w:r>
          </w:p>
        </w:tc>
        <w:tc>
          <w:tcPr>
            <w:tcW w:w="581" w:type="dxa"/>
            <w:tcBorders>
              <w:right w:val="dotted" w:sz="4" w:space="0" w:color="auto"/>
            </w:tcBorders>
            <w:noWrap/>
            <w:hideMark/>
          </w:tcPr>
          <w:p w14:paraId="1AEF5203" w14:textId="77777777" w:rsidR="007F23A3" w:rsidRPr="00EE1DEE" w:rsidRDefault="007F23A3" w:rsidP="006E4E3F">
            <w:pPr>
              <w:jc w:val="center"/>
              <w:rPr>
                <w:rFonts w:ascii="Calibri" w:eastAsia="Times New Roman" w:hAnsi="Calibri" w:cs="Calibri"/>
                <w:sz w:val="24"/>
                <w:szCs w:val="24"/>
              </w:rPr>
            </w:pPr>
            <w:r w:rsidRPr="00EE1DEE">
              <w:rPr>
                <w:rFonts w:ascii="Calibri" w:eastAsia="Times New Roman" w:hAnsi="Calibri" w:cs="Calibri"/>
                <w:sz w:val="24"/>
                <w:szCs w:val="24"/>
              </w:rPr>
              <w:t>$35</w:t>
            </w:r>
          </w:p>
        </w:tc>
        <w:tc>
          <w:tcPr>
            <w:tcW w:w="701" w:type="dxa"/>
            <w:tcBorders>
              <w:left w:val="dotted" w:sz="4" w:space="0" w:color="auto"/>
            </w:tcBorders>
            <w:noWrap/>
            <w:hideMark/>
          </w:tcPr>
          <w:p w14:paraId="6A29ED1E" w14:textId="210EA973" w:rsidR="007F23A3" w:rsidRPr="00EE1DEE" w:rsidRDefault="007F23A3" w:rsidP="006E4E3F">
            <w:pPr>
              <w:jc w:val="center"/>
              <w:rPr>
                <w:rFonts w:ascii="Calibri" w:eastAsia="Times New Roman" w:hAnsi="Calibri" w:cs="Calibri"/>
                <w:color w:val="C00000"/>
                <w:sz w:val="24"/>
                <w:szCs w:val="24"/>
              </w:rPr>
            </w:pPr>
            <w:r w:rsidRPr="00EE1DEE">
              <w:rPr>
                <w:rFonts w:ascii="Calibri" w:eastAsia="Times New Roman" w:hAnsi="Calibri" w:cs="Calibri"/>
                <w:color w:val="C00000"/>
                <w:sz w:val="24"/>
                <w:szCs w:val="24"/>
              </w:rPr>
              <w:t>$70</w:t>
            </w:r>
            <w:r w:rsidR="005D0624" w:rsidRPr="00EE1DEE">
              <w:rPr>
                <w:rFonts w:ascii="Calibri" w:eastAsia="Times New Roman" w:hAnsi="Calibri" w:cs="Calibri"/>
                <w:color w:val="C00000"/>
                <w:sz w:val="24"/>
                <w:szCs w:val="24"/>
              </w:rPr>
              <w:t>*</w:t>
            </w:r>
          </w:p>
        </w:tc>
        <w:tc>
          <w:tcPr>
            <w:tcW w:w="720" w:type="dxa"/>
            <w:tcBorders>
              <w:right w:val="dotted" w:sz="4" w:space="0" w:color="auto"/>
            </w:tcBorders>
            <w:noWrap/>
            <w:hideMark/>
          </w:tcPr>
          <w:p w14:paraId="657A824B" w14:textId="77777777" w:rsidR="007F23A3" w:rsidRPr="00EE1DEE" w:rsidRDefault="007F23A3" w:rsidP="006E4E3F">
            <w:pPr>
              <w:jc w:val="center"/>
              <w:rPr>
                <w:rFonts w:ascii="Calibri" w:eastAsia="Times New Roman" w:hAnsi="Calibri" w:cs="Calibri"/>
                <w:sz w:val="24"/>
                <w:szCs w:val="24"/>
              </w:rPr>
            </w:pPr>
            <w:r w:rsidRPr="00EE1DEE">
              <w:rPr>
                <w:rFonts w:ascii="Calibri" w:eastAsia="Times New Roman" w:hAnsi="Calibri" w:cs="Calibri"/>
                <w:sz w:val="24"/>
                <w:szCs w:val="24"/>
              </w:rPr>
              <w:t>$80</w:t>
            </w:r>
          </w:p>
        </w:tc>
        <w:tc>
          <w:tcPr>
            <w:tcW w:w="1393" w:type="dxa"/>
            <w:tcBorders>
              <w:left w:val="dotted" w:sz="4" w:space="0" w:color="auto"/>
            </w:tcBorders>
            <w:noWrap/>
            <w:hideMark/>
          </w:tcPr>
          <w:p w14:paraId="27E574C1" w14:textId="49F0B726" w:rsidR="007F23A3" w:rsidRPr="00EE1DEE" w:rsidRDefault="007F23A3" w:rsidP="006E4E3F">
            <w:pPr>
              <w:jc w:val="center"/>
              <w:rPr>
                <w:rFonts w:ascii="Calibri" w:eastAsia="Times New Roman" w:hAnsi="Calibri" w:cs="Calibri"/>
                <w:b/>
                <w:bCs/>
                <w:color w:val="C00000"/>
                <w:sz w:val="24"/>
                <w:szCs w:val="24"/>
              </w:rPr>
            </w:pPr>
            <w:r w:rsidRPr="00EE1DEE">
              <w:rPr>
                <w:rFonts w:ascii="Calibri" w:eastAsia="Times New Roman" w:hAnsi="Calibri" w:cs="Calibri"/>
                <w:color w:val="C00000"/>
                <w:sz w:val="24"/>
                <w:szCs w:val="24"/>
              </w:rPr>
              <w:t>$130</w:t>
            </w:r>
            <w:r w:rsidRPr="00EE1DEE">
              <w:rPr>
                <w:rFonts w:ascii="Calibri" w:eastAsia="Times New Roman" w:hAnsi="Calibri" w:cs="Calibri"/>
                <w:b/>
                <w:bCs/>
                <w:color w:val="C00000"/>
                <w:sz w:val="24"/>
                <w:szCs w:val="24"/>
              </w:rPr>
              <w:t xml:space="preserve"> after deductible</w:t>
            </w:r>
            <w:r w:rsidR="005D0624" w:rsidRPr="00EE1DEE">
              <w:rPr>
                <w:rFonts w:ascii="Calibri" w:eastAsia="Times New Roman" w:hAnsi="Calibri" w:cs="Calibri"/>
                <w:b/>
                <w:bCs/>
                <w:color w:val="C00000"/>
                <w:sz w:val="24"/>
                <w:szCs w:val="24"/>
              </w:rPr>
              <w:t>*</w:t>
            </w:r>
          </w:p>
        </w:tc>
      </w:tr>
      <w:tr w:rsidR="007F23A3" w:rsidRPr="00EE1DEE" w14:paraId="53F6F478" w14:textId="77777777" w:rsidTr="00EE1DEE">
        <w:trPr>
          <w:trHeight w:val="872"/>
          <w:jc w:val="center"/>
        </w:trPr>
        <w:tc>
          <w:tcPr>
            <w:tcW w:w="1014" w:type="dxa"/>
            <w:noWrap/>
            <w:hideMark/>
          </w:tcPr>
          <w:p w14:paraId="6E15591A" w14:textId="77777777" w:rsidR="007F23A3" w:rsidRPr="00EE1DEE" w:rsidRDefault="007F23A3" w:rsidP="006E4E3F">
            <w:pPr>
              <w:rPr>
                <w:rFonts w:ascii="Calibri" w:eastAsia="Times New Roman" w:hAnsi="Calibri" w:cs="Calibri"/>
                <w:sz w:val="24"/>
                <w:szCs w:val="24"/>
              </w:rPr>
            </w:pPr>
            <w:r w:rsidRPr="00EE1DEE">
              <w:rPr>
                <w:rFonts w:ascii="Calibri" w:eastAsia="Times New Roman" w:hAnsi="Calibri" w:cs="Calibri"/>
                <w:sz w:val="24"/>
                <w:szCs w:val="24"/>
              </w:rPr>
              <w:t>Harvard Pilgrim</w:t>
            </w:r>
          </w:p>
        </w:tc>
        <w:tc>
          <w:tcPr>
            <w:tcW w:w="2311" w:type="dxa"/>
            <w:noWrap/>
            <w:hideMark/>
          </w:tcPr>
          <w:p w14:paraId="4408218C" w14:textId="77777777" w:rsidR="007F23A3" w:rsidRPr="00EE1DEE" w:rsidRDefault="007F23A3" w:rsidP="006E4E3F">
            <w:pPr>
              <w:rPr>
                <w:rFonts w:ascii="Calibri" w:eastAsia="Times New Roman" w:hAnsi="Calibri" w:cs="Calibri"/>
                <w:sz w:val="24"/>
                <w:szCs w:val="24"/>
                <w:u w:val="single"/>
              </w:rPr>
            </w:pPr>
            <w:r w:rsidRPr="00EE1DEE">
              <w:rPr>
                <w:rFonts w:ascii="Calibri" w:eastAsia="Times New Roman" w:hAnsi="Calibri" w:cs="Calibri"/>
                <w:sz w:val="24"/>
                <w:szCs w:val="24"/>
              </w:rPr>
              <w:t>Clear Choice Maine's Choice Plus HMO Silver 4200</w:t>
            </w:r>
          </w:p>
        </w:tc>
        <w:tc>
          <w:tcPr>
            <w:tcW w:w="710" w:type="dxa"/>
            <w:tcBorders>
              <w:right w:val="dotted" w:sz="4" w:space="0" w:color="auto"/>
            </w:tcBorders>
            <w:noWrap/>
            <w:hideMark/>
          </w:tcPr>
          <w:p w14:paraId="06FBCF4E" w14:textId="77777777" w:rsidR="007F23A3" w:rsidRPr="00EE1DEE" w:rsidRDefault="007F23A3" w:rsidP="006E4E3F">
            <w:pPr>
              <w:jc w:val="center"/>
              <w:rPr>
                <w:rFonts w:ascii="Calibri" w:eastAsia="Times New Roman" w:hAnsi="Calibri" w:cs="Calibri"/>
                <w:sz w:val="24"/>
                <w:szCs w:val="24"/>
              </w:rPr>
            </w:pPr>
            <w:r w:rsidRPr="00EE1DEE">
              <w:rPr>
                <w:rFonts w:ascii="Calibri" w:eastAsia="Times New Roman" w:hAnsi="Calibri" w:cs="Calibri"/>
                <w:sz w:val="24"/>
                <w:szCs w:val="24"/>
              </w:rPr>
              <w:t>$4,200</w:t>
            </w:r>
          </w:p>
        </w:tc>
        <w:tc>
          <w:tcPr>
            <w:tcW w:w="1004" w:type="dxa"/>
            <w:tcBorders>
              <w:left w:val="dotted" w:sz="4" w:space="0" w:color="auto"/>
            </w:tcBorders>
            <w:noWrap/>
            <w:hideMark/>
          </w:tcPr>
          <w:p w14:paraId="054C95D7" w14:textId="7392C26D" w:rsidR="007F23A3" w:rsidRPr="00EE1DEE" w:rsidRDefault="007F23A3" w:rsidP="006E4E3F">
            <w:pPr>
              <w:jc w:val="center"/>
              <w:rPr>
                <w:rFonts w:ascii="Calibri" w:eastAsia="Times New Roman" w:hAnsi="Calibri" w:cs="Calibri"/>
                <w:color w:val="C00000"/>
                <w:sz w:val="24"/>
                <w:szCs w:val="24"/>
              </w:rPr>
            </w:pPr>
            <w:r w:rsidRPr="00EE1DEE">
              <w:rPr>
                <w:rFonts w:ascii="Calibri" w:eastAsia="Times New Roman" w:hAnsi="Calibri" w:cs="Calibri"/>
                <w:color w:val="C00000"/>
                <w:sz w:val="24"/>
                <w:szCs w:val="24"/>
              </w:rPr>
              <w:t>$7,000</w:t>
            </w:r>
            <w:r w:rsidR="005D0624" w:rsidRPr="00EE1DEE">
              <w:rPr>
                <w:rFonts w:ascii="Calibri" w:eastAsia="Times New Roman" w:hAnsi="Calibri" w:cs="Calibri"/>
                <w:color w:val="C00000"/>
                <w:sz w:val="24"/>
                <w:szCs w:val="24"/>
              </w:rPr>
              <w:t>*</w:t>
            </w:r>
          </w:p>
        </w:tc>
        <w:tc>
          <w:tcPr>
            <w:tcW w:w="885" w:type="dxa"/>
            <w:tcBorders>
              <w:right w:val="dotted" w:sz="4" w:space="0" w:color="auto"/>
            </w:tcBorders>
            <w:noWrap/>
            <w:hideMark/>
          </w:tcPr>
          <w:p w14:paraId="661D1CEA" w14:textId="77777777" w:rsidR="007F23A3" w:rsidRPr="00EE1DEE" w:rsidRDefault="007F23A3" w:rsidP="006E4E3F">
            <w:pPr>
              <w:jc w:val="center"/>
              <w:rPr>
                <w:rFonts w:ascii="Calibri" w:eastAsia="Times New Roman" w:hAnsi="Calibri" w:cs="Calibri"/>
                <w:color w:val="000000" w:themeColor="text1"/>
                <w:sz w:val="24"/>
                <w:szCs w:val="24"/>
              </w:rPr>
            </w:pPr>
            <w:r w:rsidRPr="00EE1DEE">
              <w:rPr>
                <w:rFonts w:ascii="Calibri" w:eastAsia="Times New Roman" w:hAnsi="Calibri" w:cs="Calibri"/>
                <w:color w:val="000000" w:themeColor="text1"/>
                <w:sz w:val="24"/>
                <w:szCs w:val="24"/>
              </w:rPr>
              <w:t>$9,100</w:t>
            </w:r>
          </w:p>
        </w:tc>
        <w:tc>
          <w:tcPr>
            <w:tcW w:w="885" w:type="dxa"/>
            <w:tcBorders>
              <w:left w:val="dotted" w:sz="4" w:space="0" w:color="auto"/>
            </w:tcBorders>
            <w:noWrap/>
            <w:hideMark/>
          </w:tcPr>
          <w:p w14:paraId="05EB259D" w14:textId="77777777" w:rsidR="007F23A3" w:rsidRPr="00EE1DEE" w:rsidRDefault="007F23A3" w:rsidP="006E4E3F">
            <w:pPr>
              <w:jc w:val="center"/>
              <w:rPr>
                <w:rFonts w:ascii="Calibri" w:eastAsia="Times New Roman" w:hAnsi="Calibri" w:cs="Calibri"/>
                <w:color w:val="000000" w:themeColor="text1"/>
                <w:sz w:val="24"/>
                <w:szCs w:val="24"/>
              </w:rPr>
            </w:pPr>
            <w:r w:rsidRPr="00EE1DEE">
              <w:rPr>
                <w:rFonts w:ascii="Calibri" w:eastAsia="Times New Roman" w:hAnsi="Calibri" w:cs="Calibri"/>
                <w:color w:val="000000" w:themeColor="text1"/>
                <w:sz w:val="24"/>
                <w:szCs w:val="24"/>
              </w:rPr>
              <w:t>$9,100</w:t>
            </w:r>
          </w:p>
        </w:tc>
        <w:tc>
          <w:tcPr>
            <w:tcW w:w="581" w:type="dxa"/>
            <w:tcBorders>
              <w:right w:val="dotted" w:sz="4" w:space="0" w:color="auto"/>
            </w:tcBorders>
            <w:noWrap/>
            <w:hideMark/>
          </w:tcPr>
          <w:p w14:paraId="290E9B07" w14:textId="77777777" w:rsidR="007F23A3" w:rsidRPr="00EE1DEE" w:rsidRDefault="007F23A3" w:rsidP="006E4E3F">
            <w:pPr>
              <w:jc w:val="center"/>
              <w:rPr>
                <w:rFonts w:ascii="Calibri" w:eastAsia="Times New Roman" w:hAnsi="Calibri" w:cs="Calibri"/>
                <w:sz w:val="24"/>
                <w:szCs w:val="24"/>
              </w:rPr>
            </w:pPr>
            <w:r w:rsidRPr="00EE1DEE">
              <w:rPr>
                <w:rFonts w:ascii="Calibri" w:eastAsia="Times New Roman" w:hAnsi="Calibri" w:cs="Calibri"/>
                <w:sz w:val="24"/>
                <w:szCs w:val="24"/>
              </w:rPr>
              <w:t>$50</w:t>
            </w:r>
          </w:p>
        </w:tc>
        <w:tc>
          <w:tcPr>
            <w:tcW w:w="701" w:type="dxa"/>
            <w:tcBorders>
              <w:left w:val="dotted" w:sz="4" w:space="0" w:color="auto"/>
            </w:tcBorders>
            <w:noWrap/>
            <w:hideMark/>
          </w:tcPr>
          <w:p w14:paraId="305E2EB7" w14:textId="4A877718" w:rsidR="007F23A3" w:rsidRPr="00EE1DEE" w:rsidRDefault="007F23A3" w:rsidP="006E4E3F">
            <w:pPr>
              <w:jc w:val="center"/>
              <w:rPr>
                <w:rFonts w:ascii="Calibri" w:eastAsia="Times New Roman" w:hAnsi="Calibri" w:cs="Calibri"/>
                <w:color w:val="C00000"/>
                <w:sz w:val="24"/>
                <w:szCs w:val="24"/>
              </w:rPr>
            </w:pPr>
            <w:r w:rsidRPr="00EE1DEE">
              <w:rPr>
                <w:rFonts w:ascii="Calibri" w:eastAsia="Times New Roman" w:hAnsi="Calibri" w:cs="Calibri"/>
                <w:color w:val="C00000"/>
                <w:sz w:val="24"/>
                <w:szCs w:val="24"/>
              </w:rPr>
              <w:t>$80</w:t>
            </w:r>
            <w:r w:rsidR="005D0624" w:rsidRPr="00EE1DEE">
              <w:rPr>
                <w:rFonts w:ascii="Calibri" w:eastAsia="Times New Roman" w:hAnsi="Calibri" w:cs="Calibri"/>
                <w:color w:val="C00000"/>
                <w:sz w:val="24"/>
                <w:szCs w:val="24"/>
              </w:rPr>
              <w:t>*</w:t>
            </w:r>
          </w:p>
        </w:tc>
        <w:tc>
          <w:tcPr>
            <w:tcW w:w="720" w:type="dxa"/>
            <w:tcBorders>
              <w:right w:val="dotted" w:sz="4" w:space="0" w:color="auto"/>
            </w:tcBorders>
            <w:noWrap/>
            <w:hideMark/>
          </w:tcPr>
          <w:p w14:paraId="2832EDC9" w14:textId="77777777" w:rsidR="007F23A3" w:rsidRPr="00EE1DEE" w:rsidRDefault="007F23A3" w:rsidP="006E4E3F">
            <w:pPr>
              <w:jc w:val="center"/>
              <w:rPr>
                <w:rFonts w:ascii="Calibri" w:eastAsia="Times New Roman" w:hAnsi="Calibri" w:cs="Calibri"/>
                <w:sz w:val="24"/>
                <w:szCs w:val="24"/>
              </w:rPr>
            </w:pPr>
            <w:r w:rsidRPr="00EE1DEE">
              <w:rPr>
                <w:rFonts w:ascii="Calibri" w:eastAsia="Times New Roman" w:hAnsi="Calibri" w:cs="Calibri"/>
                <w:sz w:val="24"/>
                <w:szCs w:val="24"/>
              </w:rPr>
              <w:t>$80</w:t>
            </w:r>
          </w:p>
        </w:tc>
        <w:tc>
          <w:tcPr>
            <w:tcW w:w="1393" w:type="dxa"/>
            <w:tcBorders>
              <w:left w:val="dotted" w:sz="4" w:space="0" w:color="auto"/>
            </w:tcBorders>
            <w:noWrap/>
            <w:hideMark/>
          </w:tcPr>
          <w:p w14:paraId="44D9008D" w14:textId="32AF0812" w:rsidR="007F23A3" w:rsidRPr="00EE1DEE" w:rsidRDefault="007F23A3" w:rsidP="006E4E3F">
            <w:pPr>
              <w:jc w:val="center"/>
              <w:rPr>
                <w:rFonts w:ascii="Calibri" w:eastAsia="Times New Roman" w:hAnsi="Calibri" w:cs="Calibri"/>
                <w:color w:val="C00000"/>
                <w:sz w:val="24"/>
                <w:szCs w:val="24"/>
              </w:rPr>
            </w:pPr>
            <w:r w:rsidRPr="00EE1DEE">
              <w:rPr>
                <w:rFonts w:ascii="Calibri" w:eastAsia="Times New Roman" w:hAnsi="Calibri" w:cs="Calibri"/>
                <w:color w:val="C00000"/>
                <w:sz w:val="24"/>
                <w:szCs w:val="24"/>
              </w:rPr>
              <w:t>$110</w:t>
            </w:r>
            <w:r w:rsidR="005D0624" w:rsidRPr="00EE1DEE">
              <w:rPr>
                <w:rFonts w:ascii="Calibri" w:eastAsia="Times New Roman" w:hAnsi="Calibri" w:cs="Calibri"/>
                <w:color w:val="C00000"/>
                <w:sz w:val="24"/>
                <w:szCs w:val="24"/>
              </w:rPr>
              <w:t>*</w:t>
            </w:r>
          </w:p>
        </w:tc>
      </w:tr>
    </w:tbl>
    <w:p w14:paraId="7D5CEDD3" w14:textId="77777777" w:rsidR="00E34607" w:rsidRPr="00EE1DEE" w:rsidRDefault="007F23A3" w:rsidP="00E34607">
      <w:pPr>
        <w:rPr>
          <w:rFonts w:ascii="Calibri" w:eastAsia="Times New Roman" w:hAnsi="Calibri" w:cs="Calibri"/>
        </w:rPr>
      </w:pPr>
      <w:r w:rsidRPr="00EE1DEE">
        <w:rPr>
          <w:rFonts w:ascii="Calibri" w:hAnsi="Calibri" w:cs="Calibri"/>
          <w:color w:val="C00000"/>
        </w:rPr>
        <w:t>*Cost-sharing is higher than the amount specified in the base Clear Choice plan design.</w:t>
      </w:r>
      <w:r w:rsidRPr="00EE1DEE">
        <w:rPr>
          <w:rFonts w:ascii="Calibri" w:hAnsi="Calibri" w:cs="Calibri"/>
          <w:color w:val="C00000"/>
        </w:rPr>
        <w:br/>
      </w:r>
    </w:p>
    <w:p w14:paraId="661200BC" w14:textId="32DC673E" w:rsidR="00CA0A94" w:rsidRDefault="00E34607" w:rsidP="00E34607">
      <w:pPr>
        <w:rPr>
          <w:rFonts w:ascii="Calibri" w:eastAsia="Times New Roman" w:hAnsi="Calibri" w:cs="Calibri"/>
        </w:rPr>
      </w:pPr>
      <w:r w:rsidRPr="00EE1DEE">
        <w:rPr>
          <w:rFonts w:ascii="Calibri" w:eastAsia="Times New Roman" w:hAnsi="Calibri" w:cs="Calibri"/>
        </w:rPr>
        <w:t>Tiered network designs should only be permitted in Clear Choice Plans if</w:t>
      </w:r>
      <w:r w:rsidR="00A53F8E" w:rsidRPr="00EE1DEE">
        <w:rPr>
          <w:rFonts w:ascii="Calibri" w:eastAsia="Times New Roman" w:hAnsi="Calibri" w:cs="Calibri"/>
        </w:rPr>
        <w:t xml:space="preserve"> the</w:t>
      </w:r>
      <w:r w:rsidR="009D176E" w:rsidRPr="009D176E">
        <w:rPr>
          <w:rFonts w:ascii="Calibri" w:eastAsia="Times New Roman" w:hAnsi="Calibri" w:cs="Calibri"/>
        </w:rPr>
        <w:t xml:space="preserve"> </w:t>
      </w:r>
      <w:r w:rsidR="009D176E" w:rsidRPr="00EE1DEE">
        <w:rPr>
          <w:rFonts w:ascii="Calibri" w:eastAsia="Times New Roman" w:hAnsi="Calibri" w:cs="Calibri"/>
        </w:rPr>
        <w:t>tier that provides the lowest level of coverage under the plan</w:t>
      </w:r>
      <w:r w:rsidR="00F32C0A" w:rsidRPr="00EE1DEE">
        <w:rPr>
          <w:rFonts w:ascii="Calibri" w:eastAsia="Times New Roman" w:hAnsi="Calibri" w:cs="Calibri"/>
        </w:rPr>
        <w:t xml:space="preserve"> utilizes the </w:t>
      </w:r>
      <w:r w:rsidR="006A6594">
        <w:rPr>
          <w:rFonts w:ascii="Calibri" w:eastAsia="Times New Roman" w:hAnsi="Calibri" w:cs="Calibri"/>
        </w:rPr>
        <w:t xml:space="preserve">standardized </w:t>
      </w:r>
      <w:r w:rsidR="00F32C0A" w:rsidRPr="00EE1DEE">
        <w:rPr>
          <w:rFonts w:ascii="Calibri" w:eastAsia="Times New Roman" w:hAnsi="Calibri" w:cs="Calibri"/>
        </w:rPr>
        <w:t xml:space="preserve">Clear Choice </w:t>
      </w:r>
      <w:r w:rsidR="006A6594">
        <w:rPr>
          <w:rFonts w:ascii="Calibri" w:eastAsia="Times New Roman" w:hAnsi="Calibri" w:cs="Calibri"/>
        </w:rPr>
        <w:t xml:space="preserve">cost-sharing </w:t>
      </w:r>
      <w:r w:rsidR="007E7B62">
        <w:rPr>
          <w:rFonts w:ascii="Calibri" w:eastAsia="Times New Roman" w:hAnsi="Calibri" w:cs="Calibri"/>
        </w:rPr>
        <w:lastRenderedPageBreak/>
        <w:t>structure</w:t>
      </w:r>
      <w:r w:rsidR="00684C02">
        <w:rPr>
          <w:rFonts w:ascii="Calibri" w:eastAsia="Times New Roman" w:hAnsi="Calibri" w:cs="Calibri"/>
        </w:rPr>
        <w:t xml:space="preserve"> </w:t>
      </w:r>
      <w:r w:rsidR="009D176E">
        <w:rPr>
          <w:rFonts w:ascii="Calibri" w:eastAsia="Times New Roman" w:hAnsi="Calibri" w:cs="Calibri"/>
        </w:rPr>
        <w:t xml:space="preserve">established </w:t>
      </w:r>
      <w:r w:rsidR="006065B9">
        <w:rPr>
          <w:rFonts w:ascii="Calibri" w:eastAsia="Times New Roman" w:hAnsi="Calibri" w:cs="Calibri"/>
        </w:rPr>
        <w:t xml:space="preserve">by the Bureau of Insurance </w:t>
      </w:r>
      <w:r w:rsidR="009D176E">
        <w:rPr>
          <w:rFonts w:ascii="Calibri" w:eastAsia="Times New Roman" w:hAnsi="Calibri" w:cs="Calibri"/>
        </w:rPr>
        <w:t>for th</w:t>
      </w:r>
      <w:r w:rsidR="006065B9">
        <w:rPr>
          <w:rFonts w:ascii="Calibri" w:eastAsia="Times New Roman" w:hAnsi="Calibri" w:cs="Calibri"/>
        </w:rPr>
        <w:t>at particular plan design</w:t>
      </w:r>
      <w:r w:rsidR="00F32C0A" w:rsidRPr="00EE1DEE">
        <w:rPr>
          <w:rFonts w:ascii="Calibri" w:eastAsia="Times New Roman" w:hAnsi="Calibri" w:cs="Calibri"/>
        </w:rPr>
        <w:t xml:space="preserve">. We do not object to carriers attempting to steer consumers to </w:t>
      </w:r>
      <w:r w:rsidR="005579FB" w:rsidRPr="00EE1DEE">
        <w:rPr>
          <w:rFonts w:ascii="Calibri" w:eastAsia="Times New Roman" w:hAnsi="Calibri" w:cs="Calibri"/>
        </w:rPr>
        <w:t xml:space="preserve">high-value providers by offering a </w:t>
      </w:r>
      <w:r w:rsidR="00F32C0A" w:rsidRPr="00EE1DEE">
        <w:rPr>
          <w:rFonts w:ascii="Calibri" w:eastAsia="Times New Roman" w:hAnsi="Calibri" w:cs="Calibri"/>
        </w:rPr>
        <w:t xml:space="preserve">preferred network </w:t>
      </w:r>
      <w:r w:rsidR="005579FB" w:rsidRPr="00EE1DEE">
        <w:rPr>
          <w:rFonts w:ascii="Calibri" w:eastAsia="Times New Roman" w:hAnsi="Calibri" w:cs="Calibri"/>
        </w:rPr>
        <w:t xml:space="preserve">with </w:t>
      </w:r>
      <w:r w:rsidRPr="00EE1DEE">
        <w:rPr>
          <w:rFonts w:ascii="Calibri" w:eastAsia="Times New Roman" w:hAnsi="Calibri" w:cs="Calibri"/>
        </w:rPr>
        <w:t>reduced cost-sharing amounts</w:t>
      </w:r>
      <w:r w:rsidR="005579FB" w:rsidRPr="00EE1DEE">
        <w:rPr>
          <w:rFonts w:ascii="Calibri" w:eastAsia="Times New Roman" w:hAnsi="Calibri" w:cs="Calibri"/>
        </w:rPr>
        <w:t xml:space="preserve">. However, any reduction in cost-sharing should be a reduction from whatever the designated cost-sharing amount for that particular service </w:t>
      </w:r>
      <w:r w:rsidR="004C2FE1">
        <w:rPr>
          <w:rFonts w:ascii="Calibri" w:eastAsia="Times New Roman" w:hAnsi="Calibri" w:cs="Calibri"/>
        </w:rPr>
        <w:t>would be</w:t>
      </w:r>
      <w:r w:rsidR="005579FB" w:rsidRPr="00EE1DEE">
        <w:rPr>
          <w:rFonts w:ascii="Calibri" w:eastAsia="Times New Roman" w:hAnsi="Calibri" w:cs="Calibri"/>
        </w:rPr>
        <w:t xml:space="preserve"> under the Clear Choice design developed by the Bureau. When shopping for plans, c</w:t>
      </w:r>
      <w:r w:rsidRPr="00EE1DEE">
        <w:rPr>
          <w:rFonts w:ascii="Calibri" w:eastAsia="Times New Roman" w:hAnsi="Calibri" w:cs="Calibri"/>
        </w:rPr>
        <w:t xml:space="preserve">onsumers should be able to enroll in a </w:t>
      </w:r>
      <w:r w:rsidR="005579FB" w:rsidRPr="00EE1DEE">
        <w:rPr>
          <w:rFonts w:ascii="Calibri" w:eastAsia="Times New Roman" w:hAnsi="Calibri" w:cs="Calibri"/>
        </w:rPr>
        <w:t>C</w:t>
      </w:r>
      <w:r w:rsidRPr="00EE1DEE">
        <w:rPr>
          <w:rFonts w:ascii="Calibri" w:eastAsia="Times New Roman" w:hAnsi="Calibri" w:cs="Calibri"/>
        </w:rPr>
        <w:t xml:space="preserve">lear </w:t>
      </w:r>
      <w:r w:rsidR="005579FB" w:rsidRPr="00EE1DEE">
        <w:rPr>
          <w:rFonts w:ascii="Calibri" w:eastAsia="Times New Roman" w:hAnsi="Calibri" w:cs="Calibri"/>
        </w:rPr>
        <w:t>C</w:t>
      </w:r>
      <w:r w:rsidRPr="00EE1DEE">
        <w:rPr>
          <w:rFonts w:ascii="Calibri" w:eastAsia="Times New Roman" w:hAnsi="Calibri" w:cs="Calibri"/>
        </w:rPr>
        <w:t xml:space="preserve">hoice plan with the assurance that they will not have to pay any more for </w:t>
      </w:r>
      <w:r w:rsidR="005579FB" w:rsidRPr="00EE1DEE">
        <w:rPr>
          <w:rFonts w:ascii="Calibri" w:eastAsia="Times New Roman" w:hAnsi="Calibri" w:cs="Calibri"/>
        </w:rPr>
        <w:t xml:space="preserve">a </w:t>
      </w:r>
      <w:r w:rsidRPr="00EE1DEE">
        <w:rPr>
          <w:rFonts w:ascii="Calibri" w:eastAsia="Times New Roman" w:hAnsi="Calibri" w:cs="Calibri"/>
        </w:rPr>
        <w:t>covered in-network service</w:t>
      </w:r>
      <w:r w:rsidR="005579FB" w:rsidRPr="00EE1DEE">
        <w:rPr>
          <w:rFonts w:ascii="Calibri" w:eastAsia="Times New Roman" w:hAnsi="Calibri" w:cs="Calibri"/>
        </w:rPr>
        <w:t xml:space="preserve"> or prescription drug,</w:t>
      </w:r>
      <w:r w:rsidRPr="00EE1DEE">
        <w:rPr>
          <w:rFonts w:ascii="Calibri" w:eastAsia="Times New Roman" w:hAnsi="Calibri" w:cs="Calibri"/>
        </w:rPr>
        <w:t xml:space="preserve"> than the cost-sharing amounts specified in the </w:t>
      </w:r>
      <w:r w:rsidR="005579FB" w:rsidRPr="00EE1DEE">
        <w:rPr>
          <w:rFonts w:ascii="Calibri" w:eastAsia="Times New Roman" w:hAnsi="Calibri" w:cs="Calibri"/>
        </w:rPr>
        <w:t>Cl</w:t>
      </w:r>
      <w:r w:rsidRPr="00EE1DEE">
        <w:rPr>
          <w:rFonts w:ascii="Calibri" w:eastAsia="Times New Roman" w:hAnsi="Calibri" w:cs="Calibri"/>
        </w:rPr>
        <w:t xml:space="preserve">ear </w:t>
      </w:r>
      <w:r w:rsidR="005579FB" w:rsidRPr="00EE1DEE">
        <w:rPr>
          <w:rFonts w:ascii="Calibri" w:eastAsia="Times New Roman" w:hAnsi="Calibri" w:cs="Calibri"/>
        </w:rPr>
        <w:t>C</w:t>
      </w:r>
      <w:r w:rsidRPr="00EE1DEE">
        <w:rPr>
          <w:rFonts w:ascii="Calibri" w:eastAsia="Times New Roman" w:hAnsi="Calibri" w:cs="Calibri"/>
        </w:rPr>
        <w:t>hoice benefit design for that plan.</w:t>
      </w:r>
      <w:r w:rsidR="005579FB" w:rsidRPr="00EE1DEE">
        <w:rPr>
          <w:rFonts w:ascii="Calibri" w:eastAsia="Times New Roman" w:hAnsi="Calibri" w:cs="Calibri"/>
        </w:rPr>
        <w:t xml:space="preserve"> The benefit structure established in a Clear Choice benefit design should set the floor for the level of benefits offered in any Clear Choice plan utilizing that </w:t>
      </w:r>
      <w:r w:rsidR="005520B1" w:rsidRPr="00EE1DEE">
        <w:rPr>
          <w:rFonts w:ascii="Calibri" w:eastAsia="Times New Roman" w:hAnsi="Calibri" w:cs="Calibri"/>
        </w:rPr>
        <w:t>benefit design. Otherwise, labeling these plans as “Clear Choice” is highly misleading to consumers</w:t>
      </w:r>
      <w:r w:rsidR="00C3408F">
        <w:rPr>
          <w:rFonts w:ascii="Calibri" w:eastAsia="Times New Roman" w:hAnsi="Calibri" w:cs="Calibri"/>
        </w:rPr>
        <w:t>,</w:t>
      </w:r>
      <w:r w:rsidRPr="00EE1DEE">
        <w:rPr>
          <w:rFonts w:ascii="Calibri" w:eastAsia="Times New Roman" w:hAnsi="Calibri" w:cs="Calibri"/>
        </w:rPr>
        <w:t xml:space="preserve"> </w:t>
      </w:r>
      <w:r w:rsidR="005520B1" w:rsidRPr="00EE1DEE">
        <w:rPr>
          <w:rFonts w:ascii="Calibri" w:eastAsia="Times New Roman" w:hAnsi="Calibri" w:cs="Calibri"/>
        </w:rPr>
        <w:t xml:space="preserve">who may be </w:t>
      </w:r>
      <w:r w:rsidRPr="00EE1DEE">
        <w:rPr>
          <w:rFonts w:ascii="Calibri" w:eastAsia="Times New Roman" w:hAnsi="Calibri" w:cs="Calibri"/>
        </w:rPr>
        <w:t>left on the hook for medical bills that</w:t>
      </w:r>
      <w:r w:rsidR="005520B1" w:rsidRPr="00EE1DEE">
        <w:rPr>
          <w:rFonts w:ascii="Calibri" w:eastAsia="Times New Roman" w:hAnsi="Calibri" w:cs="Calibri"/>
        </w:rPr>
        <w:t xml:space="preserve"> far exceed how much they </w:t>
      </w:r>
      <w:r w:rsidRPr="00EE1DEE">
        <w:rPr>
          <w:rFonts w:ascii="Calibri" w:eastAsia="Times New Roman" w:hAnsi="Calibri" w:cs="Calibri"/>
        </w:rPr>
        <w:t xml:space="preserve">expected </w:t>
      </w:r>
      <w:r w:rsidR="005520B1" w:rsidRPr="00EE1DEE">
        <w:rPr>
          <w:rFonts w:ascii="Calibri" w:eastAsia="Times New Roman" w:hAnsi="Calibri" w:cs="Calibri"/>
        </w:rPr>
        <w:t>to owe for a</w:t>
      </w:r>
      <w:r w:rsidRPr="00EE1DEE">
        <w:rPr>
          <w:rFonts w:ascii="Calibri" w:eastAsia="Times New Roman" w:hAnsi="Calibri" w:cs="Calibri"/>
        </w:rPr>
        <w:t xml:space="preserve"> covered service</w:t>
      </w:r>
      <w:r w:rsidR="005520B1" w:rsidRPr="00EE1DEE">
        <w:rPr>
          <w:rFonts w:ascii="Calibri" w:eastAsia="Times New Roman" w:hAnsi="Calibri" w:cs="Calibri"/>
        </w:rPr>
        <w:t xml:space="preserve"> or </w:t>
      </w:r>
      <w:r w:rsidRPr="00EE1DEE">
        <w:rPr>
          <w:rFonts w:ascii="Calibri" w:eastAsia="Times New Roman" w:hAnsi="Calibri" w:cs="Calibri"/>
        </w:rPr>
        <w:t>prescription drug</w:t>
      </w:r>
      <w:r w:rsidR="005520B1" w:rsidRPr="00EE1DEE">
        <w:rPr>
          <w:rFonts w:ascii="Calibri" w:eastAsia="Times New Roman" w:hAnsi="Calibri" w:cs="Calibri"/>
        </w:rPr>
        <w:t xml:space="preserve">. </w:t>
      </w:r>
    </w:p>
    <w:p w14:paraId="412DAAC3" w14:textId="77777777" w:rsidR="00CA0A94" w:rsidRDefault="00CA0A94" w:rsidP="00E34607">
      <w:pPr>
        <w:rPr>
          <w:rFonts w:ascii="Calibri" w:eastAsia="Times New Roman" w:hAnsi="Calibri" w:cs="Calibri"/>
        </w:rPr>
      </w:pPr>
    </w:p>
    <w:p w14:paraId="23E647FB" w14:textId="202DC9BE" w:rsidR="00A557CC" w:rsidRPr="00EE1DEE" w:rsidRDefault="005520B1" w:rsidP="00A557CC">
      <w:pPr>
        <w:rPr>
          <w:rFonts w:ascii="Calibri" w:eastAsia="Times New Roman" w:hAnsi="Calibri" w:cs="Calibri"/>
        </w:rPr>
      </w:pPr>
      <w:r w:rsidRPr="00EE1DEE">
        <w:rPr>
          <w:rFonts w:ascii="Calibri" w:eastAsia="Times New Roman" w:hAnsi="Calibri" w:cs="Calibri"/>
          <w:b/>
          <w:bCs/>
        </w:rPr>
        <w:t xml:space="preserve">Strengthen Actuarial Value </w:t>
      </w:r>
      <w:r w:rsidR="005D0624" w:rsidRPr="00EE1DEE">
        <w:rPr>
          <w:rFonts w:ascii="Calibri" w:eastAsia="Times New Roman" w:hAnsi="Calibri" w:cs="Calibri"/>
          <w:b/>
          <w:bCs/>
        </w:rPr>
        <w:t>R</w:t>
      </w:r>
      <w:r w:rsidRPr="00EE1DEE">
        <w:rPr>
          <w:rFonts w:ascii="Calibri" w:eastAsia="Times New Roman" w:hAnsi="Calibri" w:cs="Calibri"/>
          <w:b/>
          <w:bCs/>
        </w:rPr>
        <w:t>equirements for Clear Choice plans</w:t>
      </w:r>
      <w:r w:rsidR="001B20FB">
        <w:rPr>
          <w:rFonts w:ascii="Calibri" w:eastAsia="Times New Roman" w:hAnsi="Calibri" w:cs="Calibri"/>
          <w:b/>
          <w:bCs/>
        </w:rPr>
        <w:t>:</w:t>
      </w:r>
      <w:r w:rsidRPr="00EE1DEE">
        <w:rPr>
          <w:rFonts w:ascii="Calibri" w:eastAsia="Times New Roman" w:hAnsi="Calibri" w:cs="Calibri"/>
        </w:rPr>
        <w:t xml:space="preserve"> In addition to creating confusion, and potentially </w:t>
      </w:r>
      <w:r w:rsidR="00FA1A08">
        <w:rPr>
          <w:rFonts w:ascii="Calibri" w:eastAsia="Times New Roman" w:hAnsi="Calibri" w:cs="Calibri"/>
        </w:rPr>
        <w:t>resulting in</w:t>
      </w:r>
      <w:r w:rsidRPr="00EE1DEE">
        <w:rPr>
          <w:rFonts w:ascii="Calibri" w:eastAsia="Times New Roman" w:hAnsi="Calibri" w:cs="Calibri"/>
        </w:rPr>
        <w:t xml:space="preserve"> unexpected medical bills, </w:t>
      </w:r>
      <w:r w:rsidR="00E34607" w:rsidRPr="00EE1DEE">
        <w:rPr>
          <w:rFonts w:ascii="Calibri" w:eastAsia="Times New Roman" w:hAnsi="Calibri" w:cs="Calibri"/>
        </w:rPr>
        <w:t>tiered benefit structures</w:t>
      </w:r>
      <w:r w:rsidR="00FA1A08">
        <w:rPr>
          <w:rFonts w:ascii="Calibri" w:eastAsia="Times New Roman" w:hAnsi="Calibri" w:cs="Calibri"/>
        </w:rPr>
        <w:t xml:space="preserve"> as</w:t>
      </w:r>
      <w:r w:rsidR="00CA0A94">
        <w:rPr>
          <w:rFonts w:ascii="Calibri" w:eastAsia="Times New Roman" w:hAnsi="Calibri" w:cs="Calibri"/>
        </w:rPr>
        <w:t xml:space="preserve"> are </w:t>
      </w:r>
      <w:r w:rsidR="00A557CC" w:rsidRPr="00EE1DEE">
        <w:rPr>
          <w:rFonts w:ascii="Calibri" w:eastAsia="Times New Roman" w:hAnsi="Calibri" w:cs="Calibri"/>
        </w:rPr>
        <w:t>currently utilized</w:t>
      </w:r>
      <w:r w:rsidR="00CA0A94">
        <w:rPr>
          <w:rFonts w:ascii="Calibri" w:eastAsia="Times New Roman" w:hAnsi="Calibri" w:cs="Calibri"/>
        </w:rPr>
        <w:t xml:space="preserve"> </w:t>
      </w:r>
      <w:r w:rsidRPr="00EE1DEE">
        <w:rPr>
          <w:rFonts w:ascii="Calibri" w:eastAsia="Times New Roman" w:hAnsi="Calibri" w:cs="Calibri"/>
        </w:rPr>
        <w:t>in silver</w:t>
      </w:r>
      <w:r w:rsidR="00A557CC" w:rsidRPr="00EE1DEE">
        <w:rPr>
          <w:rFonts w:ascii="Calibri" w:eastAsia="Times New Roman" w:hAnsi="Calibri" w:cs="Calibri"/>
        </w:rPr>
        <w:t xml:space="preserve">-level </w:t>
      </w:r>
      <w:r w:rsidRPr="00EE1DEE">
        <w:rPr>
          <w:rFonts w:ascii="Calibri" w:eastAsia="Times New Roman" w:hAnsi="Calibri" w:cs="Calibri"/>
        </w:rPr>
        <w:t xml:space="preserve">Clear Choice </w:t>
      </w:r>
      <w:r w:rsidR="00E34607" w:rsidRPr="00EE1DEE">
        <w:rPr>
          <w:rFonts w:ascii="Calibri" w:eastAsia="Times New Roman" w:hAnsi="Calibri" w:cs="Calibri"/>
        </w:rPr>
        <w:t>plans</w:t>
      </w:r>
      <w:r w:rsidRPr="00EE1DEE">
        <w:rPr>
          <w:rFonts w:ascii="Calibri" w:eastAsia="Times New Roman" w:hAnsi="Calibri" w:cs="Calibri"/>
        </w:rPr>
        <w:t xml:space="preserve"> offered on the Marketplace</w:t>
      </w:r>
      <w:r w:rsidR="00CA0A94">
        <w:rPr>
          <w:rFonts w:ascii="Calibri" w:eastAsia="Times New Roman" w:hAnsi="Calibri" w:cs="Calibri"/>
        </w:rPr>
        <w:t>,</w:t>
      </w:r>
      <w:r w:rsidRPr="00EE1DEE">
        <w:rPr>
          <w:rFonts w:ascii="Calibri" w:eastAsia="Times New Roman" w:hAnsi="Calibri" w:cs="Calibri"/>
        </w:rPr>
        <w:t xml:space="preserve"> </w:t>
      </w:r>
      <w:r w:rsidR="00A557CC" w:rsidRPr="00EE1DEE">
        <w:rPr>
          <w:rFonts w:ascii="Calibri" w:eastAsia="Times New Roman" w:hAnsi="Calibri" w:cs="Calibri"/>
        </w:rPr>
        <w:t xml:space="preserve">also </w:t>
      </w:r>
      <w:r w:rsidR="00E34607" w:rsidRPr="00EE1DEE">
        <w:rPr>
          <w:rFonts w:ascii="Calibri" w:eastAsia="Times New Roman" w:hAnsi="Calibri" w:cs="Calibri"/>
        </w:rPr>
        <w:t xml:space="preserve">make it more expensive for consumers to </w:t>
      </w:r>
      <w:r w:rsidR="00A557CC" w:rsidRPr="00EE1DEE">
        <w:rPr>
          <w:rFonts w:ascii="Calibri" w:eastAsia="Times New Roman" w:hAnsi="Calibri" w:cs="Calibri"/>
        </w:rPr>
        <w:t>obtain the levels of coverage provided i</w:t>
      </w:r>
      <w:r w:rsidR="00E34607" w:rsidRPr="00EE1DEE">
        <w:rPr>
          <w:rFonts w:ascii="Calibri" w:eastAsia="Times New Roman" w:hAnsi="Calibri" w:cs="Calibri"/>
        </w:rPr>
        <w:t xml:space="preserve">n the </w:t>
      </w:r>
      <w:r w:rsidR="00A557CC" w:rsidRPr="00EE1DEE">
        <w:rPr>
          <w:rFonts w:ascii="Calibri" w:eastAsia="Times New Roman" w:hAnsi="Calibri" w:cs="Calibri"/>
        </w:rPr>
        <w:t xml:space="preserve">Clear Choice </w:t>
      </w:r>
      <w:r w:rsidR="00E34607" w:rsidRPr="00EE1DEE">
        <w:rPr>
          <w:rFonts w:ascii="Calibri" w:eastAsia="Times New Roman" w:hAnsi="Calibri" w:cs="Calibri"/>
        </w:rPr>
        <w:t>benefit designs established by the Bureau. For example, in Kennebec County, the five</w:t>
      </w:r>
      <w:r w:rsidR="00A557CC" w:rsidRPr="00EE1DEE">
        <w:rPr>
          <w:rFonts w:ascii="Calibri" w:eastAsia="Times New Roman" w:hAnsi="Calibri" w:cs="Calibri"/>
        </w:rPr>
        <w:t xml:space="preserve"> lowest-cost silver</w:t>
      </w:r>
      <w:r w:rsidR="00E34607" w:rsidRPr="00EE1DEE">
        <w:rPr>
          <w:rFonts w:ascii="Calibri" w:eastAsia="Times New Roman" w:hAnsi="Calibri" w:cs="Calibri"/>
        </w:rPr>
        <w:t xml:space="preserve"> Marketplace</w:t>
      </w:r>
      <w:r w:rsidR="00A557CC" w:rsidRPr="00EE1DEE">
        <w:rPr>
          <w:rFonts w:ascii="Calibri" w:eastAsia="Times New Roman" w:hAnsi="Calibri" w:cs="Calibri"/>
        </w:rPr>
        <w:t xml:space="preserve"> plans currently</w:t>
      </w:r>
      <w:r w:rsidR="00E34607" w:rsidRPr="00EE1DEE">
        <w:rPr>
          <w:rFonts w:ascii="Calibri" w:eastAsia="Times New Roman" w:hAnsi="Calibri" w:cs="Calibri"/>
        </w:rPr>
        <w:t xml:space="preserve"> </w:t>
      </w:r>
      <w:r w:rsidR="00A557CC" w:rsidRPr="00EE1DEE">
        <w:rPr>
          <w:rFonts w:ascii="Calibri" w:eastAsia="Times New Roman" w:hAnsi="Calibri" w:cs="Calibri"/>
        </w:rPr>
        <w:t xml:space="preserve">available </w:t>
      </w:r>
      <w:r w:rsidR="00E34607" w:rsidRPr="00EE1DEE">
        <w:rPr>
          <w:rFonts w:ascii="Calibri" w:eastAsia="Times New Roman" w:hAnsi="Calibri" w:cs="Calibri"/>
        </w:rPr>
        <w:t>all utilize tiered</w:t>
      </w:r>
      <w:r w:rsidR="00A557CC" w:rsidRPr="00EE1DEE">
        <w:rPr>
          <w:rFonts w:ascii="Calibri" w:eastAsia="Times New Roman" w:hAnsi="Calibri" w:cs="Calibri"/>
        </w:rPr>
        <w:t xml:space="preserve"> networks.</w:t>
      </w:r>
      <w:r w:rsidR="00E34607" w:rsidRPr="00EE1DEE">
        <w:rPr>
          <w:rFonts w:ascii="Calibri" w:eastAsia="Times New Roman" w:hAnsi="Calibri" w:cs="Calibri"/>
        </w:rPr>
        <w:t xml:space="preserve"> </w:t>
      </w:r>
      <w:r w:rsidR="00A557CC" w:rsidRPr="00EE1DEE">
        <w:rPr>
          <w:rFonts w:ascii="Calibri" w:eastAsia="Times New Roman" w:hAnsi="Calibri" w:cs="Calibri"/>
        </w:rPr>
        <w:t xml:space="preserve">All five </w:t>
      </w:r>
      <w:r w:rsidR="00425CE9">
        <w:rPr>
          <w:rFonts w:ascii="Calibri" w:eastAsia="Times New Roman" w:hAnsi="Calibri" w:cs="Calibri"/>
        </w:rPr>
        <w:t xml:space="preserve">of these </w:t>
      </w:r>
      <w:r w:rsidR="00A557CC" w:rsidRPr="00EE1DEE">
        <w:rPr>
          <w:rFonts w:ascii="Calibri" w:eastAsia="Times New Roman" w:hAnsi="Calibri" w:cs="Calibri"/>
        </w:rPr>
        <w:t>plans</w:t>
      </w:r>
      <w:r w:rsidR="00E34607" w:rsidRPr="00EE1DEE">
        <w:rPr>
          <w:rFonts w:ascii="Calibri" w:eastAsia="Times New Roman" w:hAnsi="Calibri" w:cs="Calibri"/>
        </w:rPr>
        <w:t xml:space="preserve"> have AV </w:t>
      </w:r>
      <w:r w:rsidR="00A557CC" w:rsidRPr="00EE1DEE">
        <w:rPr>
          <w:rFonts w:ascii="Calibri" w:eastAsia="Times New Roman" w:hAnsi="Calibri" w:cs="Calibri"/>
        </w:rPr>
        <w:t xml:space="preserve">amounts </w:t>
      </w:r>
      <w:r w:rsidR="00E34607" w:rsidRPr="00EE1DEE">
        <w:rPr>
          <w:rFonts w:ascii="Calibri" w:eastAsia="Times New Roman" w:hAnsi="Calibri" w:cs="Calibri"/>
        </w:rPr>
        <w:t>that</w:t>
      </w:r>
      <w:r w:rsidR="00A557CC" w:rsidRPr="00EE1DEE">
        <w:rPr>
          <w:rFonts w:ascii="Calibri" w:eastAsia="Times New Roman" w:hAnsi="Calibri" w:cs="Calibri"/>
        </w:rPr>
        <w:t xml:space="preserve"> are</w:t>
      </w:r>
      <w:r w:rsidR="00E34607" w:rsidRPr="00EE1DEE">
        <w:rPr>
          <w:rFonts w:ascii="Calibri" w:eastAsia="Times New Roman" w:hAnsi="Calibri" w:cs="Calibri"/>
        </w:rPr>
        <w:t xml:space="preserve"> lower than the AV</w:t>
      </w:r>
      <w:r w:rsidR="00A557CC" w:rsidRPr="00EE1DEE">
        <w:rPr>
          <w:rFonts w:ascii="Calibri" w:eastAsia="Times New Roman" w:hAnsi="Calibri" w:cs="Calibri"/>
        </w:rPr>
        <w:t xml:space="preserve">s for their corresponding Clear Choice benefit designs, as </w:t>
      </w:r>
      <w:r w:rsidR="00E34607" w:rsidRPr="00EE1DEE">
        <w:rPr>
          <w:rFonts w:ascii="Calibri" w:eastAsia="Times New Roman" w:hAnsi="Calibri" w:cs="Calibri"/>
        </w:rPr>
        <w:t xml:space="preserve">created by the Bureau.    </w:t>
      </w:r>
      <w:r w:rsidR="00A557CC" w:rsidRPr="00EE1DEE">
        <w:rPr>
          <w:rFonts w:ascii="Calibri" w:eastAsia="Times New Roman" w:hAnsi="Calibri" w:cs="Calibri"/>
        </w:rPr>
        <w:br/>
      </w:r>
    </w:p>
    <w:tbl>
      <w:tblPr>
        <w:tblStyle w:val="TableGrid"/>
        <w:tblW w:w="10437" w:type="dxa"/>
        <w:jc w:val="center"/>
        <w:tblLook w:val="04A0" w:firstRow="1" w:lastRow="0" w:firstColumn="1" w:lastColumn="0" w:noHBand="0" w:noVBand="1"/>
      </w:tblPr>
      <w:tblGrid>
        <w:gridCol w:w="997"/>
        <w:gridCol w:w="5310"/>
        <w:gridCol w:w="990"/>
        <w:gridCol w:w="1885"/>
        <w:gridCol w:w="1255"/>
      </w:tblGrid>
      <w:tr w:rsidR="00A557CC" w:rsidRPr="00EE1DEE" w14:paraId="224ED3FF" w14:textId="77777777" w:rsidTr="006E4E3F">
        <w:trPr>
          <w:trHeight w:val="390"/>
          <w:jc w:val="center"/>
        </w:trPr>
        <w:tc>
          <w:tcPr>
            <w:tcW w:w="10437" w:type="dxa"/>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noWrap/>
          </w:tcPr>
          <w:p w14:paraId="54642E3E" w14:textId="77777777" w:rsidR="00A557CC" w:rsidRPr="00EE1DEE" w:rsidRDefault="00A557CC" w:rsidP="006E4E3F">
            <w:pPr>
              <w:spacing w:line="192" w:lineRule="auto"/>
              <w:jc w:val="center"/>
              <w:rPr>
                <w:rFonts w:ascii="Calibri" w:eastAsia="Times New Roman" w:hAnsi="Calibri" w:cs="Calibri"/>
                <w:b/>
                <w:bCs/>
                <w:sz w:val="24"/>
                <w:szCs w:val="24"/>
              </w:rPr>
            </w:pPr>
            <w:r w:rsidRPr="00EE1DEE">
              <w:rPr>
                <w:rFonts w:ascii="Calibri" w:eastAsia="Times New Roman" w:hAnsi="Calibri" w:cs="Calibri"/>
                <w:b/>
                <w:bCs/>
                <w:sz w:val="24"/>
                <w:szCs w:val="24"/>
              </w:rPr>
              <w:t>2023 Lowest-premium Silver Plans Available On-Marketplace in Kennebec County</w:t>
            </w:r>
          </w:p>
        </w:tc>
      </w:tr>
      <w:tr w:rsidR="00A557CC" w:rsidRPr="00EE1DEE" w14:paraId="475F1E33" w14:textId="77777777" w:rsidTr="006E4E3F">
        <w:trPr>
          <w:trHeight w:val="511"/>
          <w:jc w:val="center"/>
        </w:trPr>
        <w:tc>
          <w:tcPr>
            <w:tcW w:w="990" w:type="dxa"/>
            <w:tcBorders>
              <w:top w:val="single" w:sz="4" w:space="0" w:color="auto"/>
              <w:left w:val="single" w:sz="6" w:space="0" w:color="auto"/>
              <w:right w:val="single" w:sz="6" w:space="0" w:color="FFFFFF" w:themeColor="background1"/>
            </w:tcBorders>
            <w:noWrap/>
            <w:vAlign w:val="bottom"/>
          </w:tcPr>
          <w:p w14:paraId="45279E73" w14:textId="77777777" w:rsidR="00A557CC" w:rsidRPr="00EE1DEE" w:rsidRDefault="00A557CC" w:rsidP="006E4E3F">
            <w:pPr>
              <w:jc w:val="center"/>
              <w:rPr>
                <w:rFonts w:ascii="Calibri" w:eastAsia="Times New Roman" w:hAnsi="Calibri" w:cs="Calibri"/>
                <w:b/>
                <w:bCs/>
                <w:sz w:val="24"/>
                <w:szCs w:val="24"/>
              </w:rPr>
            </w:pPr>
            <w:r w:rsidRPr="00EE1DEE">
              <w:rPr>
                <w:rFonts w:ascii="Calibri" w:eastAsia="Times New Roman" w:hAnsi="Calibri" w:cs="Calibri"/>
                <w:b/>
                <w:bCs/>
                <w:sz w:val="24"/>
                <w:szCs w:val="24"/>
              </w:rPr>
              <w:t>Carrier</w:t>
            </w:r>
          </w:p>
        </w:tc>
        <w:tc>
          <w:tcPr>
            <w:tcW w:w="5310" w:type="dxa"/>
            <w:tcBorders>
              <w:top w:val="single" w:sz="4" w:space="0" w:color="auto"/>
              <w:left w:val="single" w:sz="6" w:space="0" w:color="FFFFFF" w:themeColor="background1"/>
              <w:right w:val="single" w:sz="6" w:space="0" w:color="FFFFFF" w:themeColor="background1"/>
            </w:tcBorders>
            <w:noWrap/>
            <w:vAlign w:val="bottom"/>
          </w:tcPr>
          <w:p w14:paraId="1BF68031" w14:textId="77777777" w:rsidR="00A557CC" w:rsidRPr="00EE1DEE" w:rsidRDefault="00A557CC" w:rsidP="006E4E3F">
            <w:pPr>
              <w:jc w:val="center"/>
              <w:rPr>
                <w:rFonts w:ascii="Calibri" w:eastAsia="Times New Roman" w:hAnsi="Calibri" w:cs="Calibri"/>
                <w:b/>
                <w:bCs/>
                <w:sz w:val="24"/>
                <w:szCs w:val="24"/>
              </w:rPr>
            </w:pPr>
            <w:r w:rsidRPr="00EE1DEE">
              <w:rPr>
                <w:rFonts w:ascii="Calibri" w:eastAsia="Times New Roman" w:hAnsi="Calibri" w:cs="Calibri"/>
                <w:b/>
                <w:bCs/>
                <w:sz w:val="24"/>
                <w:szCs w:val="24"/>
              </w:rPr>
              <w:t>Plan Name</w:t>
            </w:r>
          </w:p>
        </w:tc>
        <w:tc>
          <w:tcPr>
            <w:tcW w:w="990" w:type="dxa"/>
            <w:tcBorders>
              <w:top w:val="single" w:sz="4" w:space="0" w:color="auto"/>
              <w:left w:val="single" w:sz="6" w:space="0" w:color="FFFFFF" w:themeColor="background1"/>
              <w:right w:val="single" w:sz="6" w:space="0" w:color="FFFFFF" w:themeColor="background1"/>
            </w:tcBorders>
            <w:noWrap/>
            <w:vAlign w:val="bottom"/>
          </w:tcPr>
          <w:p w14:paraId="5AA0862E" w14:textId="77777777" w:rsidR="00A557CC" w:rsidRPr="00EE1DEE" w:rsidRDefault="00A557CC" w:rsidP="006E4E3F">
            <w:pPr>
              <w:jc w:val="center"/>
              <w:rPr>
                <w:rFonts w:ascii="Calibri" w:eastAsia="Times New Roman" w:hAnsi="Calibri" w:cs="Calibri"/>
                <w:b/>
                <w:bCs/>
                <w:sz w:val="24"/>
                <w:szCs w:val="24"/>
              </w:rPr>
            </w:pPr>
            <w:r w:rsidRPr="00EE1DEE">
              <w:rPr>
                <w:rFonts w:ascii="Calibri" w:eastAsia="Times New Roman" w:hAnsi="Calibri" w:cs="Calibri"/>
                <w:b/>
                <w:bCs/>
                <w:sz w:val="24"/>
                <w:szCs w:val="24"/>
              </w:rPr>
              <w:t>Plan AV</w:t>
            </w:r>
          </w:p>
        </w:tc>
        <w:tc>
          <w:tcPr>
            <w:tcW w:w="1885" w:type="dxa"/>
            <w:tcBorders>
              <w:top w:val="single" w:sz="4" w:space="0" w:color="auto"/>
              <w:left w:val="single" w:sz="6" w:space="0" w:color="FFFFFF" w:themeColor="background1"/>
              <w:right w:val="single" w:sz="6" w:space="0" w:color="FFFFFF" w:themeColor="background1"/>
            </w:tcBorders>
            <w:noWrap/>
            <w:vAlign w:val="bottom"/>
          </w:tcPr>
          <w:p w14:paraId="5B487D42" w14:textId="77777777" w:rsidR="00A557CC" w:rsidRPr="00EE1DEE" w:rsidRDefault="00A557CC" w:rsidP="006E4E3F">
            <w:pPr>
              <w:spacing w:line="192" w:lineRule="auto"/>
              <w:jc w:val="center"/>
              <w:rPr>
                <w:rFonts w:ascii="Calibri" w:eastAsia="Times New Roman" w:hAnsi="Calibri" w:cs="Calibri"/>
                <w:b/>
                <w:bCs/>
                <w:sz w:val="24"/>
                <w:szCs w:val="24"/>
              </w:rPr>
            </w:pPr>
            <w:r w:rsidRPr="00EE1DEE">
              <w:rPr>
                <w:rFonts w:ascii="Calibri" w:eastAsia="Times New Roman" w:hAnsi="Calibri" w:cs="Calibri"/>
                <w:b/>
                <w:bCs/>
                <w:sz w:val="24"/>
                <w:szCs w:val="24"/>
              </w:rPr>
              <w:t>BOI Clear Choice Design AV</w:t>
            </w:r>
          </w:p>
        </w:tc>
        <w:tc>
          <w:tcPr>
            <w:tcW w:w="1260" w:type="dxa"/>
            <w:tcBorders>
              <w:top w:val="single" w:sz="4" w:space="0" w:color="auto"/>
              <w:left w:val="single" w:sz="6" w:space="0" w:color="FFFFFF" w:themeColor="background1"/>
              <w:bottom w:val="single" w:sz="4" w:space="0" w:color="auto"/>
              <w:right w:val="single" w:sz="6" w:space="0" w:color="auto"/>
            </w:tcBorders>
            <w:vAlign w:val="bottom"/>
          </w:tcPr>
          <w:p w14:paraId="06FA320F" w14:textId="77777777" w:rsidR="00A557CC" w:rsidRPr="00EE1DEE" w:rsidRDefault="00A557CC" w:rsidP="006E4E3F">
            <w:pPr>
              <w:spacing w:line="192" w:lineRule="auto"/>
              <w:jc w:val="center"/>
              <w:rPr>
                <w:rFonts w:ascii="Calibri" w:eastAsia="Times New Roman" w:hAnsi="Calibri" w:cs="Calibri"/>
                <w:b/>
                <w:bCs/>
                <w:sz w:val="24"/>
                <w:szCs w:val="24"/>
              </w:rPr>
            </w:pPr>
            <w:r w:rsidRPr="00EE1DEE">
              <w:rPr>
                <w:rFonts w:ascii="Calibri" w:eastAsia="Times New Roman" w:hAnsi="Calibri" w:cs="Calibri"/>
                <w:b/>
                <w:bCs/>
                <w:sz w:val="24"/>
                <w:szCs w:val="24"/>
              </w:rPr>
              <w:t>Difference in AV</w:t>
            </w:r>
          </w:p>
        </w:tc>
      </w:tr>
      <w:tr w:rsidR="00A557CC" w:rsidRPr="00EE1DEE" w14:paraId="7B1F2E03" w14:textId="77777777" w:rsidTr="006E4E3F">
        <w:trPr>
          <w:trHeight w:val="310"/>
          <w:jc w:val="center"/>
        </w:trPr>
        <w:tc>
          <w:tcPr>
            <w:tcW w:w="990" w:type="dxa"/>
            <w:noWrap/>
            <w:hideMark/>
          </w:tcPr>
          <w:p w14:paraId="27165F93" w14:textId="77777777" w:rsidR="00A557CC" w:rsidRPr="00EE1DEE" w:rsidRDefault="00A557CC" w:rsidP="006E4E3F">
            <w:pPr>
              <w:rPr>
                <w:rFonts w:ascii="Calibri" w:eastAsia="Times New Roman" w:hAnsi="Calibri" w:cs="Calibri"/>
                <w:sz w:val="24"/>
                <w:szCs w:val="24"/>
              </w:rPr>
            </w:pPr>
            <w:r w:rsidRPr="00EE1DEE">
              <w:rPr>
                <w:rFonts w:ascii="Calibri" w:eastAsia="Times New Roman" w:hAnsi="Calibri" w:cs="Calibri"/>
                <w:sz w:val="24"/>
                <w:szCs w:val="24"/>
              </w:rPr>
              <w:t>CHO</w:t>
            </w:r>
          </w:p>
        </w:tc>
        <w:tc>
          <w:tcPr>
            <w:tcW w:w="5310" w:type="dxa"/>
            <w:noWrap/>
            <w:hideMark/>
          </w:tcPr>
          <w:p w14:paraId="205D4419" w14:textId="77777777" w:rsidR="00A557CC" w:rsidRPr="00EE1DEE" w:rsidRDefault="00A557CC" w:rsidP="006E4E3F">
            <w:pPr>
              <w:rPr>
                <w:rFonts w:ascii="Calibri" w:eastAsia="Times New Roman" w:hAnsi="Calibri" w:cs="Calibri"/>
                <w:sz w:val="24"/>
                <w:szCs w:val="24"/>
              </w:rPr>
            </w:pPr>
            <w:r w:rsidRPr="00EE1DEE">
              <w:rPr>
                <w:rFonts w:ascii="Calibri" w:eastAsia="Times New Roman" w:hAnsi="Calibri" w:cs="Calibri"/>
                <w:sz w:val="24"/>
                <w:szCs w:val="24"/>
              </w:rPr>
              <w:t>Health Options Clear Choice Silver $4200 HMO Tiered NE</w:t>
            </w:r>
          </w:p>
        </w:tc>
        <w:tc>
          <w:tcPr>
            <w:tcW w:w="990" w:type="dxa"/>
            <w:noWrap/>
            <w:hideMark/>
          </w:tcPr>
          <w:p w14:paraId="350A47AD" w14:textId="77777777" w:rsidR="00A557CC" w:rsidRPr="00DC4A7F" w:rsidRDefault="00A557CC" w:rsidP="006E4E3F">
            <w:pPr>
              <w:jc w:val="center"/>
              <w:rPr>
                <w:rFonts w:ascii="Calibri" w:eastAsia="Times New Roman" w:hAnsi="Calibri" w:cs="Calibri"/>
                <w:sz w:val="24"/>
                <w:szCs w:val="24"/>
              </w:rPr>
            </w:pPr>
            <w:r w:rsidRPr="00DC4A7F">
              <w:rPr>
                <w:rFonts w:ascii="Calibri" w:eastAsia="Times New Roman" w:hAnsi="Calibri" w:cs="Calibri"/>
                <w:sz w:val="24"/>
                <w:szCs w:val="24"/>
              </w:rPr>
              <w:t>70.21%</w:t>
            </w:r>
          </w:p>
        </w:tc>
        <w:tc>
          <w:tcPr>
            <w:tcW w:w="1885" w:type="dxa"/>
            <w:noWrap/>
          </w:tcPr>
          <w:p w14:paraId="666C9475" w14:textId="77777777" w:rsidR="00A557CC" w:rsidRPr="00EE1DEE" w:rsidRDefault="00A557CC" w:rsidP="006E4E3F">
            <w:pPr>
              <w:jc w:val="center"/>
              <w:rPr>
                <w:rFonts w:ascii="Calibri" w:eastAsia="Times New Roman" w:hAnsi="Calibri" w:cs="Calibri"/>
                <w:sz w:val="24"/>
                <w:szCs w:val="24"/>
              </w:rPr>
            </w:pPr>
            <w:r w:rsidRPr="00EE1DEE">
              <w:rPr>
                <w:rFonts w:ascii="Calibri" w:eastAsia="Times New Roman" w:hAnsi="Calibri" w:cs="Calibri"/>
                <w:sz w:val="24"/>
                <w:szCs w:val="24"/>
              </w:rPr>
              <w:t>70.26%</w:t>
            </w:r>
          </w:p>
        </w:tc>
        <w:tc>
          <w:tcPr>
            <w:tcW w:w="1260" w:type="dxa"/>
            <w:tcBorders>
              <w:top w:val="single" w:sz="4" w:space="0" w:color="auto"/>
              <w:left w:val="nil"/>
              <w:bottom w:val="single" w:sz="4" w:space="0" w:color="auto"/>
              <w:right w:val="single" w:sz="4" w:space="0" w:color="auto"/>
            </w:tcBorders>
            <w:shd w:val="clear" w:color="auto" w:fill="auto"/>
            <w:vAlign w:val="bottom"/>
          </w:tcPr>
          <w:p w14:paraId="6E8839D2" w14:textId="77777777" w:rsidR="00A557CC" w:rsidRPr="00DC4A7F" w:rsidRDefault="00A557CC" w:rsidP="006E4E3F">
            <w:pPr>
              <w:jc w:val="center"/>
              <w:rPr>
                <w:rFonts w:ascii="Calibri" w:eastAsia="Times New Roman" w:hAnsi="Calibri" w:cs="Calibri"/>
                <w:b/>
                <w:bCs/>
                <w:color w:val="C00000"/>
                <w:sz w:val="24"/>
                <w:szCs w:val="24"/>
              </w:rPr>
            </w:pPr>
            <w:r w:rsidRPr="00DC4A7F">
              <w:rPr>
                <w:rFonts w:ascii="Calibri" w:hAnsi="Calibri" w:cs="Calibri"/>
                <w:b/>
                <w:bCs/>
                <w:color w:val="C00000"/>
                <w:sz w:val="24"/>
                <w:szCs w:val="24"/>
              </w:rPr>
              <w:t>-0.05%</w:t>
            </w:r>
          </w:p>
        </w:tc>
      </w:tr>
      <w:tr w:rsidR="00A557CC" w:rsidRPr="00EE1DEE" w14:paraId="77DF11C6" w14:textId="77777777" w:rsidTr="006E4E3F">
        <w:trPr>
          <w:trHeight w:val="290"/>
          <w:jc w:val="center"/>
        </w:trPr>
        <w:tc>
          <w:tcPr>
            <w:tcW w:w="990" w:type="dxa"/>
            <w:noWrap/>
            <w:hideMark/>
          </w:tcPr>
          <w:p w14:paraId="76352BB0" w14:textId="77777777" w:rsidR="00A557CC" w:rsidRPr="00EE1DEE" w:rsidRDefault="00A557CC" w:rsidP="006E4E3F">
            <w:pPr>
              <w:rPr>
                <w:rFonts w:ascii="Calibri" w:eastAsia="Times New Roman" w:hAnsi="Calibri" w:cs="Calibri"/>
                <w:sz w:val="24"/>
                <w:szCs w:val="24"/>
              </w:rPr>
            </w:pPr>
            <w:r w:rsidRPr="00EE1DEE">
              <w:rPr>
                <w:rFonts w:ascii="Calibri" w:eastAsia="Times New Roman" w:hAnsi="Calibri" w:cs="Calibri"/>
                <w:sz w:val="24"/>
                <w:szCs w:val="24"/>
              </w:rPr>
              <w:t>CHO</w:t>
            </w:r>
          </w:p>
        </w:tc>
        <w:tc>
          <w:tcPr>
            <w:tcW w:w="5310" w:type="dxa"/>
            <w:noWrap/>
            <w:hideMark/>
          </w:tcPr>
          <w:p w14:paraId="70D9EFDA" w14:textId="77777777" w:rsidR="00A557CC" w:rsidRPr="00EE1DEE" w:rsidRDefault="00A557CC" w:rsidP="006E4E3F">
            <w:pPr>
              <w:rPr>
                <w:rFonts w:ascii="Calibri" w:eastAsia="Times New Roman" w:hAnsi="Calibri" w:cs="Calibri"/>
                <w:sz w:val="24"/>
                <w:szCs w:val="24"/>
              </w:rPr>
            </w:pPr>
            <w:r w:rsidRPr="00EE1DEE">
              <w:rPr>
                <w:rFonts w:ascii="Calibri" w:eastAsia="Times New Roman" w:hAnsi="Calibri" w:cs="Calibri"/>
                <w:sz w:val="24"/>
                <w:szCs w:val="24"/>
              </w:rPr>
              <w:t>Health Options Clear Choice Silver $3500 HMO Tiered NE</w:t>
            </w:r>
          </w:p>
        </w:tc>
        <w:tc>
          <w:tcPr>
            <w:tcW w:w="990" w:type="dxa"/>
            <w:noWrap/>
            <w:hideMark/>
          </w:tcPr>
          <w:p w14:paraId="73D37434" w14:textId="77777777" w:rsidR="00A557CC" w:rsidRPr="00DC4A7F" w:rsidRDefault="00A557CC" w:rsidP="006E4E3F">
            <w:pPr>
              <w:jc w:val="center"/>
              <w:rPr>
                <w:rFonts w:ascii="Calibri" w:eastAsia="Times New Roman" w:hAnsi="Calibri" w:cs="Calibri"/>
                <w:sz w:val="24"/>
                <w:szCs w:val="24"/>
              </w:rPr>
            </w:pPr>
            <w:r w:rsidRPr="00DC4A7F">
              <w:rPr>
                <w:rFonts w:ascii="Calibri" w:eastAsia="Times New Roman" w:hAnsi="Calibri" w:cs="Calibri"/>
                <w:sz w:val="24"/>
                <w:szCs w:val="24"/>
              </w:rPr>
              <w:t>71.07%</w:t>
            </w:r>
          </w:p>
        </w:tc>
        <w:tc>
          <w:tcPr>
            <w:tcW w:w="1885" w:type="dxa"/>
            <w:noWrap/>
          </w:tcPr>
          <w:p w14:paraId="121DF265" w14:textId="77777777" w:rsidR="00A557CC" w:rsidRPr="00EE1DEE" w:rsidRDefault="00A557CC" w:rsidP="006E4E3F">
            <w:pPr>
              <w:jc w:val="center"/>
              <w:rPr>
                <w:rFonts w:ascii="Calibri" w:eastAsia="Times New Roman" w:hAnsi="Calibri" w:cs="Calibri"/>
                <w:sz w:val="24"/>
                <w:szCs w:val="24"/>
              </w:rPr>
            </w:pPr>
            <w:r w:rsidRPr="00EE1DEE">
              <w:rPr>
                <w:rFonts w:ascii="Calibri" w:eastAsia="Times New Roman" w:hAnsi="Calibri" w:cs="Calibri"/>
                <w:sz w:val="24"/>
                <w:szCs w:val="24"/>
              </w:rPr>
              <w:t>71.18%</w:t>
            </w:r>
          </w:p>
        </w:tc>
        <w:tc>
          <w:tcPr>
            <w:tcW w:w="1260" w:type="dxa"/>
            <w:tcBorders>
              <w:top w:val="single" w:sz="4" w:space="0" w:color="auto"/>
              <w:left w:val="nil"/>
              <w:bottom w:val="single" w:sz="4" w:space="0" w:color="auto"/>
              <w:right w:val="single" w:sz="4" w:space="0" w:color="auto"/>
            </w:tcBorders>
            <w:shd w:val="clear" w:color="auto" w:fill="auto"/>
            <w:vAlign w:val="bottom"/>
          </w:tcPr>
          <w:p w14:paraId="21E8B7C7" w14:textId="77777777" w:rsidR="00A557CC" w:rsidRPr="00DC4A7F" w:rsidRDefault="00A557CC" w:rsidP="006E4E3F">
            <w:pPr>
              <w:jc w:val="center"/>
              <w:rPr>
                <w:rFonts w:ascii="Calibri" w:eastAsia="Times New Roman" w:hAnsi="Calibri" w:cs="Calibri"/>
                <w:b/>
                <w:bCs/>
                <w:color w:val="C00000"/>
                <w:sz w:val="24"/>
                <w:szCs w:val="24"/>
              </w:rPr>
            </w:pPr>
            <w:r w:rsidRPr="00DC4A7F">
              <w:rPr>
                <w:rFonts w:ascii="Calibri" w:hAnsi="Calibri" w:cs="Calibri"/>
                <w:b/>
                <w:bCs/>
                <w:color w:val="C00000"/>
                <w:sz w:val="24"/>
                <w:szCs w:val="24"/>
              </w:rPr>
              <w:t>-0.11%</w:t>
            </w:r>
          </w:p>
        </w:tc>
      </w:tr>
      <w:tr w:rsidR="00A557CC" w:rsidRPr="00EE1DEE" w14:paraId="1D9A6611" w14:textId="77777777" w:rsidTr="006E4E3F">
        <w:trPr>
          <w:trHeight w:val="290"/>
          <w:jc w:val="center"/>
        </w:trPr>
        <w:tc>
          <w:tcPr>
            <w:tcW w:w="990" w:type="dxa"/>
            <w:noWrap/>
            <w:hideMark/>
          </w:tcPr>
          <w:p w14:paraId="43B9D9E2" w14:textId="77777777" w:rsidR="00A557CC" w:rsidRPr="00EE1DEE" w:rsidRDefault="00A557CC" w:rsidP="006E4E3F">
            <w:pPr>
              <w:rPr>
                <w:rFonts w:ascii="Calibri" w:eastAsia="Times New Roman" w:hAnsi="Calibri" w:cs="Calibri"/>
                <w:sz w:val="24"/>
                <w:szCs w:val="24"/>
              </w:rPr>
            </w:pPr>
            <w:r w:rsidRPr="00EE1DEE">
              <w:rPr>
                <w:rFonts w:ascii="Calibri" w:eastAsia="Times New Roman" w:hAnsi="Calibri" w:cs="Calibri"/>
                <w:sz w:val="24"/>
                <w:szCs w:val="24"/>
              </w:rPr>
              <w:t>Anthem</w:t>
            </w:r>
          </w:p>
        </w:tc>
        <w:tc>
          <w:tcPr>
            <w:tcW w:w="5310" w:type="dxa"/>
            <w:noWrap/>
            <w:hideMark/>
          </w:tcPr>
          <w:p w14:paraId="4BE87DCE" w14:textId="77777777" w:rsidR="00A557CC" w:rsidRPr="00EE1DEE" w:rsidRDefault="00A557CC" w:rsidP="006E4E3F">
            <w:pPr>
              <w:rPr>
                <w:rFonts w:ascii="Calibri" w:eastAsia="Times New Roman" w:hAnsi="Calibri" w:cs="Calibri"/>
                <w:sz w:val="24"/>
                <w:szCs w:val="24"/>
              </w:rPr>
            </w:pPr>
            <w:r w:rsidRPr="00EE1DEE">
              <w:rPr>
                <w:rFonts w:ascii="Calibri" w:eastAsia="Times New Roman" w:hAnsi="Calibri" w:cs="Calibri"/>
                <w:sz w:val="24"/>
                <w:szCs w:val="24"/>
              </w:rPr>
              <w:t>Anthem Clear Choice Silver X Tiered 6000</w:t>
            </w:r>
          </w:p>
        </w:tc>
        <w:tc>
          <w:tcPr>
            <w:tcW w:w="990" w:type="dxa"/>
            <w:noWrap/>
            <w:hideMark/>
          </w:tcPr>
          <w:p w14:paraId="312F2559" w14:textId="77777777" w:rsidR="00A557CC" w:rsidRPr="00DC4A7F" w:rsidRDefault="00A557CC" w:rsidP="006E4E3F">
            <w:pPr>
              <w:jc w:val="center"/>
              <w:rPr>
                <w:rFonts w:ascii="Calibri" w:eastAsia="Times New Roman" w:hAnsi="Calibri" w:cs="Calibri"/>
                <w:sz w:val="24"/>
                <w:szCs w:val="24"/>
              </w:rPr>
            </w:pPr>
            <w:r w:rsidRPr="00DC4A7F">
              <w:rPr>
                <w:rFonts w:ascii="Calibri" w:eastAsia="Times New Roman" w:hAnsi="Calibri" w:cs="Calibri"/>
                <w:sz w:val="24"/>
                <w:szCs w:val="24"/>
              </w:rPr>
              <w:t>70.04%</w:t>
            </w:r>
          </w:p>
        </w:tc>
        <w:tc>
          <w:tcPr>
            <w:tcW w:w="1885" w:type="dxa"/>
            <w:noWrap/>
          </w:tcPr>
          <w:p w14:paraId="78B8952E" w14:textId="77777777" w:rsidR="00A557CC" w:rsidRPr="00EE1DEE" w:rsidRDefault="00A557CC" w:rsidP="006E4E3F">
            <w:pPr>
              <w:jc w:val="center"/>
              <w:rPr>
                <w:rFonts w:ascii="Calibri" w:hAnsi="Calibri" w:cs="Calibri"/>
                <w:color w:val="000000"/>
                <w:sz w:val="24"/>
                <w:szCs w:val="24"/>
              </w:rPr>
            </w:pPr>
            <w:r w:rsidRPr="00EE1DEE">
              <w:rPr>
                <w:rFonts w:ascii="Calibri" w:hAnsi="Calibri" w:cs="Calibri"/>
                <w:color w:val="000000"/>
                <w:sz w:val="24"/>
                <w:szCs w:val="24"/>
              </w:rPr>
              <w:t>70.44%</w:t>
            </w:r>
          </w:p>
        </w:tc>
        <w:tc>
          <w:tcPr>
            <w:tcW w:w="1260" w:type="dxa"/>
            <w:tcBorders>
              <w:top w:val="single" w:sz="4" w:space="0" w:color="auto"/>
              <w:left w:val="nil"/>
              <w:bottom w:val="single" w:sz="4" w:space="0" w:color="auto"/>
              <w:right w:val="single" w:sz="4" w:space="0" w:color="auto"/>
            </w:tcBorders>
            <w:shd w:val="clear" w:color="auto" w:fill="auto"/>
            <w:vAlign w:val="bottom"/>
          </w:tcPr>
          <w:p w14:paraId="5C3FFB59" w14:textId="77777777" w:rsidR="00A557CC" w:rsidRPr="00DC4A7F" w:rsidRDefault="00A557CC" w:rsidP="006E4E3F">
            <w:pPr>
              <w:jc w:val="center"/>
              <w:rPr>
                <w:rFonts w:ascii="Calibri" w:hAnsi="Calibri" w:cs="Calibri"/>
                <w:b/>
                <w:bCs/>
                <w:color w:val="C00000"/>
                <w:sz w:val="24"/>
                <w:szCs w:val="24"/>
              </w:rPr>
            </w:pPr>
            <w:r w:rsidRPr="00DC4A7F">
              <w:rPr>
                <w:rFonts w:ascii="Calibri" w:hAnsi="Calibri" w:cs="Calibri"/>
                <w:b/>
                <w:bCs/>
                <w:color w:val="C00000"/>
                <w:sz w:val="24"/>
                <w:szCs w:val="24"/>
              </w:rPr>
              <w:t>-0.40%</w:t>
            </w:r>
          </w:p>
        </w:tc>
      </w:tr>
      <w:tr w:rsidR="00A557CC" w:rsidRPr="00EE1DEE" w14:paraId="3A8B21C1" w14:textId="77777777" w:rsidTr="006E4E3F">
        <w:trPr>
          <w:trHeight w:val="290"/>
          <w:jc w:val="center"/>
        </w:trPr>
        <w:tc>
          <w:tcPr>
            <w:tcW w:w="990" w:type="dxa"/>
            <w:noWrap/>
            <w:hideMark/>
          </w:tcPr>
          <w:p w14:paraId="474A60C2" w14:textId="77777777" w:rsidR="00A557CC" w:rsidRPr="00EE1DEE" w:rsidRDefault="00A557CC" w:rsidP="006E4E3F">
            <w:pPr>
              <w:rPr>
                <w:rFonts w:ascii="Calibri" w:eastAsia="Times New Roman" w:hAnsi="Calibri" w:cs="Calibri"/>
                <w:sz w:val="24"/>
                <w:szCs w:val="24"/>
              </w:rPr>
            </w:pPr>
            <w:r w:rsidRPr="00EE1DEE">
              <w:rPr>
                <w:rFonts w:ascii="Calibri" w:eastAsia="Times New Roman" w:hAnsi="Calibri" w:cs="Calibri"/>
                <w:sz w:val="24"/>
                <w:szCs w:val="24"/>
              </w:rPr>
              <w:t>Anthem</w:t>
            </w:r>
          </w:p>
        </w:tc>
        <w:tc>
          <w:tcPr>
            <w:tcW w:w="5310" w:type="dxa"/>
            <w:noWrap/>
            <w:hideMark/>
          </w:tcPr>
          <w:p w14:paraId="0B6ED05E" w14:textId="77777777" w:rsidR="00A557CC" w:rsidRPr="00EE1DEE" w:rsidRDefault="00A557CC" w:rsidP="006E4E3F">
            <w:pPr>
              <w:rPr>
                <w:rFonts w:ascii="Calibri" w:eastAsia="Times New Roman" w:hAnsi="Calibri" w:cs="Calibri"/>
                <w:sz w:val="24"/>
                <w:szCs w:val="24"/>
              </w:rPr>
            </w:pPr>
            <w:r w:rsidRPr="00EE1DEE">
              <w:rPr>
                <w:rFonts w:ascii="Calibri" w:eastAsia="Times New Roman" w:hAnsi="Calibri" w:cs="Calibri"/>
                <w:sz w:val="24"/>
                <w:szCs w:val="24"/>
              </w:rPr>
              <w:t>Anthem Clear Choice Silver X Tiered 5500</w:t>
            </w:r>
          </w:p>
        </w:tc>
        <w:tc>
          <w:tcPr>
            <w:tcW w:w="990" w:type="dxa"/>
            <w:noWrap/>
            <w:hideMark/>
          </w:tcPr>
          <w:p w14:paraId="353C4A1D" w14:textId="77777777" w:rsidR="00A557CC" w:rsidRPr="00DC4A7F" w:rsidRDefault="00A557CC" w:rsidP="006E4E3F">
            <w:pPr>
              <w:jc w:val="center"/>
              <w:rPr>
                <w:rFonts w:ascii="Calibri" w:eastAsia="Times New Roman" w:hAnsi="Calibri" w:cs="Calibri"/>
                <w:sz w:val="24"/>
                <w:szCs w:val="24"/>
              </w:rPr>
            </w:pPr>
            <w:r w:rsidRPr="00DC4A7F">
              <w:rPr>
                <w:rFonts w:ascii="Calibri" w:eastAsia="Times New Roman" w:hAnsi="Calibri" w:cs="Calibri"/>
                <w:sz w:val="24"/>
                <w:szCs w:val="24"/>
              </w:rPr>
              <w:t>70.05%</w:t>
            </w:r>
          </w:p>
        </w:tc>
        <w:tc>
          <w:tcPr>
            <w:tcW w:w="1885" w:type="dxa"/>
            <w:noWrap/>
          </w:tcPr>
          <w:p w14:paraId="64F41B91" w14:textId="77777777" w:rsidR="00A557CC" w:rsidRPr="00EE1DEE" w:rsidRDefault="00A557CC" w:rsidP="006E4E3F">
            <w:pPr>
              <w:jc w:val="center"/>
              <w:rPr>
                <w:rFonts w:ascii="Calibri" w:hAnsi="Calibri" w:cs="Calibri"/>
                <w:color w:val="000000"/>
                <w:sz w:val="24"/>
                <w:szCs w:val="24"/>
              </w:rPr>
            </w:pPr>
            <w:r w:rsidRPr="00EE1DEE">
              <w:rPr>
                <w:rFonts w:ascii="Calibri" w:hAnsi="Calibri" w:cs="Calibri"/>
                <w:color w:val="000000"/>
                <w:sz w:val="24"/>
                <w:szCs w:val="24"/>
              </w:rPr>
              <w:t>70.69%</w:t>
            </w:r>
          </w:p>
        </w:tc>
        <w:tc>
          <w:tcPr>
            <w:tcW w:w="1260" w:type="dxa"/>
            <w:tcBorders>
              <w:top w:val="single" w:sz="4" w:space="0" w:color="auto"/>
              <w:left w:val="nil"/>
              <w:bottom w:val="single" w:sz="4" w:space="0" w:color="auto"/>
              <w:right w:val="single" w:sz="4" w:space="0" w:color="auto"/>
            </w:tcBorders>
            <w:shd w:val="clear" w:color="auto" w:fill="auto"/>
            <w:vAlign w:val="bottom"/>
          </w:tcPr>
          <w:p w14:paraId="03D26C23" w14:textId="77777777" w:rsidR="00A557CC" w:rsidRPr="00DC4A7F" w:rsidRDefault="00A557CC" w:rsidP="006E4E3F">
            <w:pPr>
              <w:jc w:val="center"/>
              <w:rPr>
                <w:rFonts w:ascii="Calibri" w:hAnsi="Calibri" w:cs="Calibri"/>
                <w:b/>
                <w:bCs/>
                <w:color w:val="C00000"/>
                <w:sz w:val="24"/>
                <w:szCs w:val="24"/>
              </w:rPr>
            </w:pPr>
            <w:r w:rsidRPr="00DC4A7F">
              <w:rPr>
                <w:rFonts w:ascii="Calibri" w:hAnsi="Calibri" w:cs="Calibri"/>
                <w:b/>
                <w:bCs/>
                <w:color w:val="C00000"/>
                <w:sz w:val="24"/>
                <w:szCs w:val="24"/>
              </w:rPr>
              <w:t>-0.64%</w:t>
            </w:r>
          </w:p>
        </w:tc>
      </w:tr>
      <w:tr w:rsidR="00A557CC" w:rsidRPr="00EE1DEE" w14:paraId="1182750C" w14:textId="77777777" w:rsidTr="006E4E3F">
        <w:trPr>
          <w:trHeight w:val="310"/>
          <w:jc w:val="center"/>
        </w:trPr>
        <w:tc>
          <w:tcPr>
            <w:tcW w:w="990" w:type="dxa"/>
            <w:noWrap/>
            <w:hideMark/>
          </w:tcPr>
          <w:p w14:paraId="069AB4F2" w14:textId="77777777" w:rsidR="00A557CC" w:rsidRPr="00EE1DEE" w:rsidRDefault="00A557CC" w:rsidP="006E4E3F">
            <w:pPr>
              <w:rPr>
                <w:rFonts w:ascii="Calibri" w:eastAsia="Times New Roman" w:hAnsi="Calibri" w:cs="Calibri"/>
                <w:sz w:val="24"/>
                <w:szCs w:val="24"/>
              </w:rPr>
            </w:pPr>
            <w:r w:rsidRPr="00EE1DEE">
              <w:rPr>
                <w:rFonts w:ascii="Calibri" w:eastAsia="Times New Roman" w:hAnsi="Calibri" w:cs="Calibri"/>
                <w:sz w:val="24"/>
                <w:szCs w:val="24"/>
              </w:rPr>
              <w:t>Anthem</w:t>
            </w:r>
          </w:p>
        </w:tc>
        <w:tc>
          <w:tcPr>
            <w:tcW w:w="5310" w:type="dxa"/>
            <w:noWrap/>
            <w:hideMark/>
          </w:tcPr>
          <w:p w14:paraId="781C547E" w14:textId="77777777" w:rsidR="00A557CC" w:rsidRPr="00EE1DEE" w:rsidRDefault="00A557CC" w:rsidP="006E4E3F">
            <w:pPr>
              <w:rPr>
                <w:rFonts w:ascii="Calibri" w:eastAsia="Times New Roman" w:hAnsi="Calibri" w:cs="Calibri"/>
                <w:sz w:val="24"/>
                <w:szCs w:val="24"/>
              </w:rPr>
            </w:pPr>
            <w:r w:rsidRPr="00EE1DEE">
              <w:rPr>
                <w:rFonts w:ascii="Calibri" w:eastAsia="Times New Roman" w:hAnsi="Calibri" w:cs="Calibri"/>
                <w:sz w:val="24"/>
                <w:szCs w:val="24"/>
              </w:rPr>
              <w:t>Anthem Clear Choice Silver X Tiered 4200</w:t>
            </w:r>
          </w:p>
        </w:tc>
        <w:tc>
          <w:tcPr>
            <w:tcW w:w="990" w:type="dxa"/>
            <w:noWrap/>
            <w:hideMark/>
          </w:tcPr>
          <w:p w14:paraId="71E268E5" w14:textId="77777777" w:rsidR="00A557CC" w:rsidRPr="00DC4A7F" w:rsidRDefault="00A557CC" w:rsidP="006E4E3F">
            <w:pPr>
              <w:jc w:val="center"/>
              <w:rPr>
                <w:rFonts w:ascii="Calibri" w:eastAsia="Times New Roman" w:hAnsi="Calibri" w:cs="Calibri"/>
                <w:sz w:val="24"/>
                <w:szCs w:val="24"/>
              </w:rPr>
            </w:pPr>
            <w:r w:rsidRPr="00DC4A7F">
              <w:rPr>
                <w:rFonts w:ascii="Calibri" w:eastAsia="Times New Roman" w:hAnsi="Calibri" w:cs="Calibri"/>
                <w:sz w:val="24"/>
                <w:szCs w:val="24"/>
              </w:rPr>
              <w:t>70.03%</w:t>
            </w:r>
          </w:p>
        </w:tc>
        <w:tc>
          <w:tcPr>
            <w:tcW w:w="1885" w:type="dxa"/>
            <w:noWrap/>
          </w:tcPr>
          <w:p w14:paraId="15DF149A" w14:textId="77777777" w:rsidR="00A557CC" w:rsidRPr="00EE1DEE" w:rsidRDefault="00A557CC" w:rsidP="006E4E3F">
            <w:pPr>
              <w:jc w:val="center"/>
              <w:rPr>
                <w:rFonts w:ascii="Calibri" w:eastAsia="Times New Roman" w:hAnsi="Calibri" w:cs="Calibri"/>
                <w:sz w:val="24"/>
                <w:szCs w:val="24"/>
              </w:rPr>
            </w:pPr>
            <w:r w:rsidRPr="00EE1DEE">
              <w:rPr>
                <w:rFonts w:ascii="Calibri" w:eastAsia="Times New Roman" w:hAnsi="Calibri" w:cs="Calibri"/>
                <w:sz w:val="24"/>
                <w:szCs w:val="24"/>
              </w:rPr>
              <w:t>70.26%</w:t>
            </w:r>
          </w:p>
        </w:tc>
        <w:tc>
          <w:tcPr>
            <w:tcW w:w="1260" w:type="dxa"/>
            <w:tcBorders>
              <w:top w:val="single" w:sz="4" w:space="0" w:color="auto"/>
              <w:left w:val="nil"/>
              <w:bottom w:val="single" w:sz="4" w:space="0" w:color="auto"/>
              <w:right w:val="single" w:sz="4" w:space="0" w:color="auto"/>
            </w:tcBorders>
            <w:shd w:val="clear" w:color="auto" w:fill="auto"/>
            <w:vAlign w:val="bottom"/>
          </w:tcPr>
          <w:p w14:paraId="2A2611B7" w14:textId="77777777" w:rsidR="00A557CC" w:rsidRPr="00DC4A7F" w:rsidRDefault="00A557CC" w:rsidP="006E4E3F">
            <w:pPr>
              <w:jc w:val="center"/>
              <w:rPr>
                <w:rFonts w:ascii="Calibri" w:eastAsia="Times New Roman" w:hAnsi="Calibri" w:cs="Calibri"/>
                <w:b/>
                <w:bCs/>
                <w:color w:val="C00000"/>
                <w:sz w:val="24"/>
                <w:szCs w:val="24"/>
              </w:rPr>
            </w:pPr>
            <w:r w:rsidRPr="00DC4A7F">
              <w:rPr>
                <w:rFonts w:ascii="Calibri" w:hAnsi="Calibri" w:cs="Calibri"/>
                <w:b/>
                <w:bCs/>
                <w:color w:val="C00000"/>
                <w:sz w:val="24"/>
                <w:szCs w:val="24"/>
              </w:rPr>
              <w:t>-0.23%</w:t>
            </w:r>
          </w:p>
        </w:tc>
      </w:tr>
    </w:tbl>
    <w:p w14:paraId="1E0098B3" w14:textId="7D19D53E" w:rsidR="00A557CC" w:rsidRPr="00EE1DEE" w:rsidRDefault="00A557CC" w:rsidP="00E34607">
      <w:pPr>
        <w:rPr>
          <w:rFonts w:ascii="Calibri" w:hAnsi="Calibri" w:cs="Calibri"/>
        </w:rPr>
      </w:pPr>
    </w:p>
    <w:p w14:paraId="299D794C" w14:textId="13AF6280" w:rsidR="001D6100" w:rsidRDefault="001B3FC0" w:rsidP="001D6100">
      <w:pPr>
        <w:rPr>
          <w:rFonts w:ascii="Calibri" w:hAnsi="Calibri" w:cs="Calibri"/>
        </w:rPr>
      </w:pPr>
      <w:r>
        <w:rPr>
          <w:rFonts w:ascii="Calibri" w:hAnsi="Calibri" w:cs="Calibri"/>
        </w:rPr>
        <w:t>The</w:t>
      </w:r>
      <w:r w:rsidR="00A557CC" w:rsidRPr="00EE1DEE">
        <w:rPr>
          <w:rFonts w:ascii="Calibri" w:hAnsi="Calibri" w:cs="Calibri"/>
        </w:rPr>
        <w:t xml:space="preserve"> </w:t>
      </w:r>
      <w:r w:rsidR="001D6100" w:rsidRPr="00EE1DEE">
        <w:rPr>
          <w:rFonts w:ascii="Calibri" w:hAnsi="Calibri" w:cs="Calibri"/>
        </w:rPr>
        <w:t xml:space="preserve">projected </w:t>
      </w:r>
      <w:r w:rsidR="00A557CC" w:rsidRPr="00EE1DEE">
        <w:rPr>
          <w:rFonts w:ascii="Calibri" w:hAnsi="Calibri" w:cs="Calibri"/>
        </w:rPr>
        <w:t xml:space="preserve">AV </w:t>
      </w:r>
      <w:r w:rsidR="001D6100" w:rsidRPr="00EE1DEE">
        <w:rPr>
          <w:rFonts w:ascii="Calibri" w:hAnsi="Calibri" w:cs="Calibri"/>
        </w:rPr>
        <w:t xml:space="preserve">amount </w:t>
      </w:r>
      <w:r w:rsidR="00A557CC" w:rsidRPr="00EE1DEE">
        <w:rPr>
          <w:rFonts w:ascii="Calibri" w:hAnsi="Calibri" w:cs="Calibri"/>
        </w:rPr>
        <w:t xml:space="preserve">for a Clear Choice </w:t>
      </w:r>
      <w:r w:rsidR="001D6100" w:rsidRPr="00EE1DEE">
        <w:rPr>
          <w:rFonts w:ascii="Calibri" w:hAnsi="Calibri" w:cs="Calibri"/>
        </w:rPr>
        <w:t xml:space="preserve">benefit structure, as developed by the Bureau, should </w:t>
      </w:r>
      <w:r w:rsidR="00A557CC" w:rsidRPr="00EE1DEE">
        <w:rPr>
          <w:rFonts w:ascii="Calibri" w:hAnsi="Calibri" w:cs="Calibri"/>
        </w:rPr>
        <w:t xml:space="preserve">serve as </w:t>
      </w:r>
      <w:r w:rsidR="001D6100" w:rsidRPr="00EE1DEE">
        <w:rPr>
          <w:rFonts w:ascii="Calibri" w:hAnsi="Calibri" w:cs="Calibri"/>
        </w:rPr>
        <w:t>a</w:t>
      </w:r>
      <w:r w:rsidR="00A557CC" w:rsidRPr="00EE1DEE">
        <w:rPr>
          <w:rFonts w:ascii="Calibri" w:hAnsi="Calibri" w:cs="Calibri"/>
        </w:rPr>
        <w:t xml:space="preserve"> floor </w:t>
      </w:r>
      <w:r w:rsidR="001D6100" w:rsidRPr="00EE1DEE">
        <w:rPr>
          <w:rFonts w:ascii="Calibri" w:hAnsi="Calibri" w:cs="Calibri"/>
        </w:rPr>
        <w:t>for the minimum value that a plan utilizing th</w:t>
      </w:r>
      <w:r w:rsidR="00704A14">
        <w:rPr>
          <w:rFonts w:ascii="Calibri" w:hAnsi="Calibri" w:cs="Calibri"/>
        </w:rPr>
        <w:t>e</w:t>
      </w:r>
      <w:r w:rsidR="0052645B">
        <w:rPr>
          <w:rFonts w:ascii="Calibri" w:hAnsi="Calibri" w:cs="Calibri"/>
        </w:rPr>
        <w:t xml:space="preserve"> </w:t>
      </w:r>
      <w:r w:rsidR="0052645B" w:rsidRPr="00EE1DEE">
        <w:rPr>
          <w:rFonts w:ascii="Calibri" w:hAnsi="Calibri" w:cs="Calibri"/>
        </w:rPr>
        <w:t>Clear Choice</w:t>
      </w:r>
      <w:r w:rsidR="001D6100" w:rsidRPr="00EE1DEE">
        <w:rPr>
          <w:rFonts w:ascii="Calibri" w:hAnsi="Calibri" w:cs="Calibri"/>
        </w:rPr>
        <w:t xml:space="preserve"> design must provide. </w:t>
      </w:r>
    </w:p>
    <w:p w14:paraId="2FBC22BC" w14:textId="77777777" w:rsidR="00D316E5" w:rsidRPr="003830E7" w:rsidRDefault="00D316E5" w:rsidP="00E048DA">
      <w:pPr>
        <w:rPr>
          <w:rFonts w:ascii="Calibri" w:hAnsi="Calibri"/>
          <w:b/>
        </w:rPr>
      </w:pPr>
    </w:p>
    <w:p w14:paraId="4B8A0F7A" w14:textId="1F8CFACF" w:rsidR="00681EEB" w:rsidRPr="00CE0073" w:rsidRDefault="0076579B" w:rsidP="007365D8">
      <w:r w:rsidRPr="00CE0073">
        <w:rPr>
          <w:rFonts w:ascii="Calibri" w:hAnsi="Calibri"/>
          <w:b/>
        </w:rPr>
        <w:t>Reduce Market Segmentation</w:t>
      </w:r>
      <w:r w:rsidR="001B20FB">
        <w:rPr>
          <w:rFonts w:ascii="Calibri" w:hAnsi="Calibri"/>
          <w:b/>
        </w:rPr>
        <w:t>:</w:t>
      </w:r>
      <w:r w:rsidRPr="00CE0073">
        <w:rPr>
          <w:rFonts w:ascii="Calibri" w:hAnsi="Calibri"/>
          <w:b/>
        </w:rPr>
        <w:t xml:space="preserve"> </w:t>
      </w:r>
      <w:r w:rsidR="00C23AB9" w:rsidRPr="00CE0073">
        <w:rPr>
          <w:rFonts w:ascii="Calibri" w:hAnsi="Calibri"/>
          <w:bCs/>
        </w:rPr>
        <w:t xml:space="preserve">Given the relatively small size of </w:t>
      </w:r>
      <w:r w:rsidR="006D1681" w:rsidRPr="00CE0073">
        <w:rPr>
          <w:rFonts w:ascii="Calibri" w:hAnsi="Calibri"/>
          <w:bCs/>
        </w:rPr>
        <w:t>Maine’s market, it is especially importan</w:t>
      </w:r>
      <w:r w:rsidR="001E1F78" w:rsidRPr="00CE0073">
        <w:rPr>
          <w:rFonts w:ascii="Calibri" w:hAnsi="Calibri"/>
          <w:bCs/>
        </w:rPr>
        <w:t xml:space="preserve">t to protect against </w:t>
      </w:r>
      <w:r w:rsidR="0014676A" w:rsidRPr="00CE0073">
        <w:rPr>
          <w:rFonts w:ascii="Calibri" w:hAnsi="Calibri"/>
          <w:bCs/>
        </w:rPr>
        <w:t>market segmentation.</w:t>
      </w:r>
      <w:r w:rsidR="00C94ADD" w:rsidRPr="00CE0073">
        <w:rPr>
          <w:rFonts w:ascii="Calibri" w:hAnsi="Calibri"/>
          <w:bCs/>
        </w:rPr>
        <w:t xml:space="preserve"> As </w:t>
      </w:r>
      <w:r w:rsidR="008B3812" w:rsidRPr="00CE0073">
        <w:rPr>
          <w:rFonts w:ascii="Calibri" w:hAnsi="Calibri"/>
          <w:bCs/>
        </w:rPr>
        <w:t xml:space="preserve">an analysis prepared by </w:t>
      </w:r>
      <w:r w:rsidR="00C94ADD" w:rsidRPr="00CE0073">
        <w:rPr>
          <w:rFonts w:ascii="Calibri" w:hAnsi="Calibri"/>
          <w:bCs/>
        </w:rPr>
        <w:t>Gorman Actuarial, Inc.</w:t>
      </w:r>
      <w:r w:rsidR="008B3812" w:rsidRPr="00CE0073">
        <w:rPr>
          <w:rFonts w:ascii="Calibri" w:hAnsi="Calibri"/>
          <w:bCs/>
        </w:rPr>
        <w:t xml:space="preserve"> explains</w:t>
      </w:r>
      <w:r w:rsidR="00C94ADD" w:rsidRPr="00CE0073">
        <w:rPr>
          <w:rFonts w:ascii="Calibri" w:hAnsi="Calibri"/>
          <w:bCs/>
        </w:rPr>
        <w:t>, “Generally, as markets get smaller, the enrollees who remain in the market</w:t>
      </w:r>
      <w:r w:rsidR="008B3812" w:rsidRPr="00CE0073">
        <w:rPr>
          <w:rFonts w:ascii="Calibri" w:hAnsi="Calibri"/>
          <w:bCs/>
        </w:rPr>
        <w:t xml:space="preserve"> </w:t>
      </w:r>
      <w:r w:rsidR="00C94ADD" w:rsidRPr="00CE0073">
        <w:rPr>
          <w:rFonts w:ascii="Calibri" w:hAnsi="Calibri"/>
          <w:bCs/>
        </w:rPr>
        <w:t>are less healthy and require more health care resources, which drives up premiums.”</w:t>
      </w:r>
      <w:r w:rsidR="008B3812" w:rsidRPr="00CE0073">
        <w:rPr>
          <w:rStyle w:val="FootnoteReference"/>
          <w:rFonts w:ascii="Calibri" w:hAnsi="Calibri"/>
          <w:bCs/>
        </w:rPr>
        <w:footnoteReference w:id="30"/>
      </w:r>
      <w:r w:rsidR="00C94ADD" w:rsidRPr="00CE0073">
        <w:rPr>
          <w:rFonts w:ascii="Calibri" w:hAnsi="Calibri"/>
          <w:bCs/>
        </w:rPr>
        <w:t xml:space="preserve">  </w:t>
      </w:r>
      <w:r w:rsidR="002B4492" w:rsidRPr="00CE0073">
        <w:rPr>
          <w:rFonts w:ascii="Calibri" w:hAnsi="Calibri"/>
          <w:bCs/>
        </w:rPr>
        <w:lastRenderedPageBreak/>
        <w:t>W</w:t>
      </w:r>
      <w:r w:rsidR="00BA37A2" w:rsidRPr="00CE0073">
        <w:rPr>
          <w:rFonts w:ascii="Calibri" w:hAnsi="Calibri"/>
          <w:bCs/>
        </w:rPr>
        <w:t xml:space="preserve">hile merging the individual and small group markets into a pooled market </w:t>
      </w:r>
      <w:r w:rsidR="00773EE7" w:rsidRPr="00CE0073">
        <w:rPr>
          <w:rFonts w:ascii="Calibri" w:hAnsi="Calibri"/>
          <w:bCs/>
        </w:rPr>
        <w:t xml:space="preserve">has </w:t>
      </w:r>
      <w:r w:rsidR="00BA37A2" w:rsidRPr="00CE0073">
        <w:rPr>
          <w:rFonts w:ascii="Calibri" w:hAnsi="Calibri"/>
          <w:bCs/>
        </w:rPr>
        <w:t xml:space="preserve">helped to </w:t>
      </w:r>
      <w:r w:rsidR="00404C05" w:rsidRPr="00CE0073">
        <w:rPr>
          <w:rFonts w:ascii="Calibri" w:hAnsi="Calibri"/>
          <w:bCs/>
        </w:rPr>
        <w:t>expand the size</w:t>
      </w:r>
      <w:r w:rsidR="00773EE7" w:rsidRPr="00CE0073">
        <w:rPr>
          <w:rFonts w:ascii="Calibri" w:hAnsi="Calibri"/>
          <w:bCs/>
        </w:rPr>
        <w:t xml:space="preserve"> </w:t>
      </w:r>
      <w:r w:rsidR="00721AF5" w:rsidRPr="00CE0073">
        <w:rPr>
          <w:rFonts w:ascii="Calibri" w:hAnsi="Calibri"/>
          <w:bCs/>
        </w:rPr>
        <w:t>of the risk pool, w</w:t>
      </w:r>
      <w:r w:rsidR="002B4492" w:rsidRPr="00CE0073">
        <w:rPr>
          <w:rFonts w:ascii="Calibri" w:hAnsi="Calibri"/>
          <w:bCs/>
        </w:rPr>
        <w:t xml:space="preserve">e encourage the Office to explore </w:t>
      </w:r>
      <w:r w:rsidR="00721AF5" w:rsidRPr="00CE0073">
        <w:rPr>
          <w:rFonts w:ascii="Calibri" w:hAnsi="Calibri"/>
          <w:bCs/>
        </w:rPr>
        <w:t xml:space="preserve">additional policies to </w:t>
      </w:r>
      <w:r w:rsidR="00580EBC" w:rsidRPr="00CE0073">
        <w:rPr>
          <w:rFonts w:ascii="Calibri" w:hAnsi="Calibri"/>
          <w:bCs/>
        </w:rPr>
        <w:t xml:space="preserve">further </w:t>
      </w:r>
      <w:r w:rsidR="00681EEB" w:rsidRPr="00CE0073">
        <w:t>reduce market segmentation and promote the health of the fully insured pooled market</w:t>
      </w:r>
      <w:r w:rsidR="007365D8" w:rsidRPr="00CE0073">
        <w:t xml:space="preserve">, including </w:t>
      </w:r>
      <w:r w:rsidR="00686BE2" w:rsidRPr="00CE0073">
        <w:t xml:space="preserve">strengthening guardrails </w:t>
      </w:r>
      <w:r w:rsidR="003844F4" w:rsidRPr="00CE0073">
        <w:t xml:space="preserve">for non-ACA compliant plans, such as </w:t>
      </w:r>
      <w:r w:rsidR="00F139D7" w:rsidRPr="00CE0073">
        <w:t>health care cost sharing ministries</w:t>
      </w:r>
      <w:r w:rsidR="007365D8" w:rsidRPr="00CE0073">
        <w:t>; and</w:t>
      </w:r>
      <w:r w:rsidR="00F139D7" w:rsidRPr="00CE0073">
        <w:t xml:space="preserve"> as well as</w:t>
      </w:r>
      <w:r w:rsidR="00646F07" w:rsidRPr="00CE0073">
        <w:t xml:space="preserve"> </w:t>
      </w:r>
      <w:r w:rsidR="00D27DA4" w:rsidRPr="00CE0073">
        <w:t xml:space="preserve">products </w:t>
      </w:r>
      <w:r w:rsidR="00BE4E2F" w:rsidRPr="00CE0073">
        <w:t xml:space="preserve">that </w:t>
      </w:r>
      <w:r w:rsidR="002B4073" w:rsidRPr="00CE0073">
        <w:t>enable small groups to</w:t>
      </w:r>
      <w:r w:rsidR="00FE6E5C" w:rsidRPr="00CE0073">
        <w:t xml:space="preserve"> self-insur</w:t>
      </w:r>
      <w:r w:rsidR="002B4073" w:rsidRPr="00CE0073">
        <w:t>e,</w:t>
      </w:r>
      <w:r w:rsidR="00BE4E2F" w:rsidRPr="00CE0073">
        <w:t xml:space="preserve"> rather than participate in the </w:t>
      </w:r>
      <w:r w:rsidR="00CF094C" w:rsidRPr="00CE0073">
        <w:t>community-rated</w:t>
      </w:r>
      <w:r w:rsidR="002B4073" w:rsidRPr="00CE0073">
        <w:t xml:space="preserve"> pooled</w:t>
      </w:r>
      <w:r w:rsidR="00CF094C" w:rsidRPr="00CE0073">
        <w:t xml:space="preserve"> market. </w:t>
      </w:r>
      <w:r w:rsidR="00B21200" w:rsidRPr="00CE0073">
        <w:t xml:space="preserve"> </w:t>
      </w:r>
      <w:r w:rsidR="00646F07" w:rsidRPr="00CE0073">
        <w:t xml:space="preserve"> </w:t>
      </w:r>
      <w:r w:rsidR="00681EEB" w:rsidRPr="00CE0073">
        <w:t xml:space="preserve"> </w:t>
      </w:r>
    </w:p>
    <w:p w14:paraId="21B1A61C" w14:textId="77777777" w:rsidR="00B01721" w:rsidRDefault="00B01721" w:rsidP="00E048DA">
      <w:pPr>
        <w:rPr>
          <w:rFonts w:ascii="Calibri" w:hAnsi="Calibri"/>
          <w:b/>
          <w:highlight w:val="yellow"/>
        </w:rPr>
      </w:pPr>
    </w:p>
    <w:p w14:paraId="3A437A2D" w14:textId="5BD3AFE4" w:rsidR="00E048DA" w:rsidRDefault="005D0624" w:rsidP="00E048DA">
      <w:pPr>
        <w:rPr>
          <w:rFonts w:ascii="Calibri" w:hAnsi="Calibri" w:cs="Calibri"/>
        </w:rPr>
      </w:pPr>
      <w:r w:rsidRPr="00DE3C67">
        <w:rPr>
          <w:rFonts w:ascii="Calibri" w:hAnsi="Calibri"/>
          <w:b/>
        </w:rPr>
        <w:t xml:space="preserve">Strengthen </w:t>
      </w:r>
      <w:r w:rsidR="001645FB" w:rsidRPr="00DE3C67">
        <w:rPr>
          <w:rFonts w:ascii="Calibri" w:hAnsi="Calibri"/>
          <w:b/>
        </w:rPr>
        <w:t xml:space="preserve">Rate </w:t>
      </w:r>
      <w:r w:rsidRPr="00DE3C67">
        <w:rPr>
          <w:rFonts w:ascii="Calibri" w:hAnsi="Calibri"/>
          <w:b/>
        </w:rPr>
        <w:t>R</w:t>
      </w:r>
      <w:r w:rsidR="001645FB" w:rsidRPr="00DE3C67">
        <w:rPr>
          <w:rFonts w:ascii="Calibri" w:hAnsi="Calibri"/>
          <w:b/>
        </w:rPr>
        <w:t>eview</w:t>
      </w:r>
      <w:r w:rsidR="001B20FB">
        <w:rPr>
          <w:rFonts w:ascii="Calibri" w:hAnsi="Calibri" w:cs="Calibri"/>
          <w:b/>
          <w:bCs/>
        </w:rPr>
        <w:t>:</w:t>
      </w:r>
      <w:r w:rsidRPr="00EE1DEE">
        <w:rPr>
          <w:rFonts w:ascii="Calibri" w:hAnsi="Calibri" w:cs="Calibri"/>
          <w:b/>
          <w:bCs/>
        </w:rPr>
        <w:t xml:space="preserve"> </w:t>
      </w:r>
      <w:r w:rsidR="00E048DA" w:rsidRPr="00EE1DEE">
        <w:rPr>
          <w:rFonts w:ascii="Calibri" w:hAnsi="Calibri" w:cs="Calibri"/>
        </w:rPr>
        <w:t xml:space="preserve">While the Bureau of Insurance reviews proposed individual and small group rates submitted by carriers each year, several other states have granted their state regulatory </w:t>
      </w:r>
      <w:r w:rsidR="006E4E3F" w:rsidRPr="00EE1DEE">
        <w:rPr>
          <w:rFonts w:ascii="Calibri" w:hAnsi="Calibri" w:cs="Calibri"/>
        </w:rPr>
        <w:t>agenc</w:t>
      </w:r>
      <w:r w:rsidR="00373F42">
        <w:rPr>
          <w:rFonts w:ascii="Calibri" w:hAnsi="Calibri" w:cs="Calibri"/>
        </w:rPr>
        <w:t>ies</w:t>
      </w:r>
      <w:r w:rsidR="006E4E3F" w:rsidRPr="00EE1DEE">
        <w:rPr>
          <w:rFonts w:ascii="Calibri" w:hAnsi="Calibri" w:cs="Calibri"/>
        </w:rPr>
        <w:t xml:space="preserve"> greater latitude and authority to disapprove rates on the basis of affordability. For example, </w:t>
      </w:r>
      <w:r w:rsidR="003F593D">
        <w:rPr>
          <w:rFonts w:ascii="Calibri" w:hAnsi="Calibri" w:cs="Calibri"/>
        </w:rPr>
        <w:t>Rhode Island requires rates to be consistent “with the interest of the public</w:t>
      </w:r>
      <w:r w:rsidR="00956F38">
        <w:rPr>
          <w:rFonts w:ascii="Calibri" w:hAnsi="Calibri" w:cs="Calibri"/>
        </w:rPr>
        <w:t xml:space="preserve">,” and has adopted affordability standards </w:t>
      </w:r>
      <w:r w:rsidR="00E74D25">
        <w:rPr>
          <w:rFonts w:ascii="Calibri" w:hAnsi="Calibri" w:cs="Calibri"/>
        </w:rPr>
        <w:t xml:space="preserve">carriers must abide by that target underlying cost drivers. </w:t>
      </w:r>
      <w:r w:rsidR="00F17A03">
        <w:rPr>
          <w:rStyle w:val="FootnoteReference"/>
          <w:rFonts w:ascii="Calibri" w:hAnsi="Calibri" w:cs="Calibri"/>
        </w:rPr>
        <w:footnoteReference w:id="31"/>
      </w:r>
      <w:r w:rsidR="00C41990">
        <w:rPr>
          <w:rFonts w:ascii="Calibri" w:hAnsi="Calibri" w:cs="Calibri"/>
        </w:rPr>
        <w:t xml:space="preserve"> </w:t>
      </w:r>
      <w:r w:rsidR="006539C0">
        <w:rPr>
          <w:rFonts w:ascii="Calibri" w:hAnsi="Calibri" w:cs="Calibri"/>
        </w:rPr>
        <w:t xml:space="preserve">Rhode Island’s affordability standards have </w:t>
      </w:r>
      <w:r w:rsidR="00910C06">
        <w:rPr>
          <w:rFonts w:ascii="Calibri" w:hAnsi="Calibri" w:cs="Calibri"/>
        </w:rPr>
        <w:t xml:space="preserve">succeeded in </w:t>
      </w:r>
      <w:r w:rsidR="00BF7749">
        <w:rPr>
          <w:rFonts w:ascii="Calibri" w:hAnsi="Calibri" w:cs="Calibri"/>
        </w:rPr>
        <w:t xml:space="preserve">curbing rising hospital prices, </w:t>
      </w:r>
      <w:r w:rsidR="00910C06">
        <w:rPr>
          <w:rFonts w:ascii="Calibri" w:hAnsi="Calibri" w:cs="Calibri"/>
        </w:rPr>
        <w:t xml:space="preserve">reducing enrollee spending, </w:t>
      </w:r>
      <w:r w:rsidR="00695F77">
        <w:rPr>
          <w:rFonts w:ascii="Calibri" w:hAnsi="Calibri" w:cs="Calibri"/>
        </w:rPr>
        <w:t>and lowering cost-sharing without reducing quality or utilization.</w:t>
      </w:r>
      <w:r w:rsidR="00695F77">
        <w:rPr>
          <w:rStyle w:val="FootnoteReference"/>
          <w:rFonts w:ascii="Calibri" w:hAnsi="Calibri" w:cs="Calibri"/>
        </w:rPr>
        <w:footnoteReference w:id="32"/>
      </w:r>
      <w:r w:rsidR="00695F77">
        <w:rPr>
          <w:rFonts w:ascii="Calibri" w:hAnsi="Calibri" w:cs="Calibri"/>
        </w:rPr>
        <w:t xml:space="preserve"> </w:t>
      </w:r>
    </w:p>
    <w:p w14:paraId="3F077533" w14:textId="77777777" w:rsidR="00C5759A" w:rsidRDefault="00C5759A" w:rsidP="00E048DA">
      <w:pPr>
        <w:rPr>
          <w:rFonts w:ascii="Arial" w:eastAsia="Times New Roman" w:hAnsi="Arial" w:cs="Arial"/>
          <w:color w:val="000000"/>
          <w:sz w:val="27"/>
          <w:szCs w:val="27"/>
        </w:rPr>
      </w:pPr>
    </w:p>
    <w:p w14:paraId="021B21AC" w14:textId="59628320" w:rsidR="006E4E3F" w:rsidRPr="00EE1DEE" w:rsidRDefault="006E4E3F" w:rsidP="00E048DA">
      <w:pPr>
        <w:rPr>
          <w:rFonts w:ascii="Calibri" w:hAnsi="Calibri" w:cs="Calibri"/>
        </w:rPr>
      </w:pPr>
      <w:r w:rsidRPr="00EE1DEE">
        <w:rPr>
          <w:rFonts w:ascii="Calibri" w:hAnsi="Calibri" w:cs="Calibri"/>
        </w:rPr>
        <w:t xml:space="preserve">We urge the Office to consider </w:t>
      </w:r>
      <w:r w:rsidR="000E63CF">
        <w:rPr>
          <w:rFonts w:ascii="Calibri" w:hAnsi="Calibri" w:cs="Calibri"/>
        </w:rPr>
        <w:t>policies</w:t>
      </w:r>
      <w:r w:rsidRPr="00EE1DEE">
        <w:rPr>
          <w:rFonts w:ascii="Calibri" w:hAnsi="Calibri" w:cs="Calibri"/>
        </w:rPr>
        <w:t xml:space="preserve"> to establish prior approval authority, as opposed to the file-and-use process currently permitted, as well as </w:t>
      </w:r>
      <w:r w:rsidR="008A220F" w:rsidRPr="00EE1DEE">
        <w:rPr>
          <w:rFonts w:ascii="Calibri" w:hAnsi="Calibri" w:cs="Calibri"/>
        </w:rPr>
        <w:t xml:space="preserve">establish an affordability mandate that broadens the Superintendent’s </w:t>
      </w:r>
      <w:r w:rsidRPr="00EE1DEE">
        <w:rPr>
          <w:rFonts w:ascii="Calibri" w:hAnsi="Calibri" w:cs="Calibri"/>
        </w:rPr>
        <w:t>authority to</w:t>
      </w:r>
      <w:r w:rsidR="008A220F" w:rsidRPr="00EE1DEE">
        <w:rPr>
          <w:rFonts w:ascii="Calibri" w:hAnsi="Calibri" w:cs="Calibri"/>
        </w:rPr>
        <w:t xml:space="preserve"> r</w:t>
      </w:r>
      <w:r w:rsidRPr="00EE1DEE">
        <w:rPr>
          <w:rFonts w:ascii="Calibri" w:hAnsi="Calibri" w:cs="Calibri"/>
        </w:rPr>
        <w:t>eject proposed rates on the basis of affordability.</w:t>
      </w:r>
      <w:r w:rsidR="008A220F" w:rsidRPr="00EE1DEE">
        <w:rPr>
          <w:rFonts w:ascii="Calibri" w:hAnsi="Calibri" w:cs="Calibri"/>
        </w:rPr>
        <w:t xml:space="preserve"> Maine’s rate review process would be further strengthened by providing Maine’s Superintendent</w:t>
      </w:r>
      <w:r w:rsidR="00C3408F">
        <w:rPr>
          <w:rFonts w:ascii="Calibri" w:hAnsi="Calibri" w:cs="Calibri"/>
        </w:rPr>
        <w:t xml:space="preserve"> with</w:t>
      </w:r>
      <w:r w:rsidR="008A220F" w:rsidRPr="00EE1DEE">
        <w:rPr>
          <w:rFonts w:ascii="Calibri" w:hAnsi="Calibri" w:cs="Calibri"/>
        </w:rPr>
        <w:t xml:space="preserve"> authority to review </w:t>
      </w:r>
      <w:r w:rsidR="008A220F" w:rsidRPr="00EE1DEE">
        <w:rPr>
          <w:rFonts w:ascii="Calibri" w:hAnsi="Calibri" w:cs="Calibri"/>
          <w:i/>
          <w:iCs/>
        </w:rPr>
        <w:t>all</w:t>
      </w:r>
      <w:r w:rsidR="008A220F" w:rsidRPr="00EE1DEE">
        <w:rPr>
          <w:rFonts w:ascii="Calibri" w:hAnsi="Calibri" w:cs="Calibri"/>
        </w:rPr>
        <w:t xml:space="preserve"> proposed rates, regardless of whether a proposed increase meets a specific threshold, such as California and Oregon have done.</w:t>
      </w:r>
      <w:r w:rsidR="008A220F" w:rsidRPr="00EE1DEE">
        <w:rPr>
          <w:rStyle w:val="FootnoteReference"/>
          <w:rFonts w:ascii="Calibri" w:hAnsi="Calibri" w:cs="Calibri"/>
        </w:rPr>
        <w:footnoteReference w:id="33"/>
      </w:r>
      <w:r w:rsidR="008A220F" w:rsidRPr="00EE1DEE">
        <w:rPr>
          <w:rFonts w:ascii="Calibri" w:hAnsi="Calibri" w:cs="Calibri"/>
        </w:rPr>
        <w:t xml:space="preserve"> </w:t>
      </w:r>
    </w:p>
    <w:p w14:paraId="78B7F079" w14:textId="6E2C4260" w:rsidR="006E4E3F" w:rsidRPr="00EE1DEE" w:rsidRDefault="006E4E3F" w:rsidP="00E048DA">
      <w:pPr>
        <w:rPr>
          <w:rFonts w:ascii="Calibri" w:hAnsi="Calibri" w:cs="Calibri"/>
        </w:rPr>
      </w:pPr>
    </w:p>
    <w:p w14:paraId="32FB592F" w14:textId="6BAFA4F5" w:rsidR="00EE1DEE" w:rsidRPr="00DC4BAE" w:rsidRDefault="00EE1DEE" w:rsidP="00E048DA">
      <w:pPr>
        <w:rPr>
          <w:rFonts w:ascii="Times New Roman" w:eastAsia="Times New Roman" w:hAnsi="Times New Roman" w:cs="Times New Roman"/>
        </w:rPr>
      </w:pPr>
      <w:r w:rsidRPr="006C6B3F">
        <w:rPr>
          <w:rFonts w:ascii="Calibri" w:hAnsi="Calibri"/>
          <w:b/>
        </w:rPr>
        <w:t>Provide State-Level Subsidies</w:t>
      </w:r>
      <w:r w:rsidR="001B20FB">
        <w:rPr>
          <w:rFonts w:ascii="Calibri" w:hAnsi="Calibri" w:cs="Calibri"/>
          <w:b/>
          <w:bCs/>
        </w:rPr>
        <w:t>:</w:t>
      </w:r>
      <w:r w:rsidR="00DC4BAE">
        <w:rPr>
          <w:rFonts w:ascii="Calibri" w:hAnsi="Calibri" w:cs="Calibri"/>
          <w:b/>
          <w:bCs/>
        </w:rPr>
        <w:t xml:space="preserve"> </w:t>
      </w:r>
      <w:r w:rsidR="00DC4BAE" w:rsidRPr="00DC4BAE">
        <w:rPr>
          <w:rFonts w:ascii="Calibri" w:eastAsia="Times New Roman" w:hAnsi="Calibri" w:cs="Calibri"/>
          <w:color w:val="000000"/>
        </w:rPr>
        <w:t>Other states have succeeded in both increasing enrollment and improving their risk pools through providing state financial assistance in addition to the federal APTCs, to further lower coverage costs for populations likely to face financial barriers to enrolling in coverage.</w:t>
      </w:r>
      <w:r w:rsidR="00DC4BAE" w:rsidRPr="00DC4BAE">
        <w:rPr>
          <w:rStyle w:val="FootnoteReference"/>
          <w:rFonts w:ascii="Calibri" w:eastAsia="Times New Roman" w:hAnsi="Calibri" w:cs="Calibri"/>
          <w:color w:val="000000"/>
        </w:rPr>
        <w:footnoteReference w:id="34"/>
      </w:r>
      <w:r w:rsidR="00DC4BAE" w:rsidRPr="00DC4BAE">
        <w:rPr>
          <w:rFonts w:ascii="Calibri" w:eastAsia="Times New Roman" w:hAnsi="Calibri" w:cs="Calibri"/>
          <w:color w:val="000000"/>
        </w:rPr>
        <w:t xml:space="preserve"> Massachusetts, for example, which ha</w:t>
      </w:r>
      <w:r w:rsidR="00FE56E6">
        <w:rPr>
          <w:rFonts w:ascii="Calibri" w:eastAsia="Times New Roman" w:hAnsi="Calibri" w:cs="Calibri"/>
          <w:color w:val="000000"/>
        </w:rPr>
        <w:t>s</w:t>
      </w:r>
      <w:r w:rsidR="00DC4BAE" w:rsidRPr="00DC4BAE">
        <w:rPr>
          <w:rFonts w:ascii="Calibri" w:eastAsia="Times New Roman" w:hAnsi="Calibri" w:cs="Calibri"/>
          <w:color w:val="000000"/>
        </w:rPr>
        <w:t xml:space="preserve"> the highest state rate of enrollment among potentially eligible populations, provides financial assistance </w:t>
      </w:r>
      <w:r w:rsidR="00FE56E6">
        <w:rPr>
          <w:rFonts w:ascii="Calibri" w:eastAsia="Times New Roman" w:hAnsi="Calibri" w:cs="Calibri"/>
          <w:color w:val="000000"/>
        </w:rPr>
        <w:t xml:space="preserve">in addition to federal premium and cost-sharing subsides </w:t>
      </w:r>
      <w:r w:rsidR="00DC4BAE" w:rsidRPr="00DC4BAE">
        <w:rPr>
          <w:rFonts w:ascii="Calibri" w:eastAsia="Times New Roman" w:hAnsi="Calibri" w:cs="Calibri"/>
          <w:color w:val="000000"/>
        </w:rPr>
        <w:t xml:space="preserve">for people with incomes up to 300% FPL. </w:t>
      </w:r>
      <w:r w:rsidR="004935A7">
        <w:rPr>
          <w:rFonts w:ascii="Calibri" w:eastAsia="Times New Roman" w:hAnsi="Calibri" w:cs="Calibri"/>
          <w:color w:val="000000"/>
        </w:rPr>
        <w:t>An analysis of enrollment data from Massachusetts found that lowering premium costs by just $40 led to a 14-24% increase in Marketplace enrollment among eligible individuals.</w:t>
      </w:r>
      <w:r w:rsidR="004935A7">
        <w:rPr>
          <w:rStyle w:val="FootnoteReference"/>
          <w:rFonts w:ascii="Calibri" w:eastAsia="Times New Roman" w:hAnsi="Calibri" w:cs="Calibri"/>
          <w:color w:val="000000"/>
        </w:rPr>
        <w:footnoteReference w:id="35"/>
      </w:r>
      <w:r w:rsidR="004935A7">
        <w:rPr>
          <w:rFonts w:ascii="Calibri" w:eastAsia="Times New Roman" w:hAnsi="Calibri" w:cs="Calibri"/>
          <w:color w:val="000000"/>
        </w:rPr>
        <w:t xml:space="preserve"> </w:t>
      </w:r>
      <w:r w:rsidR="00DC4BAE" w:rsidRPr="00DC4BAE">
        <w:rPr>
          <w:rFonts w:ascii="Calibri" w:eastAsia="Times New Roman" w:hAnsi="Calibri" w:cs="Calibri"/>
          <w:color w:val="000000"/>
        </w:rPr>
        <w:t>A Families USA report estimates that if Maine were able to achieve Massachusetts’ level of Marketplace enrollment among its potential APTC-eligible populations with income below 300% FPL, enrollment would increase by 21,000 people</w:t>
      </w:r>
      <w:r w:rsidR="00DC4BAE">
        <w:rPr>
          <w:rFonts w:ascii="Calibri" w:eastAsia="Times New Roman" w:hAnsi="Calibri" w:cs="Calibri"/>
          <w:color w:val="000000"/>
        </w:rPr>
        <w:t>. N</w:t>
      </w:r>
      <w:r w:rsidR="00FE56E6">
        <w:rPr>
          <w:rFonts w:ascii="Calibri" w:eastAsia="Times New Roman" w:hAnsi="Calibri" w:cs="Calibri"/>
          <w:color w:val="000000"/>
        </w:rPr>
        <w:t xml:space="preserve">ot only would affordability barriers improve for those individuals who gained coverage, but the increase in Marketplace enrollment among this population would likely improve the combined risk pool as well as </w:t>
      </w:r>
      <w:r w:rsidR="00DC4BAE" w:rsidRPr="00DC4BAE">
        <w:rPr>
          <w:rFonts w:ascii="Calibri" w:eastAsia="Times New Roman" w:hAnsi="Calibri" w:cs="Calibri"/>
          <w:color w:val="000000"/>
        </w:rPr>
        <w:t>bring in an</w:t>
      </w:r>
      <w:r w:rsidR="00FE56E6">
        <w:rPr>
          <w:rFonts w:ascii="Calibri" w:eastAsia="Times New Roman" w:hAnsi="Calibri" w:cs="Calibri"/>
          <w:color w:val="000000"/>
        </w:rPr>
        <w:t xml:space="preserve"> estimated</w:t>
      </w:r>
      <w:r w:rsidR="00DC4BAE" w:rsidRPr="00DC4BAE">
        <w:rPr>
          <w:rFonts w:ascii="Calibri" w:eastAsia="Times New Roman" w:hAnsi="Calibri" w:cs="Calibri"/>
          <w:color w:val="000000"/>
        </w:rPr>
        <w:t xml:space="preserve"> additional $152 million in APTC subsidies to Maine</w:t>
      </w:r>
      <w:r w:rsidR="00FE56E6">
        <w:rPr>
          <w:rFonts w:ascii="Calibri" w:eastAsia="Times New Roman" w:hAnsi="Calibri" w:cs="Calibri"/>
          <w:color w:val="000000"/>
        </w:rPr>
        <w:t xml:space="preserve">, which would increase available funding for Maine’s reinsurance </w:t>
      </w:r>
      <w:r w:rsidR="00FE56E6">
        <w:rPr>
          <w:rFonts w:ascii="Calibri" w:eastAsia="Times New Roman" w:hAnsi="Calibri" w:cs="Calibri"/>
          <w:color w:val="000000"/>
        </w:rPr>
        <w:lastRenderedPageBreak/>
        <w:t>program, which cumulatively would also help lower premiums for individuals and small businesses who aren’t eligible for subsidies.</w:t>
      </w:r>
      <w:r w:rsidR="00DC4BAE" w:rsidRPr="00DC4BAE">
        <w:rPr>
          <w:rStyle w:val="FootnoteReference"/>
          <w:rFonts w:ascii="Calibri" w:eastAsia="Times New Roman" w:hAnsi="Calibri" w:cs="Calibri"/>
          <w:color w:val="000000"/>
        </w:rPr>
        <w:footnoteReference w:id="36"/>
      </w:r>
    </w:p>
    <w:p w14:paraId="60D706BF" w14:textId="05695E94" w:rsidR="00EE1DEE" w:rsidRPr="00EE1DEE" w:rsidRDefault="00EE1DEE" w:rsidP="00E048DA">
      <w:pPr>
        <w:rPr>
          <w:rFonts w:ascii="Calibri" w:hAnsi="Calibri" w:cs="Calibri"/>
          <w:b/>
          <w:bCs/>
        </w:rPr>
      </w:pPr>
    </w:p>
    <w:p w14:paraId="6C385576" w14:textId="71BA4877" w:rsidR="00AF2348" w:rsidRDefault="00EE1DEE" w:rsidP="00604713">
      <w:pPr>
        <w:rPr>
          <w:rFonts w:ascii="Calibri" w:hAnsi="Calibri" w:cs="Calibri"/>
        </w:rPr>
      </w:pPr>
      <w:r w:rsidRPr="006C6B3F">
        <w:rPr>
          <w:rFonts w:ascii="Calibri" w:hAnsi="Calibri"/>
          <w:b/>
        </w:rPr>
        <w:t>Establish a Public Option Health Plan</w:t>
      </w:r>
      <w:r w:rsidR="001B20FB">
        <w:rPr>
          <w:rFonts w:ascii="Calibri" w:hAnsi="Calibri" w:cs="Calibri"/>
          <w:b/>
          <w:bCs/>
        </w:rPr>
        <w:t>:</w:t>
      </w:r>
      <w:r>
        <w:rPr>
          <w:rFonts w:ascii="Calibri" w:hAnsi="Calibri" w:cs="Calibri"/>
          <w:b/>
          <w:bCs/>
        </w:rPr>
        <w:t xml:space="preserve"> </w:t>
      </w:r>
      <w:r>
        <w:rPr>
          <w:rFonts w:ascii="Calibri" w:hAnsi="Calibri" w:cs="Calibri"/>
        </w:rPr>
        <w:t>We encourage the Office to explore public option models</w:t>
      </w:r>
      <w:r w:rsidR="00646E07">
        <w:rPr>
          <w:rFonts w:ascii="Calibri" w:hAnsi="Calibri" w:cs="Calibri"/>
        </w:rPr>
        <w:t xml:space="preserve"> that increase consumer choice and strengthen market competition for </w:t>
      </w:r>
      <w:r w:rsidR="008E36CD">
        <w:rPr>
          <w:rFonts w:ascii="Calibri" w:hAnsi="Calibri" w:cs="Calibri"/>
        </w:rPr>
        <w:t>comprehensive</w:t>
      </w:r>
      <w:r w:rsidR="006C6B3F">
        <w:rPr>
          <w:rFonts w:ascii="Calibri" w:hAnsi="Calibri" w:cs="Calibri"/>
        </w:rPr>
        <w:t xml:space="preserve">, </w:t>
      </w:r>
      <w:r w:rsidR="00646E07">
        <w:rPr>
          <w:rFonts w:ascii="Calibri" w:hAnsi="Calibri" w:cs="Calibri"/>
        </w:rPr>
        <w:t>affordable</w:t>
      </w:r>
      <w:r w:rsidR="008E36CD">
        <w:rPr>
          <w:rFonts w:ascii="Calibri" w:hAnsi="Calibri" w:cs="Calibri"/>
        </w:rPr>
        <w:t xml:space="preserve"> health coverage</w:t>
      </w:r>
      <w:r w:rsidR="00646E07">
        <w:rPr>
          <w:rFonts w:ascii="Calibri" w:hAnsi="Calibri" w:cs="Calibri"/>
        </w:rPr>
        <w:t xml:space="preserve">, and aim to lower health care costs. </w:t>
      </w:r>
      <w:r w:rsidR="00B051BD" w:rsidRPr="00102E55">
        <w:rPr>
          <w:rFonts w:ascii="Calibri" w:hAnsi="Calibri" w:cs="Calibri"/>
        </w:rPr>
        <w:t>Several states have established or enacted legislation to establish or are currently considering some form of a public option</w:t>
      </w:r>
      <w:r w:rsidR="00054624">
        <w:rPr>
          <w:rFonts w:ascii="Calibri" w:hAnsi="Calibri" w:cs="Calibri"/>
        </w:rPr>
        <w:t>.</w:t>
      </w:r>
      <w:r w:rsidR="00054624" w:rsidRPr="008C5AA6">
        <w:rPr>
          <w:rFonts w:ascii="Calibri" w:hAnsi="Calibri"/>
        </w:rPr>
        <w:t xml:space="preserve"> </w:t>
      </w:r>
      <w:r w:rsidR="00F50461" w:rsidRPr="00054624">
        <w:rPr>
          <w:rFonts w:ascii="Calibri" w:hAnsi="Calibri" w:cs="Calibri"/>
        </w:rPr>
        <w:t>Colorado</w:t>
      </w:r>
      <w:r w:rsidR="00692D8E" w:rsidRPr="00054624">
        <w:rPr>
          <w:rFonts w:ascii="Calibri" w:hAnsi="Calibri" w:cs="Calibri"/>
        </w:rPr>
        <w:t xml:space="preserve">’s </w:t>
      </w:r>
      <w:r w:rsidR="00F50461" w:rsidRPr="00054624">
        <w:rPr>
          <w:rFonts w:ascii="Calibri" w:hAnsi="Calibri" w:cs="Calibri"/>
        </w:rPr>
        <w:t xml:space="preserve">public option </w:t>
      </w:r>
      <w:r w:rsidR="00574E63" w:rsidRPr="00054624">
        <w:rPr>
          <w:color w:val="1A1A1A"/>
          <w:spacing w:val="-3"/>
          <w:shd w:val="clear" w:color="auto" w:fill="FFFFFF"/>
        </w:rPr>
        <w:t xml:space="preserve">requires insurers to offer gold, silver, and bronze tier public option plans in all counties where they offer individual or small-employer plans. </w:t>
      </w:r>
      <w:r w:rsidR="005B519E" w:rsidRPr="00054624">
        <w:rPr>
          <w:color w:val="1A1A1A"/>
          <w:spacing w:val="-3"/>
          <w:shd w:val="clear" w:color="auto" w:fill="FFFFFF"/>
        </w:rPr>
        <w:t>Colorado Option plans must meet certain </w:t>
      </w:r>
      <w:r w:rsidR="005B519E" w:rsidRPr="00604713">
        <w:rPr>
          <w:spacing w:val="-3"/>
          <w:shd w:val="clear" w:color="auto" w:fill="FFFFFF"/>
        </w:rPr>
        <w:t>premium rate reduction targets</w:t>
      </w:r>
      <w:r w:rsidR="005B519E" w:rsidRPr="00054624">
        <w:rPr>
          <w:color w:val="1A1A1A"/>
          <w:spacing w:val="-3"/>
          <w:shd w:val="clear" w:color="auto" w:fill="FFFFFF"/>
        </w:rPr>
        <w:t xml:space="preserve"> and health equity </w:t>
      </w:r>
      <w:r w:rsidR="005B519E" w:rsidRPr="00604713">
        <w:rPr>
          <w:spacing w:val="-3"/>
          <w:shd w:val="clear" w:color="auto" w:fill="FFFFFF"/>
        </w:rPr>
        <w:t>network requirements</w:t>
      </w:r>
      <w:r w:rsidR="005B519E" w:rsidRPr="00054624">
        <w:rPr>
          <w:color w:val="1A1A1A"/>
          <w:spacing w:val="-3"/>
          <w:shd w:val="clear" w:color="auto" w:fill="FFFFFF"/>
        </w:rPr>
        <w:t>.</w:t>
      </w:r>
      <w:r w:rsidR="00692D8E">
        <w:rPr>
          <w:rStyle w:val="FootnoteReference"/>
          <w:color w:val="1A1A1A"/>
          <w:spacing w:val="-3"/>
          <w:shd w:val="clear" w:color="auto" w:fill="FFFFFF"/>
        </w:rPr>
        <w:footnoteReference w:id="37"/>
      </w:r>
      <w:r w:rsidR="00054624">
        <w:rPr>
          <w:rFonts w:ascii="Calibri" w:hAnsi="Calibri" w:cs="Calibri"/>
        </w:rPr>
        <w:t xml:space="preserve"> Washington and Nevada have also begun</w:t>
      </w:r>
      <w:r w:rsidR="00436005">
        <w:rPr>
          <w:rFonts w:ascii="Calibri" w:hAnsi="Calibri" w:cs="Calibri"/>
        </w:rPr>
        <w:t xml:space="preserve"> planning for or</w:t>
      </w:r>
      <w:r w:rsidR="00054624">
        <w:rPr>
          <w:rFonts w:ascii="Calibri" w:hAnsi="Calibri" w:cs="Calibri"/>
        </w:rPr>
        <w:t xml:space="preserve"> implementing public option plans. </w:t>
      </w:r>
    </w:p>
    <w:p w14:paraId="6F13206D" w14:textId="4BCFD6EE" w:rsidR="0091726D" w:rsidRDefault="0091726D" w:rsidP="00604713">
      <w:pPr>
        <w:rPr>
          <w:rFonts w:ascii="Calibri" w:hAnsi="Calibri" w:cs="Calibri"/>
        </w:rPr>
      </w:pPr>
    </w:p>
    <w:p w14:paraId="6F5F5416" w14:textId="4BED50FF" w:rsidR="0091726D" w:rsidRPr="0091726D" w:rsidRDefault="0091726D" w:rsidP="0091726D">
      <w:pPr>
        <w:spacing w:before="100" w:beforeAutospacing="1" w:after="100" w:afterAutospacing="1"/>
        <w:rPr>
          <w:rFonts w:ascii="Times New Roman" w:eastAsia="Times New Roman" w:hAnsi="Times New Roman" w:cs="Times New Roman"/>
        </w:rPr>
      </w:pPr>
      <w:r w:rsidRPr="0091726D">
        <w:rPr>
          <w:rFonts w:ascii="Calibri" w:eastAsia="Times New Roman" w:hAnsi="Calibri" w:cs="Calibri"/>
        </w:rPr>
        <w:t xml:space="preserve">Thank you very much for </w:t>
      </w:r>
      <w:r>
        <w:rPr>
          <w:rFonts w:ascii="Calibri" w:eastAsia="Times New Roman" w:hAnsi="Calibri" w:cs="Calibri"/>
        </w:rPr>
        <w:t xml:space="preserve">the opportunity to submit these comments and for your </w:t>
      </w:r>
      <w:r w:rsidRPr="0091726D">
        <w:rPr>
          <w:rFonts w:ascii="Calibri" w:eastAsia="Times New Roman" w:hAnsi="Calibri" w:cs="Calibri"/>
        </w:rPr>
        <w:t>consideration</w:t>
      </w:r>
      <w:r w:rsidR="00AE03D7">
        <w:rPr>
          <w:rFonts w:ascii="Calibri" w:eastAsia="Times New Roman" w:hAnsi="Calibri" w:cs="Calibri"/>
        </w:rPr>
        <w:t xml:space="preserve"> of the issues and policy solutions raised</w:t>
      </w:r>
      <w:r>
        <w:rPr>
          <w:rFonts w:ascii="Calibri" w:eastAsia="Times New Roman" w:hAnsi="Calibri" w:cs="Calibri"/>
        </w:rPr>
        <w:t xml:space="preserve">. </w:t>
      </w:r>
      <w:r w:rsidRPr="0091726D">
        <w:rPr>
          <w:rFonts w:ascii="Calibri" w:eastAsia="Times New Roman" w:hAnsi="Calibri" w:cs="Calibri"/>
        </w:rPr>
        <w:t>If you have further questions, please</w:t>
      </w:r>
      <w:r w:rsidR="00AE03D7">
        <w:rPr>
          <w:rFonts w:ascii="Calibri" w:eastAsia="Times New Roman" w:hAnsi="Calibri" w:cs="Calibri"/>
        </w:rPr>
        <w:t xml:space="preserve"> don’t hesitate to</w:t>
      </w:r>
      <w:r w:rsidRPr="0091726D">
        <w:rPr>
          <w:rFonts w:ascii="Calibri" w:eastAsia="Times New Roman" w:hAnsi="Calibri" w:cs="Calibri"/>
        </w:rPr>
        <w:t xml:space="preserve"> contact </w:t>
      </w:r>
      <w:r w:rsidR="00AE03D7">
        <w:rPr>
          <w:rFonts w:ascii="Calibri" w:eastAsia="Times New Roman" w:hAnsi="Calibri" w:cs="Calibri"/>
        </w:rPr>
        <w:t>me</w:t>
      </w:r>
      <w:r w:rsidRPr="0091726D">
        <w:rPr>
          <w:rFonts w:ascii="Calibri" w:eastAsia="Times New Roman" w:hAnsi="Calibri" w:cs="Calibri"/>
        </w:rPr>
        <w:t xml:space="preserve"> </w:t>
      </w:r>
      <w:r w:rsidR="00AE03D7">
        <w:rPr>
          <w:rFonts w:ascii="Calibri" w:eastAsia="Times New Roman" w:hAnsi="Calibri" w:cs="Calibri"/>
        </w:rPr>
        <w:t xml:space="preserve">at </w:t>
      </w:r>
      <w:hyperlink r:id="rId13" w:history="1">
        <w:r w:rsidR="00AE03D7" w:rsidRPr="0091726D">
          <w:rPr>
            <w:rStyle w:val="Hyperlink"/>
            <w:rFonts w:ascii="Calibri" w:eastAsia="Times New Roman" w:hAnsi="Calibri" w:cs="Calibri"/>
          </w:rPr>
          <w:t>kende@mainecahc.org</w:t>
        </w:r>
      </w:hyperlink>
      <w:r w:rsidR="00AE03D7">
        <w:rPr>
          <w:rFonts w:ascii="Calibri" w:eastAsia="Times New Roman" w:hAnsi="Calibri" w:cs="Calibri"/>
          <w:color w:val="0000FF"/>
        </w:rPr>
        <w:t xml:space="preserve"> </w:t>
      </w:r>
      <w:r w:rsidRPr="0091726D">
        <w:rPr>
          <w:rFonts w:ascii="Calibri" w:eastAsia="Times New Roman" w:hAnsi="Calibri" w:cs="Calibri"/>
        </w:rPr>
        <w:t>or 207-480-2136</w:t>
      </w:r>
      <w:r w:rsidRPr="0091726D">
        <w:rPr>
          <w:rFonts w:ascii="Calibri" w:eastAsia="Times New Roman" w:hAnsi="Calibri" w:cs="Calibri"/>
          <w:b/>
          <w:bCs/>
        </w:rPr>
        <w:t xml:space="preserve">. </w:t>
      </w:r>
    </w:p>
    <w:p w14:paraId="3729B871" w14:textId="77777777" w:rsidR="0091726D" w:rsidRPr="0091726D" w:rsidRDefault="0091726D" w:rsidP="0091726D">
      <w:pPr>
        <w:spacing w:before="100" w:beforeAutospacing="1" w:after="100" w:afterAutospacing="1"/>
        <w:rPr>
          <w:rFonts w:ascii="Times New Roman" w:eastAsia="Times New Roman" w:hAnsi="Times New Roman" w:cs="Times New Roman"/>
        </w:rPr>
      </w:pPr>
      <w:r w:rsidRPr="0091726D">
        <w:rPr>
          <w:rFonts w:ascii="Calibri" w:eastAsia="Times New Roman" w:hAnsi="Calibri" w:cs="Calibri"/>
        </w:rPr>
        <w:t xml:space="preserve">Sincerely, </w:t>
      </w:r>
    </w:p>
    <w:p w14:paraId="1CB1871B" w14:textId="3F724195" w:rsidR="0091726D" w:rsidRPr="00AE03D7" w:rsidRDefault="0091726D" w:rsidP="00AE03D7">
      <w:pPr>
        <w:spacing w:before="100" w:beforeAutospacing="1" w:after="100" w:afterAutospacing="1"/>
        <w:rPr>
          <w:rFonts w:ascii="Times New Roman" w:eastAsia="Times New Roman" w:hAnsi="Times New Roman" w:cs="Times New Roman"/>
        </w:rPr>
      </w:pPr>
      <w:r w:rsidRPr="0091726D">
        <w:rPr>
          <w:rFonts w:ascii="Calibri" w:eastAsia="Times New Roman" w:hAnsi="Calibri" w:cs="Calibri"/>
        </w:rPr>
        <w:t>Kate Ende</w:t>
      </w:r>
      <w:r w:rsidRPr="0091726D">
        <w:rPr>
          <w:rFonts w:ascii="Calibri" w:eastAsia="Times New Roman" w:hAnsi="Calibri" w:cs="Calibri"/>
        </w:rPr>
        <w:br/>
        <w:t>Policy Director</w:t>
      </w:r>
      <w:r w:rsidRPr="0091726D">
        <w:rPr>
          <w:rFonts w:ascii="Calibri" w:eastAsia="Times New Roman" w:hAnsi="Calibri" w:cs="Calibri"/>
        </w:rPr>
        <w:br/>
        <w:t xml:space="preserve">Consumers for Affordable Health Care </w:t>
      </w:r>
    </w:p>
    <w:sectPr w:rsidR="0091726D" w:rsidRPr="00AE03D7" w:rsidSect="00195F24">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B95988" w14:textId="77777777" w:rsidR="0018550C" w:rsidRDefault="0018550C" w:rsidP="00F9282E">
      <w:r>
        <w:separator/>
      </w:r>
    </w:p>
  </w:endnote>
  <w:endnote w:type="continuationSeparator" w:id="0">
    <w:p w14:paraId="2BC2FC26" w14:textId="77777777" w:rsidR="0018550C" w:rsidRDefault="0018550C" w:rsidP="00F9282E">
      <w:r>
        <w:continuationSeparator/>
      </w:r>
    </w:p>
  </w:endnote>
  <w:endnote w:type="continuationNotice" w:id="1">
    <w:p w14:paraId="008EE155" w14:textId="77777777" w:rsidR="0018550C" w:rsidRDefault="001855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053765"/>
      <w:docPartObj>
        <w:docPartGallery w:val="Page Numbers (Bottom of Page)"/>
        <w:docPartUnique/>
      </w:docPartObj>
    </w:sdtPr>
    <w:sdtEndPr>
      <w:rPr>
        <w:noProof/>
      </w:rPr>
    </w:sdtEndPr>
    <w:sdtContent>
      <w:p w14:paraId="60D9BF08" w14:textId="2D13C1F9" w:rsidR="006300EB" w:rsidRDefault="006300E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23DFF0" w14:textId="0652AF17" w:rsidR="006300EB" w:rsidRDefault="006300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3E427E" w14:textId="77777777" w:rsidR="0018550C" w:rsidRDefault="0018550C" w:rsidP="00F9282E">
      <w:r>
        <w:separator/>
      </w:r>
    </w:p>
  </w:footnote>
  <w:footnote w:type="continuationSeparator" w:id="0">
    <w:p w14:paraId="4E80FAE0" w14:textId="77777777" w:rsidR="0018550C" w:rsidRDefault="0018550C" w:rsidP="00F9282E">
      <w:r>
        <w:continuationSeparator/>
      </w:r>
    </w:p>
  </w:footnote>
  <w:footnote w:type="continuationNotice" w:id="1">
    <w:p w14:paraId="40E0D632" w14:textId="77777777" w:rsidR="0018550C" w:rsidRDefault="0018550C"/>
  </w:footnote>
  <w:footnote w:id="2">
    <w:p w14:paraId="345BEC1B" w14:textId="35EF2F4F" w:rsidR="00A309AC" w:rsidRPr="001300D4" w:rsidRDefault="00A309AC" w:rsidP="001300D4">
      <w:pPr>
        <w:pStyle w:val="FootnoteText"/>
      </w:pPr>
      <w:r w:rsidRPr="001300D4">
        <w:rPr>
          <w:rStyle w:val="FootnoteReference"/>
        </w:rPr>
        <w:footnoteRef/>
      </w:r>
      <w:r w:rsidRPr="001300D4">
        <w:t xml:space="preserve"> </w:t>
      </w:r>
      <w:hyperlink r:id="rId1" w:history="1">
        <w:r w:rsidRPr="001300D4">
          <w:rPr>
            <w:rStyle w:val="Hyperlink"/>
          </w:rPr>
          <w:t>https://www.mainecahc.org/wp-content/uploads/2023/05/Polling-Views-of-Maine-Voters-On-Health-Care-Affordability.pdf</w:t>
        </w:r>
      </w:hyperlink>
      <w:r w:rsidRPr="001300D4">
        <w:t xml:space="preserve"> </w:t>
      </w:r>
    </w:p>
  </w:footnote>
  <w:footnote w:id="3">
    <w:p w14:paraId="67BF96A4" w14:textId="77777777" w:rsidR="00D33153" w:rsidRPr="001300D4" w:rsidRDefault="00D33153" w:rsidP="001300D4">
      <w:pPr>
        <w:pStyle w:val="FootnoteText"/>
      </w:pPr>
      <w:r w:rsidRPr="001300D4">
        <w:rPr>
          <w:rStyle w:val="FootnoteReference"/>
        </w:rPr>
        <w:footnoteRef/>
      </w:r>
      <w:r w:rsidRPr="001300D4">
        <w:t xml:space="preserve"> </w:t>
      </w:r>
      <w:hyperlink r:id="rId2" w:history="1">
        <w:r w:rsidRPr="001300D4">
          <w:rPr>
            <w:rStyle w:val="Hyperlink"/>
          </w:rPr>
          <w:t>https://www.clasp.org/publications/fact-sheet/evidence-builds-access-medicaid-helps-people-work/</w:t>
        </w:r>
      </w:hyperlink>
      <w:r w:rsidRPr="001300D4">
        <w:t xml:space="preserve"> </w:t>
      </w:r>
    </w:p>
  </w:footnote>
  <w:footnote w:id="4">
    <w:p w14:paraId="658A30FB" w14:textId="296D794A" w:rsidR="00195F24" w:rsidRPr="001300D4" w:rsidRDefault="00195F24" w:rsidP="001300D4">
      <w:pPr>
        <w:pStyle w:val="FootnoteText"/>
      </w:pPr>
      <w:r w:rsidRPr="001300D4">
        <w:rPr>
          <w:rStyle w:val="FootnoteReference"/>
        </w:rPr>
        <w:footnoteRef/>
      </w:r>
      <w:r w:rsidRPr="001300D4">
        <w:t xml:space="preserve"> </w:t>
      </w:r>
      <w:hyperlink r:id="rId3" w:history="1">
        <w:r w:rsidRPr="001300D4">
          <w:rPr>
            <w:rStyle w:val="Hyperlink"/>
          </w:rPr>
          <w:t>https://www.mainecahc.org/wp-content/uploads/2023/05/Polling-Views-of-Maine-Voters-On-Health-Care-Affordability.pdf</w:t>
        </w:r>
      </w:hyperlink>
      <w:r w:rsidRPr="001300D4">
        <w:t xml:space="preserve"> </w:t>
      </w:r>
    </w:p>
  </w:footnote>
  <w:footnote w:id="5">
    <w:p w14:paraId="2F7EA3D5" w14:textId="1C2BD7DD" w:rsidR="00195F24" w:rsidRPr="001300D4" w:rsidRDefault="00195F24" w:rsidP="001300D4">
      <w:pPr>
        <w:pStyle w:val="FootnoteText"/>
      </w:pPr>
      <w:r w:rsidRPr="001300D4">
        <w:rPr>
          <w:rStyle w:val="FootnoteReference"/>
        </w:rPr>
        <w:footnoteRef/>
      </w:r>
      <w:r w:rsidRPr="001300D4">
        <w:t xml:space="preserve"> </w:t>
      </w:r>
      <w:hyperlink r:id="rId4" w:history="1">
        <w:r w:rsidRPr="001300D4">
          <w:rPr>
            <w:rStyle w:val="Hyperlink"/>
          </w:rPr>
          <w:t>https://mhdo.maine.gov/tableau/prescriptionReports.html</w:t>
        </w:r>
      </w:hyperlink>
      <w:r w:rsidRPr="001300D4">
        <w:t xml:space="preserve"> </w:t>
      </w:r>
    </w:p>
  </w:footnote>
  <w:footnote w:id="6">
    <w:p w14:paraId="74BC91F7" w14:textId="5EBA63CC" w:rsidR="00195F24" w:rsidRPr="001300D4" w:rsidRDefault="00195F24" w:rsidP="001300D4">
      <w:pPr>
        <w:pStyle w:val="FootnoteText"/>
      </w:pPr>
      <w:r w:rsidRPr="001300D4">
        <w:rPr>
          <w:rStyle w:val="FootnoteReference"/>
        </w:rPr>
        <w:footnoteRef/>
      </w:r>
      <w:r w:rsidRPr="001300D4">
        <w:t xml:space="preserve"> Ibid.</w:t>
      </w:r>
    </w:p>
  </w:footnote>
  <w:footnote w:id="7">
    <w:p w14:paraId="563D98E3" w14:textId="77777777" w:rsidR="00195F24" w:rsidRPr="001300D4" w:rsidRDefault="00195F24" w:rsidP="001300D4">
      <w:pPr>
        <w:pStyle w:val="FootnoteText"/>
      </w:pPr>
      <w:r w:rsidRPr="001300D4">
        <w:rPr>
          <w:rStyle w:val="FootnoteReference"/>
        </w:rPr>
        <w:footnoteRef/>
      </w:r>
      <w:r w:rsidRPr="001300D4">
        <w:t xml:space="preserve"> </w:t>
      </w:r>
      <w:hyperlink r:id="rId5" w:history="1">
        <w:r w:rsidRPr="001300D4">
          <w:rPr>
            <w:rStyle w:val="Hyperlink"/>
          </w:rPr>
          <w:t>https://www.mainecahc.org/wp-content/uploads/2023/05/Polling-Views-of-Maine-Voters-On-Health-Care-Affordability.pdf</w:t>
        </w:r>
      </w:hyperlink>
      <w:r w:rsidRPr="001300D4">
        <w:t xml:space="preserve"> </w:t>
      </w:r>
    </w:p>
  </w:footnote>
  <w:footnote w:id="8">
    <w:p w14:paraId="30712A03" w14:textId="2D3E4DC7" w:rsidR="00795803" w:rsidRPr="001300D4" w:rsidRDefault="00795803" w:rsidP="001300D4">
      <w:pPr>
        <w:pStyle w:val="FootnoteText"/>
      </w:pPr>
      <w:r w:rsidRPr="001300D4">
        <w:rPr>
          <w:rStyle w:val="FootnoteReference"/>
        </w:rPr>
        <w:footnoteRef/>
      </w:r>
      <w:r w:rsidRPr="001300D4">
        <w:t xml:space="preserve"> Ibid.</w:t>
      </w:r>
    </w:p>
  </w:footnote>
  <w:footnote w:id="9">
    <w:p w14:paraId="52F9BD3D" w14:textId="65212A20" w:rsidR="00195F24" w:rsidRPr="001300D4" w:rsidRDefault="00195F24" w:rsidP="001300D4">
      <w:pPr>
        <w:pStyle w:val="FootnoteText"/>
      </w:pPr>
      <w:r w:rsidRPr="001300D4">
        <w:rPr>
          <w:rStyle w:val="FootnoteReference"/>
        </w:rPr>
        <w:footnoteRef/>
      </w:r>
      <w:r w:rsidRPr="001300D4">
        <w:t xml:space="preserve"> </w:t>
      </w:r>
      <w:r w:rsidR="00CE0073">
        <w:t>Ibid.</w:t>
      </w:r>
      <w:r w:rsidRPr="001300D4">
        <w:t xml:space="preserve"> </w:t>
      </w:r>
    </w:p>
  </w:footnote>
  <w:footnote w:id="10">
    <w:p w14:paraId="18C076D5" w14:textId="0C113779" w:rsidR="0028469F" w:rsidRPr="001300D4" w:rsidRDefault="0028469F" w:rsidP="001300D4">
      <w:pPr>
        <w:pStyle w:val="FootnoteText"/>
      </w:pPr>
      <w:r w:rsidRPr="001300D4">
        <w:rPr>
          <w:rStyle w:val="FootnoteReference"/>
        </w:rPr>
        <w:footnoteRef/>
      </w:r>
      <w:r w:rsidRPr="001300D4">
        <w:t xml:space="preserve"> </w:t>
      </w:r>
      <w:hyperlink r:id="rId6" w:history="1">
        <w:r w:rsidR="00CE0073" w:rsidRPr="00DF3FCF">
          <w:rPr>
            <w:rStyle w:val="Hyperlink"/>
          </w:rPr>
          <w:t>https://academic.oup.com/qje/article-abstract/134/1/51/5090426?login=false</w:t>
        </w:r>
      </w:hyperlink>
      <w:r w:rsidR="00DD7196" w:rsidRPr="001300D4">
        <w:t xml:space="preserve"> </w:t>
      </w:r>
    </w:p>
  </w:footnote>
  <w:footnote w:id="11">
    <w:p w14:paraId="575B99FC" w14:textId="0BB4DBDE" w:rsidR="00537F1C" w:rsidRPr="001300D4" w:rsidRDefault="00537F1C" w:rsidP="001300D4">
      <w:pPr>
        <w:pStyle w:val="FootnoteText"/>
      </w:pPr>
      <w:r w:rsidRPr="001300D4">
        <w:rPr>
          <w:rStyle w:val="FootnoteReference"/>
        </w:rPr>
        <w:footnoteRef/>
      </w:r>
      <w:r w:rsidRPr="001300D4">
        <w:t xml:space="preserve"> </w:t>
      </w:r>
      <w:hyperlink r:id="rId7" w:anchor="HMI-Summary-Report-Current-Spending" w:history="1">
        <w:r w:rsidR="00AC5C5D" w:rsidRPr="001300D4">
          <w:rPr>
            <w:rStyle w:val="Hyperlink"/>
          </w:rPr>
          <w:t>https://healthcostinstitute.org/hcci-originals/hmi-interactive#HMI-Summary-Report-Current-Spending</w:t>
        </w:r>
      </w:hyperlink>
      <w:r w:rsidR="00AC5C5D" w:rsidRPr="001300D4">
        <w:t xml:space="preserve"> </w:t>
      </w:r>
    </w:p>
  </w:footnote>
  <w:footnote w:id="12">
    <w:p w14:paraId="07005D56" w14:textId="77777777" w:rsidR="00F44095" w:rsidRPr="001300D4" w:rsidRDefault="00F44095" w:rsidP="001300D4">
      <w:pPr>
        <w:pStyle w:val="FootnoteText"/>
      </w:pPr>
      <w:r w:rsidRPr="001300D4">
        <w:rPr>
          <w:rStyle w:val="FootnoteReference"/>
        </w:rPr>
        <w:footnoteRef/>
      </w:r>
      <w:r w:rsidRPr="001300D4">
        <w:t xml:space="preserve"> </w:t>
      </w:r>
      <w:hyperlink r:id="rId8" w:history="1">
        <w:r w:rsidRPr="001300D4">
          <w:rPr>
            <w:rStyle w:val="Hyperlink"/>
          </w:rPr>
          <w:t>https://www.mainecahc.org/wp-content/uploads/2023/05/Polling-Views-of-Maine-Voters-On-Health-Care-Affordability.pdf</w:t>
        </w:r>
      </w:hyperlink>
      <w:r w:rsidRPr="001300D4">
        <w:t xml:space="preserve"> </w:t>
      </w:r>
    </w:p>
  </w:footnote>
  <w:footnote w:id="13">
    <w:p w14:paraId="028B608E" w14:textId="6191911B" w:rsidR="00195F24" w:rsidRPr="001300D4" w:rsidRDefault="00195F24" w:rsidP="001300D4">
      <w:pPr>
        <w:rPr>
          <w:rFonts w:ascii="Times New Roman" w:eastAsia="Times New Roman" w:hAnsi="Times New Roman" w:cs="Times New Roman"/>
          <w:sz w:val="20"/>
          <w:szCs w:val="20"/>
        </w:rPr>
      </w:pPr>
      <w:r w:rsidRPr="001300D4">
        <w:rPr>
          <w:rStyle w:val="FootnoteReference"/>
          <w:sz w:val="20"/>
          <w:szCs w:val="20"/>
        </w:rPr>
        <w:footnoteRef/>
      </w:r>
      <w:r w:rsidRPr="001300D4">
        <w:rPr>
          <w:sz w:val="20"/>
          <w:szCs w:val="20"/>
        </w:rPr>
        <w:t xml:space="preserve"> </w:t>
      </w:r>
      <w:r w:rsidRPr="001300D4">
        <w:rPr>
          <w:rFonts w:ascii="Calibri" w:eastAsia="Times New Roman" w:hAnsi="Calibri" w:cs="Calibri"/>
          <w:color w:val="000000"/>
          <w:sz w:val="20"/>
          <w:szCs w:val="20"/>
          <w:shd w:val="clear" w:color="auto" w:fill="FFFFFF"/>
        </w:rPr>
        <w:t>Marcia </w:t>
      </w:r>
      <w:proofErr w:type="spellStart"/>
      <w:r w:rsidRPr="001300D4">
        <w:rPr>
          <w:rFonts w:ascii="Calibri" w:eastAsia="Times New Roman" w:hAnsi="Calibri" w:cs="Calibri"/>
          <w:color w:val="000000"/>
          <w:sz w:val="20"/>
          <w:szCs w:val="20"/>
          <w:shd w:val="clear" w:color="auto" w:fill="FFFFFF"/>
        </w:rPr>
        <w:t>Frellick</w:t>
      </w:r>
      <w:proofErr w:type="spellEnd"/>
      <w:r w:rsidRPr="001300D4">
        <w:rPr>
          <w:rFonts w:ascii="Calibri" w:eastAsia="Times New Roman" w:hAnsi="Calibri" w:cs="Calibri"/>
          <w:color w:val="000000"/>
          <w:sz w:val="20"/>
          <w:szCs w:val="20"/>
          <w:shd w:val="clear" w:color="auto" w:fill="FFFFFF"/>
        </w:rPr>
        <w:t>, </w:t>
      </w:r>
      <w:r w:rsidRPr="001300D4">
        <w:rPr>
          <w:rFonts w:ascii="Calibri" w:eastAsia="Times New Roman" w:hAnsi="Calibri" w:cs="Calibri"/>
          <w:i/>
          <w:iCs/>
          <w:color w:val="000000"/>
          <w:sz w:val="20"/>
          <w:szCs w:val="20"/>
          <w:shd w:val="clear" w:color="auto" w:fill="FFFFFF"/>
        </w:rPr>
        <w:t>Kids Who Have Medicaid or CHIP Get More Preventive Care</w:t>
      </w:r>
      <w:r w:rsidRPr="001300D4">
        <w:rPr>
          <w:rFonts w:ascii="Calibri" w:eastAsia="Times New Roman" w:hAnsi="Calibri" w:cs="Calibri"/>
          <w:color w:val="000000"/>
          <w:sz w:val="20"/>
          <w:szCs w:val="20"/>
          <w:shd w:val="clear" w:color="auto" w:fill="FFFFFF"/>
        </w:rPr>
        <w:t>, Medscape Multispecialty (November 18, 2015), </w:t>
      </w:r>
      <w:hyperlink r:id="rId9" w:tgtFrame="_blank" w:history="1">
        <w:r w:rsidRPr="001300D4">
          <w:rPr>
            <w:rFonts w:ascii="Calibri" w:eastAsia="Times New Roman" w:hAnsi="Calibri" w:cs="Calibri"/>
            <w:color w:val="0563C1"/>
            <w:sz w:val="20"/>
            <w:szCs w:val="20"/>
            <w:u w:val="single"/>
            <w:shd w:val="clear" w:color="auto" w:fill="FFFFFF"/>
          </w:rPr>
          <w:t>http://www.medscape.com/viewarticle/854656</w:t>
        </w:r>
      </w:hyperlink>
      <w:r w:rsidRPr="001300D4">
        <w:rPr>
          <w:rFonts w:ascii="Calibri" w:eastAsia="Times New Roman" w:hAnsi="Calibri" w:cs="Calibri"/>
          <w:color w:val="000000"/>
          <w:sz w:val="20"/>
          <w:szCs w:val="20"/>
          <w:shd w:val="clear" w:color="auto" w:fill="FFFFFF"/>
        </w:rPr>
        <w:t>; Rand Corporation, Children's Access To Health Care, </w:t>
      </w:r>
      <w:hyperlink r:id="rId10" w:tgtFrame="_blank" w:history="1">
        <w:r w:rsidRPr="001300D4">
          <w:rPr>
            <w:rFonts w:ascii="Calibri" w:eastAsia="Times New Roman" w:hAnsi="Calibri" w:cs="Calibri"/>
            <w:color w:val="0563C1"/>
            <w:sz w:val="20"/>
            <w:szCs w:val="20"/>
            <w:u w:val="single"/>
            <w:shd w:val="clear" w:color="auto" w:fill="FFFFFF"/>
          </w:rPr>
          <w:t>http://www.rand.org/topics/childrens-access-to-health-care.html</w:t>
        </w:r>
      </w:hyperlink>
      <w:r w:rsidR="001300D4" w:rsidRPr="001300D4">
        <w:rPr>
          <w:rFonts w:ascii="Calibri" w:eastAsia="Times New Roman" w:hAnsi="Calibri" w:cs="Calibri"/>
          <w:color w:val="000000"/>
          <w:sz w:val="20"/>
          <w:szCs w:val="20"/>
          <w:shd w:val="clear" w:color="auto" w:fill="FFFFFF"/>
        </w:rPr>
        <w:t>.</w:t>
      </w:r>
    </w:p>
  </w:footnote>
  <w:footnote w:id="14">
    <w:p w14:paraId="00116D4B" w14:textId="79B7AC70" w:rsidR="00195F24" w:rsidRPr="001300D4" w:rsidRDefault="00195F24" w:rsidP="001300D4">
      <w:pPr>
        <w:pStyle w:val="FootnoteText"/>
      </w:pPr>
      <w:r w:rsidRPr="001300D4">
        <w:rPr>
          <w:rStyle w:val="FootnoteReference"/>
        </w:rPr>
        <w:footnoteRef/>
      </w:r>
      <w:r w:rsidRPr="001300D4">
        <w:t xml:space="preserve"> </w:t>
      </w:r>
      <w:hyperlink r:id="rId11" w:history="1">
        <w:r w:rsidRPr="001300D4">
          <w:rPr>
            <w:rStyle w:val="Hyperlink"/>
          </w:rPr>
          <w:t>https://ccf.georgetown.edu/2023/05/01/expedited-cms-approvals-in-washington-and-oregon-can-further-minimize-coverage-disruptions-aid-unwinding/</w:t>
        </w:r>
      </w:hyperlink>
      <w:r w:rsidRPr="001300D4">
        <w:t xml:space="preserve"> </w:t>
      </w:r>
    </w:p>
  </w:footnote>
  <w:footnote w:id="15">
    <w:p w14:paraId="46C941F6" w14:textId="77777777" w:rsidR="00645956" w:rsidRPr="001300D4" w:rsidRDefault="00645956" w:rsidP="001300D4">
      <w:pPr>
        <w:pStyle w:val="FootnoteText"/>
      </w:pPr>
      <w:r w:rsidRPr="001300D4">
        <w:rPr>
          <w:rStyle w:val="FootnoteReference"/>
        </w:rPr>
        <w:footnoteRef/>
      </w:r>
      <w:r w:rsidRPr="001300D4">
        <w:t xml:space="preserve"> </w:t>
      </w:r>
      <w:hyperlink r:id="rId12" w:history="1">
        <w:r w:rsidRPr="001300D4">
          <w:rPr>
            <w:rStyle w:val="Hyperlink"/>
          </w:rPr>
          <w:t>https://advocacy.consumerreports.org/press_release/consumer-reports-calls-on-cfpb-to-enact-stronger-consumer-protections-for-medical-credit-cards/</w:t>
        </w:r>
      </w:hyperlink>
      <w:r w:rsidRPr="001300D4">
        <w:t xml:space="preserve"> </w:t>
      </w:r>
    </w:p>
  </w:footnote>
  <w:footnote w:id="16">
    <w:p w14:paraId="58CFC982" w14:textId="77777777" w:rsidR="00195F24" w:rsidRPr="001300D4" w:rsidRDefault="00195F24" w:rsidP="001300D4">
      <w:pPr>
        <w:pStyle w:val="FootnoteText"/>
        <w:rPr>
          <w:rFonts w:ascii="Calibri" w:hAnsi="Calibri" w:cs="Calibri"/>
        </w:rPr>
      </w:pPr>
      <w:r w:rsidRPr="001300D4">
        <w:rPr>
          <w:rStyle w:val="FootnoteReference"/>
          <w:rFonts w:ascii="Calibri" w:hAnsi="Calibri" w:cs="Calibri"/>
        </w:rPr>
        <w:footnoteRef/>
      </w:r>
      <w:r w:rsidRPr="001300D4">
        <w:rPr>
          <w:rFonts w:ascii="Calibri" w:hAnsi="Calibri" w:cs="Calibri"/>
        </w:rPr>
        <w:t xml:space="preserve">  </w:t>
      </w:r>
      <w:hyperlink r:id="rId13" w:history="1">
        <w:r w:rsidRPr="001300D4">
          <w:rPr>
            <w:rStyle w:val="Hyperlink"/>
            <w:rFonts w:ascii="Calibri" w:hAnsi="Calibri" w:cs="Calibri"/>
          </w:rPr>
          <w:t>https://www.cms.gov/files/document/fact-sheet-medicare-drug-price-negotiation-program-initial-guidance.pdf</w:t>
        </w:r>
      </w:hyperlink>
      <w:r w:rsidRPr="001300D4">
        <w:rPr>
          <w:rFonts w:ascii="Calibri" w:hAnsi="Calibri" w:cs="Calibri"/>
        </w:rPr>
        <w:t xml:space="preserve"> </w:t>
      </w:r>
    </w:p>
  </w:footnote>
  <w:footnote w:id="17">
    <w:p w14:paraId="36726A8D" w14:textId="2241D8BE" w:rsidR="00195F24" w:rsidRPr="001300D4" w:rsidRDefault="00195F24" w:rsidP="001300D4">
      <w:pPr>
        <w:pStyle w:val="FootnoteText"/>
        <w:rPr>
          <w:rFonts w:ascii="Calibri" w:hAnsi="Calibri" w:cs="Calibri"/>
        </w:rPr>
      </w:pPr>
      <w:r w:rsidRPr="001300D4">
        <w:rPr>
          <w:rStyle w:val="FootnoteReference"/>
          <w:rFonts w:ascii="Calibri" w:hAnsi="Calibri" w:cs="Calibri"/>
        </w:rPr>
        <w:footnoteRef/>
      </w:r>
      <w:r w:rsidRPr="001300D4">
        <w:rPr>
          <w:rFonts w:ascii="Calibri" w:hAnsi="Calibri" w:cs="Calibri"/>
        </w:rPr>
        <w:t xml:space="preserve"> </w:t>
      </w:r>
      <w:hyperlink r:id="rId14" w:history="1">
        <w:r w:rsidRPr="001300D4">
          <w:rPr>
            <w:rStyle w:val="Hyperlink"/>
            <w:rFonts w:ascii="Calibri" w:hAnsi="Calibri" w:cs="Calibri"/>
          </w:rPr>
          <w:t>https://mhdo.maine.gov/tableau/prescriptionReports.html</w:t>
        </w:r>
      </w:hyperlink>
      <w:r w:rsidRPr="001300D4">
        <w:rPr>
          <w:rFonts w:ascii="Calibri" w:hAnsi="Calibri" w:cs="Calibri"/>
        </w:rPr>
        <w:t xml:space="preserve"> </w:t>
      </w:r>
    </w:p>
  </w:footnote>
  <w:footnote w:id="18">
    <w:p w14:paraId="5E6E7365" w14:textId="77777777" w:rsidR="00195F24" w:rsidRPr="001300D4" w:rsidRDefault="00195F24" w:rsidP="001300D4">
      <w:pPr>
        <w:pStyle w:val="NormalWeb"/>
        <w:spacing w:before="0" w:beforeAutospacing="0" w:after="0" w:afterAutospacing="0"/>
        <w:rPr>
          <w:rFonts w:ascii="Calibri" w:hAnsi="Calibri" w:cs="Calibri"/>
          <w:sz w:val="20"/>
          <w:szCs w:val="20"/>
        </w:rPr>
      </w:pPr>
      <w:r w:rsidRPr="001300D4">
        <w:rPr>
          <w:rStyle w:val="FootnoteReference"/>
          <w:rFonts w:ascii="Calibri" w:hAnsi="Calibri" w:cs="Calibri"/>
          <w:sz w:val="20"/>
          <w:szCs w:val="20"/>
        </w:rPr>
        <w:footnoteRef/>
      </w:r>
      <w:r w:rsidRPr="001300D4">
        <w:rPr>
          <w:rFonts w:ascii="Calibri" w:hAnsi="Calibri" w:cs="Calibri"/>
          <w:sz w:val="20"/>
          <w:szCs w:val="20"/>
        </w:rPr>
        <w:t xml:space="preserve"> </w:t>
      </w:r>
      <w:r w:rsidRPr="001300D4">
        <w:rPr>
          <w:rFonts w:ascii="Calibri" w:hAnsi="Calibri" w:cs="Calibri"/>
          <w:color w:val="0260BF"/>
          <w:sz w:val="20"/>
          <w:szCs w:val="20"/>
        </w:rPr>
        <w:t>https://www.maine.gov/bhr/oeh/sites/maine.gov.bhr.oeh/files/inline- files/2022%20Prescription%20Drug%20Affordability%20Board%20Annual%20Report.pdf</w:t>
      </w:r>
    </w:p>
  </w:footnote>
  <w:footnote w:id="19">
    <w:p w14:paraId="4E4DD12B" w14:textId="77777777" w:rsidR="00195F24" w:rsidRPr="001300D4" w:rsidRDefault="00195F24" w:rsidP="001300D4">
      <w:pPr>
        <w:pStyle w:val="FootnoteText"/>
        <w:rPr>
          <w:rFonts w:ascii="Calibri" w:hAnsi="Calibri" w:cs="Calibri"/>
        </w:rPr>
      </w:pPr>
      <w:r w:rsidRPr="001300D4">
        <w:rPr>
          <w:rStyle w:val="FootnoteReference"/>
          <w:rFonts w:ascii="Calibri" w:hAnsi="Calibri" w:cs="Calibri"/>
        </w:rPr>
        <w:footnoteRef/>
      </w:r>
      <w:r w:rsidRPr="001300D4">
        <w:rPr>
          <w:rFonts w:ascii="Calibri" w:hAnsi="Calibri" w:cs="Calibri"/>
        </w:rPr>
        <w:t xml:space="preserve"> Ibid. </w:t>
      </w:r>
    </w:p>
  </w:footnote>
  <w:footnote w:id="20">
    <w:p w14:paraId="5D2C8757" w14:textId="062D2A24" w:rsidR="0032311C" w:rsidRPr="001300D4" w:rsidRDefault="0032311C" w:rsidP="001300D4">
      <w:pPr>
        <w:pStyle w:val="FootnoteText"/>
      </w:pPr>
      <w:r w:rsidRPr="001300D4">
        <w:rPr>
          <w:rStyle w:val="FootnoteReference"/>
        </w:rPr>
        <w:footnoteRef/>
      </w:r>
      <w:r w:rsidRPr="001300D4">
        <w:t xml:space="preserve"> </w:t>
      </w:r>
      <w:hyperlink r:id="rId15" w:history="1">
        <w:r w:rsidRPr="001300D4">
          <w:rPr>
            <w:rStyle w:val="Hyperlink"/>
          </w:rPr>
          <w:t>https://www.mtcounties.org/risk-sharing/health-care-trust/reference-based-pricing/</w:t>
        </w:r>
      </w:hyperlink>
      <w:r w:rsidRPr="001300D4">
        <w:t xml:space="preserve"> </w:t>
      </w:r>
    </w:p>
  </w:footnote>
  <w:footnote w:id="21">
    <w:p w14:paraId="7C1F858D" w14:textId="2D709335" w:rsidR="00344B88" w:rsidRPr="001300D4" w:rsidRDefault="00344B88" w:rsidP="001300D4">
      <w:pPr>
        <w:pStyle w:val="FootnoteText"/>
      </w:pPr>
      <w:r w:rsidRPr="001300D4">
        <w:rPr>
          <w:rStyle w:val="FootnoteReference"/>
        </w:rPr>
        <w:footnoteRef/>
      </w:r>
      <w:r w:rsidRPr="001300D4">
        <w:t xml:space="preserve"> </w:t>
      </w:r>
      <w:hyperlink r:id="rId16" w:history="1">
        <w:r w:rsidRPr="001300D4">
          <w:rPr>
            <w:rStyle w:val="Hyperlink"/>
          </w:rPr>
          <w:t>https://nashp.org/independent-analysis-finds-montana-has-saved-millions-by-moving-hospital-rate-negotiations-to-reference-based-pricing/</w:t>
        </w:r>
      </w:hyperlink>
      <w:r w:rsidRPr="001300D4">
        <w:t xml:space="preserve"> </w:t>
      </w:r>
    </w:p>
  </w:footnote>
  <w:footnote w:id="22">
    <w:p w14:paraId="02D6E350" w14:textId="15F53E48" w:rsidR="00CE3C9C" w:rsidRPr="001300D4" w:rsidRDefault="00CE3C9C" w:rsidP="001300D4">
      <w:pPr>
        <w:pStyle w:val="FootnoteText"/>
      </w:pPr>
      <w:r w:rsidRPr="001300D4">
        <w:rPr>
          <w:rStyle w:val="FootnoteReference"/>
        </w:rPr>
        <w:footnoteRef/>
      </w:r>
      <w:r w:rsidRPr="001300D4">
        <w:t xml:space="preserve"> </w:t>
      </w:r>
      <w:hyperlink r:id="rId17" w:history="1">
        <w:r w:rsidRPr="001300D4">
          <w:rPr>
            <w:rStyle w:val="Hyperlink"/>
          </w:rPr>
          <w:t>https://www.nashp.org/wp-content/uploads/2021/04/MT-Eval-Analysis-Final-4-2-2021.pdf</w:t>
        </w:r>
      </w:hyperlink>
      <w:r w:rsidRPr="001300D4">
        <w:t xml:space="preserve"> </w:t>
      </w:r>
    </w:p>
  </w:footnote>
  <w:footnote w:id="23">
    <w:p w14:paraId="48BECB9C" w14:textId="69219327" w:rsidR="00ED7940" w:rsidRPr="001300D4" w:rsidRDefault="00ED7940" w:rsidP="001300D4">
      <w:pPr>
        <w:pStyle w:val="FootnoteText"/>
      </w:pPr>
      <w:r w:rsidRPr="001300D4">
        <w:rPr>
          <w:rStyle w:val="FootnoteReference"/>
        </w:rPr>
        <w:footnoteRef/>
      </w:r>
      <w:r w:rsidRPr="001300D4">
        <w:t xml:space="preserve"> </w:t>
      </w:r>
      <w:hyperlink r:id="rId18" w:history="1">
        <w:r w:rsidRPr="001300D4">
          <w:rPr>
            <w:rStyle w:val="Hyperlink"/>
          </w:rPr>
          <w:t>https://www.ncsl.org/health/prices-policies-how-states-are-tackling-health-care-costs</w:t>
        </w:r>
      </w:hyperlink>
      <w:r w:rsidRPr="001300D4">
        <w:t xml:space="preserve"> </w:t>
      </w:r>
    </w:p>
  </w:footnote>
  <w:footnote w:id="24">
    <w:p w14:paraId="544CE445" w14:textId="77777777" w:rsidR="00195F24" w:rsidRPr="001300D4" w:rsidRDefault="00195F24" w:rsidP="001300D4">
      <w:pPr>
        <w:pStyle w:val="FootnoteText"/>
        <w:rPr>
          <w:rFonts w:ascii="Calibri" w:hAnsi="Calibri" w:cs="Calibri"/>
        </w:rPr>
      </w:pPr>
      <w:r w:rsidRPr="001300D4">
        <w:rPr>
          <w:rStyle w:val="FootnoteReference"/>
          <w:rFonts w:ascii="Calibri" w:hAnsi="Calibri" w:cs="Calibri"/>
        </w:rPr>
        <w:footnoteRef/>
      </w:r>
      <w:r w:rsidRPr="001300D4">
        <w:rPr>
          <w:rFonts w:ascii="Calibri" w:hAnsi="Calibri" w:cs="Calibri"/>
        </w:rPr>
        <w:t xml:space="preserve"> </w:t>
      </w:r>
      <w:hyperlink r:id="rId19" w:anchor=":~:text=NASHP's%20model%20legislation%20prohibiting%20anticompetitive%20contract%20terms%20prevents%20health%20care,contract%20that%20contains%20anticompetitive%20terms">
        <w:r w:rsidRPr="001300D4">
          <w:rPr>
            <w:rStyle w:val="Hyperlink"/>
            <w:rFonts w:ascii="Calibri" w:hAnsi="Calibri" w:cs="Calibri"/>
          </w:rPr>
          <w:t>https://nashp.org/nashp-model-prohibiting-anticompetitive-contract-terms-application-to-employer-plans/#:~:text=NASHP's%20model%20legislation%20prohibiting%20anticompetitive%20contract%20terms%20prevents%20health%20care,contract%20that%20contains%20anticompetitive%20terms</w:t>
        </w:r>
      </w:hyperlink>
    </w:p>
  </w:footnote>
  <w:footnote w:id="25">
    <w:p w14:paraId="24DE08F4" w14:textId="77777777" w:rsidR="00195F24" w:rsidRPr="001300D4" w:rsidRDefault="00195F24" w:rsidP="001300D4">
      <w:pPr>
        <w:pStyle w:val="FootnoteText"/>
        <w:rPr>
          <w:rFonts w:ascii="Calibri" w:hAnsi="Calibri" w:cs="Calibri"/>
        </w:rPr>
      </w:pPr>
      <w:r w:rsidRPr="001300D4">
        <w:rPr>
          <w:rStyle w:val="FootnoteReference"/>
          <w:rFonts w:ascii="Calibri" w:hAnsi="Calibri" w:cs="Calibri"/>
        </w:rPr>
        <w:footnoteRef/>
      </w:r>
      <w:r w:rsidRPr="001300D4">
        <w:rPr>
          <w:rFonts w:ascii="Calibri" w:hAnsi="Calibri" w:cs="Calibri"/>
        </w:rPr>
        <w:t xml:space="preserve"> </w:t>
      </w:r>
      <w:hyperlink r:id="rId20">
        <w:r w:rsidRPr="001300D4">
          <w:rPr>
            <w:rStyle w:val="Hyperlink"/>
            <w:rFonts w:ascii="Calibri" w:hAnsi="Calibri" w:cs="Calibri"/>
          </w:rPr>
          <w:t>https://ctmirror.org/2022/03/16/lawmakers-weigh-anti-competitive-practices-in-health-care/</w:t>
        </w:r>
      </w:hyperlink>
      <w:r w:rsidRPr="001300D4">
        <w:rPr>
          <w:rFonts w:ascii="Calibri" w:hAnsi="Calibri" w:cs="Calibri"/>
        </w:rPr>
        <w:t xml:space="preserve"> </w:t>
      </w:r>
    </w:p>
  </w:footnote>
  <w:footnote w:id="26">
    <w:p w14:paraId="750A42F7" w14:textId="2DDB45BA" w:rsidR="00195F24" w:rsidRPr="001300D4" w:rsidRDefault="00195F24" w:rsidP="001300D4">
      <w:pPr>
        <w:pStyle w:val="FootnoteText"/>
        <w:rPr>
          <w:rFonts w:ascii="Calibri" w:hAnsi="Calibri" w:cs="Calibri"/>
        </w:rPr>
      </w:pPr>
      <w:r w:rsidRPr="001300D4">
        <w:rPr>
          <w:rStyle w:val="FootnoteReference"/>
          <w:rFonts w:ascii="Calibri" w:hAnsi="Calibri" w:cs="Calibri"/>
        </w:rPr>
        <w:footnoteRef/>
      </w:r>
      <w:r w:rsidRPr="001300D4">
        <w:rPr>
          <w:rFonts w:ascii="Calibri" w:hAnsi="Calibri" w:cs="Calibri"/>
        </w:rPr>
        <w:t xml:space="preserve"> </w:t>
      </w:r>
      <w:hyperlink r:id="rId21" w:history="1">
        <w:r w:rsidR="00DF00AB" w:rsidRPr="001300D4">
          <w:rPr>
            <w:rStyle w:val="Hyperlink"/>
            <w:rFonts w:ascii="Calibri" w:hAnsi="Calibri" w:cs="Calibri"/>
          </w:rPr>
          <w:t>https://www.milbank.org/wp-content/uploads/2021/09/Mitigating-the-Price-Impacts-of-Health-Care-Provider-Consolidation_2.pdf</w:t>
        </w:r>
      </w:hyperlink>
      <w:r w:rsidR="00DF00AB" w:rsidRPr="001300D4">
        <w:rPr>
          <w:rFonts w:ascii="Calibri" w:hAnsi="Calibri" w:cs="Calibri"/>
        </w:rPr>
        <w:t xml:space="preserve"> </w:t>
      </w:r>
    </w:p>
  </w:footnote>
  <w:footnote w:id="27">
    <w:p w14:paraId="6962171A" w14:textId="6FAD3D02" w:rsidR="002A048B" w:rsidRPr="001300D4" w:rsidRDefault="002A048B" w:rsidP="001300D4">
      <w:pPr>
        <w:pStyle w:val="FootnoteText"/>
      </w:pPr>
      <w:r w:rsidRPr="001300D4">
        <w:rPr>
          <w:rStyle w:val="FootnoteReference"/>
        </w:rPr>
        <w:footnoteRef/>
      </w:r>
      <w:r w:rsidRPr="001300D4">
        <w:t xml:space="preserve"> </w:t>
      </w:r>
      <w:hyperlink r:id="rId22" w:history="1">
        <w:r w:rsidRPr="001300D4">
          <w:rPr>
            <w:rStyle w:val="Hyperlink"/>
          </w:rPr>
          <w:t>https://familiesusa.org/wp-content/uploads/2021/04/COV-2021-31_Gold-and-Silver-Report_4-9-21-002.final_.pdf</w:t>
        </w:r>
      </w:hyperlink>
      <w:r w:rsidRPr="001300D4">
        <w:t xml:space="preserve"> </w:t>
      </w:r>
    </w:p>
  </w:footnote>
  <w:footnote w:id="28">
    <w:p w14:paraId="5C9BA5AC" w14:textId="77777777" w:rsidR="00E8653E" w:rsidRPr="001300D4" w:rsidRDefault="00E8653E" w:rsidP="001300D4">
      <w:pPr>
        <w:pStyle w:val="FootnoteText"/>
        <w:rPr>
          <w:rFonts w:ascii="Calibri" w:hAnsi="Calibri" w:cs="Calibri"/>
        </w:rPr>
      </w:pPr>
      <w:r w:rsidRPr="001300D4">
        <w:rPr>
          <w:rStyle w:val="FootnoteReference"/>
          <w:rFonts w:ascii="Calibri" w:hAnsi="Calibri" w:cs="Calibri"/>
        </w:rPr>
        <w:footnoteRef/>
      </w:r>
      <w:r w:rsidRPr="001300D4">
        <w:rPr>
          <w:rFonts w:ascii="Calibri" w:hAnsi="Calibri" w:cs="Calibri"/>
        </w:rPr>
        <w:t xml:space="preserve"> </w:t>
      </w:r>
      <w:hyperlink r:id="rId23" w:history="1">
        <w:r w:rsidRPr="001300D4">
          <w:rPr>
            <w:rStyle w:val="Hyperlink"/>
            <w:rFonts w:ascii="Calibri" w:hAnsi="Calibri" w:cs="Calibri"/>
          </w:rPr>
          <w:t>https://familiesusa.org/resources/misalignment-between-premiums-and-coverage-generosity-imposes-heavy-cost-burdens-on-consumers-in-health-insurance-exchanges/</w:t>
        </w:r>
      </w:hyperlink>
      <w:r w:rsidRPr="001300D4">
        <w:rPr>
          <w:rFonts w:ascii="Calibri" w:hAnsi="Calibri" w:cs="Calibri"/>
        </w:rPr>
        <w:t xml:space="preserve"> </w:t>
      </w:r>
      <w:r w:rsidRPr="001300D4">
        <w:rPr>
          <w:rFonts w:ascii="Calibri" w:hAnsi="Calibri" w:cs="Calibri"/>
          <w:b/>
          <w:bCs/>
          <w:color w:val="C00000"/>
        </w:rPr>
        <w:t xml:space="preserve"> </w:t>
      </w:r>
    </w:p>
  </w:footnote>
  <w:footnote w:id="29">
    <w:p w14:paraId="446DBA05" w14:textId="77777777" w:rsidR="00195F24" w:rsidRPr="001300D4" w:rsidRDefault="00195F24" w:rsidP="001300D4">
      <w:pPr>
        <w:pStyle w:val="FootnoteText"/>
        <w:rPr>
          <w:rFonts w:ascii="Calibri" w:hAnsi="Calibri" w:cs="Calibri"/>
        </w:rPr>
      </w:pPr>
      <w:r w:rsidRPr="001300D4">
        <w:rPr>
          <w:rStyle w:val="FootnoteReference"/>
          <w:rFonts w:ascii="Calibri" w:hAnsi="Calibri" w:cs="Calibri"/>
        </w:rPr>
        <w:footnoteRef/>
      </w:r>
      <w:proofErr w:type="spellStart"/>
      <w:proofErr w:type="gramStart"/>
      <w:r w:rsidRPr="001300D4">
        <w:rPr>
          <w:rFonts w:ascii="Calibri" w:hAnsi="Calibri" w:cs="Calibri"/>
        </w:rPr>
        <w:t>Chu,R.C</w:t>
      </w:r>
      <w:proofErr w:type="spellEnd"/>
      <w:r w:rsidRPr="001300D4">
        <w:rPr>
          <w:rFonts w:ascii="Calibri" w:hAnsi="Calibri" w:cs="Calibri"/>
        </w:rPr>
        <w:t>.</w:t>
      </w:r>
      <w:proofErr w:type="gramEnd"/>
      <w:r w:rsidRPr="001300D4">
        <w:rPr>
          <w:rFonts w:ascii="Calibri" w:hAnsi="Calibri" w:cs="Calibri"/>
        </w:rPr>
        <w:t xml:space="preserve">, </w:t>
      </w:r>
      <w:proofErr w:type="spellStart"/>
      <w:r w:rsidRPr="001300D4">
        <w:rPr>
          <w:rFonts w:ascii="Calibri" w:hAnsi="Calibri" w:cs="Calibri"/>
        </w:rPr>
        <w:t>Rudich,J</w:t>
      </w:r>
      <w:proofErr w:type="spellEnd"/>
      <w:r w:rsidRPr="001300D4">
        <w:rPr>
          <w:rFonts w:ascii="Calibri" w:hAnsi="Calibri" w:cs="Calibri"/>
        </w:rPr>
        <w:t xml:space="preserve">., </w:t>
      </w:r>
      <w:proofErr w:type="spellStart"/>
      <w:r w:rsidRPr="001300D4">
        <w:rPr>
          <w:rFonts w:ascii="Calibri" w:hAnsi="Calibri" w:cs="Calibri"/>
        </w:rPr>
        <w:t>Lee,A</w:t>
      </w:r>
      <w:proofErr w:type="spellEnd"/>
      <w:r w:rsidRPr="001300D4">
        <w:rPr>
          <w:rFonts w:ascii="Calibri" w:hAnsi="Calibri" w:cs="Calibri"/>
        </w:rPr>
        <w:t xml:space="preserve">., Peters, C., De </w:t>
      </w:r>
      <w:proofErr w:type="spellStart"/>
      <w:r w:rsidRPr="001300D4">
        <w:rPr>
          <w:rFonts w:ascii="Calibri" w:hAnsi="Calibri" w:cs="Calibri"/>
        </w:rPr>
        <w:t>Lew,N</w:t>
      </w:r>
      <w:proofErr w:type="spellEnd"/>
      <w:r w:rsidRPr="001300D4">
        <w:rPr>
          <w:rFonts w:ascii="Calibri" w:hAnsi="Calibri" w:cs="Calibri"/>
        </w:rPr>
        <w:t>., and Sommers, B.D. Facilitating Consumer Choice: Standardized Plans in Health Insurance Marketplaces (Issue Brief No. HP-2021-29). Office of the Assistant Secretary for Planning and Evaluation, U.S. Department of Health and Human Services. December 2021.</w:t>
      </w:r>
    </w:p>
  </w:footnote>
  <w:footnote w:id="30">
    <w:p w14:paraId="553AE43E" w14:textId="4F490794" w:rsidR="008B3812" w:rsidRPr="001300D4" w:rsidRDefault="008B3812" w:rsidP="001300D4">
      <w:pPr>
        <w:pStyle w:val="FootnoteText"/>
      </w:pPr>
      <w:r w:rsidRPr="001300D4">
        <w:rPr>
          <w:rStyle w:val="FootnoteReference"/>
        </w:rPr>
        <w:footnoteRef/>
      </w:r>
      <w:r w:rsidRPr="001300D4">
        <w:t xml:space="preserve"> </w:t>
      </w:r>
      <w:hyperlink r:id="rId24" w:history="1">
        <w:r w:rsidR="000B2659" w:rsidRPr="001300D4">
          <w:rPr>
            <w:rStyle w:val="Hyperlink"/>
          </w:rPr>
          <w:t>https://www.maine.gov/pfr/insurance/sites/maine.gov.pfr.insurance/files/inline-files/ga_indiv_and_sm_grp_policy_option_report.pdf</w:t>
        </w:r>
      </w:hyperlink>
      <w:r w:rsidR="000B2659" w:rsidRPr="001300D4">
        <w:t xml:space="preserve"> </w:t>
      </w:r>
    </w:p>
  </w:footnote>
  <w:footnote w:id="31">
    <w:p w14:paraId="505A6DAA" w14:textId="14B0FB31" w:rsidR="00F17A03" w:rsidRPr="001300D4" w:rsidRDefault="00F17A03" w:rsidP="001300D4">
      <w:pPr>
        <w:pStyle w:val="FootnoteText"/>
      </w:pPr>
      <w:r w:rsidRPr="001300D4">
        <w:rPr>
          <w:rStyle w:val="FootnoteReference"/>
        </w:rPr>
        <w:footnoteRef/>
      </w:r>
      <w:r w:rsidRPr="001300D4">
        <w:t xml:space="preserve"> </w:t>
      </w:r>
      <w:hyperlink r:id="rId25" w:history="1">
        <w:r w:rsidRPr="001300D4">
          <w:rPr>
            <w:rStyle w:val="Hyperlink"/>
          </w:rPr>
          <w:t>webserver.rilin.state.ri.us/Statutes/TITLE27/27-19/27-19-6.HTM</w:t>
        </w:r>
      </w:hyperlink>
    </w:p>
  </w:footnote>
  <w:footnote w:id="32">
    <w:p w14:paraId="097C7DB4" w14:textId="3859371E" w:rsidR="00695F77" w:rsidRPr="001300D4" w:rsidRDefault="00695F77" w:rsidP="001300D4">
      <w:pPr>
        <w:pStyle w:val="FootnoteText"/>
      </w:pPr>
      <w:r w:rsidRPr="001300D4">
        <w:rPr>
          <w:rStyle w:val="FootnoteReference"/>
        </w:rPr>
        <w:footnoteRef/>
      </w:r>
      <w:r w:rsidRPr="001300D4">
        <w:t xml:space="preserve"> </w:t>
      </w:r>
      <w:hyperlink r:id="rId26" w:history="1">
        <w:r w:rsidR="00C5759A" w:rsidRPr="001300D4">
          <w:rPr>
            <w:rStyle w:val="Hyperlink"/>
          </w:rPr>
          <w:t>https://nashp.org/insurance-rate-review-as-a-hospital-cost-containment-tool-rhode-islands-experience/</w:t>
        </w:r>
      </w:hyperlink>
      <w:r w:rsidR="00C5759A" w:rsidRPr="001300D4">
        <w:t xml:space="preserve"> </w:t>
      </w:r>
    </w:p>
  </w:footnote>
  <w:footnote w:id="33">
    <w:p w14:paraId="260E5003" w14:textId="39ABCE2D" w:rsidR="00195F24" w:rsidRPr="001300D4" w:rsidRDefault="00195F24" w:rsidP="001300D4">
      <w:pPr>
        <w:pStyle w:val="FootnoteText"/>
        <w:rPr>
          <w:rFonts w:ascii="Calibri" w:hAnsi="Calibri" w:cs="Calibri"/>
        </w:rPr>
      </w:pPr>
      <w:r w:rsidRPr="001300D4">
        <w:rPr>
          <w:rStyle w:val="FootnoteReference"/>
          <w:rFonts w:ascii="Calibri" w:hAnsi="Calibri" w:cs="Calibri"/>
        </w:rPr>
        <w:footnoteRef/>
      </w:r>
      <w:r w:rsidRPr="001300D4">
        <w:rPr>
          <w:rFonts w:ascii="Calibri" w:hAnsi="Calibri" w:cs="Calibri"/>
        </w:rPr>
        <w:t xml:space="preserve"> </w:t>
      </w:r>
      <w:hyperlink r:id="rId27" w:history="1">
        <w:r w:rsidRPr="001300D4">
          <w:rPr>
            <w:rStyle w:val="Hyperlink"/>
            <w:rFonts w:ascii="Calibri" w:hAnsi="Calibri" w:cs="Calibri"/>
          </w:rPr>
          <w:t>https://www.healthcarevaluehub.org/advocate-resources/publications/health-insurance-rate-review</w:t>
        </w:r>
      </w:hyperlink>
      <w:r w:rsidRPr="001300D4">
        <w:rPr>
          <w:rFonts w:ascii="Calibri" w:hAnsi="Calibri" w:cs="Calibri"/>
        </w:rPr>
        <w:t xml:space="preserve"> </w:t>
      </w:r>
    </w:p>
  </w:footnote>
  <w:footnote w:id="34">
    <w:p w14:paraId="13F2AA6F" w14:textId="77777777" w:rsidR="00195F24" w:rsidRPr="001300D4" w:rsidRDefault="00195F24" w:rsidP="001300D4">
      <w:pPr>
        <w:pStyle w:val="FootnoteText"/>
      </w:pPr>
      <w:r w:rsidRPr="001300D4">
        <w:rPr>
          <w:rStyle w:val="FootnoteReference"/>
        </w:rPr>
        <w:footnoteRef/>
      </w:r>
      <w:r w:rsidRPr="001300D4">
        <w:t xml:space="preserve"> Stan Dorn, Innovative Options to Cut Health Insurance Costs by Expanding the Circle of Coverage, National Center for Coverage Innovation at Families USA. Available at: </w:t>
      </w:r>
      <w:hyperlink r:id="rId28" w:history="1">
        <w:r w:rsidRPr="001300D4">
          <w:rPr>
            <w:rStyle w:val="Hyperlink"/>
          </w:rPr>
          <w:t>https://familiesusa.org/wpcontent/uploads/2019/09/NCCI_State-Coverage-Policy-Options-Report_Report.pdf</w:t>
        </w:r>
      </w:hyperlink>
      <w:r w:rsidRPr="001300D4">
        <w:t xml:space="preserve">. </w:t>
      </w:r>
    </w:p>
  </w:footnote>
  <w:footnote w:id="35">
    <w:p w14:paraId="6112D182" w14:textId="103F5C58" w:rsidR="00195F24" w:rsidRPr="001300D4" w:rsidRDefault="00195F24" w:rsidP="001300D4">
      <w:pPr>
        <w:pStyle w:val="FootnoteText"/>
      </w:pPr>
      <w:r w:rsidRPr="001300D4">
        <w:rPr>
          <w:rStyle w:val="FootnoteReference"/>
        </w:rPr>
        <w:footnoteRef/>
      </w:r>
      <w:r w:rsidRPr="001300D4">
        <w:t xml:space="preserve"> </w:t>
      </w:r>
      <w:hyperlink r:id="rId29" w:history="1">
        <w:r w:rsidRPr="001300D4">
          <w:rPr>
            <w:rStyle w:val="Hyperlink"/>
          </w:rPr>
          <w:t>https://www.cthealth.org/wp-content/uploads/2020/11/CT-Health-Closing-the-Affordability-Gap.pdf</w:t>
        </w:r>
      </w:hyperlink>
      <w:r w:rsidRPr="001300D4">
        <w:t xml:space="preserve"> </w:t>
      </w:r>
    </w:p>
  </w:footnote>
  <w:footnote w:id="36">
    <w:p w14:paraId="5F81151A" w14:textId="22ABD713" w:rsidR="00195F24" w:rsidRPr="001300D4" w:rsidRDefault="00195F24" w:rsidP="001300D4">
      <w:pPr>
        <w:rPr>
          <w:rFonts w:ascii="Calibri" w:eastAsia="Times New Roman" w:hAnsi="Calibri" w:cs="Calibri"/>
          <w:sz w:val="20"/>
          <w:szCs w:val="20"/>
        </w:rPr>
      </w:pPr>
      <w:r w:rsidRPr="001300D4">
        <w:rPr>
          <w:rStyle w:val="FootnoteReference"/>
          <w:rFonts w:ascii="Calibri" w:hAnsi="Calibri" w:cs="Calibri"/>
          <w:sz w:val="20"/>
          <w:szCs w:val="20"/>
        </w:rPr>
        <w:footnoteRef/>
      </w:r>
      <w:r w:rsidRPr="001300D4">
        <w:rPr>
          <w:rFonts w:ascii="Calibri" w:hAnsi="Calibri" w:cs="Calibri"/>
          <w:sz w:val="20"/>
          <w:szCs w:val="20"/>
        </w:rPr>
        <w:t xml:space="preserve"> </w:t>
      </w:r>
      <w:proofErr w:type="gramStart"/>
      <w:r w:rsidRPr="001300D4">
        <w:rPr>
          <w:rFonts w:ascii="Calibri" w:eastAsia="Times New Roman" w:hAnsi="Calibri" w:cs="Calibri"/>
          <w:color w:val="000000"/>
          <w:sz w:val="20"/>
          <w:szCs w:val="20"/>
        </w:rPr>
        <w:t>Stan Dorn,</w:t>
      </w:r>
      <w:proofErr w:type="gramEnd"/>
      <w:r w:rsidRPr="001300D4">
        <w:rPr>
          <w:rFonts w:ascii="Calibri" w:eastAsia="Times New Roman" w:hAnsi="Calibri" w:cs="Calibri"/>
          <w:color w:val="000000"/>
          <w:sz w:val="20"/>
          <w:szCs w:val="20"/>
        </w:rPr>
        <w:t xml:space="preserve"> How States Can Use New Revenue to Lower Consumer Costs for Individual Health Insurance, National Center for Coverage Innovation at Families USA. Available at: </w:t>
      </w:r>
      <w:hyperlink r:id="rId30" w:history="1">
        <w:r w:rsidRPr="001300D4">
          <w:rPr>
            <w:rStyle w:val="Hyperlink"/>
            <w:rFonts w:ascii="Calibri" w:eastAsia="Times New Roman" w:hAnsi="Calibri" w:cs="Calibri"/>
            <w:sz w:val="20"/>
            <w:szCs w:val="20"/>
          </w:rPr>
          <w:t>https://familiesusa.org/resources/how-states-can-use-new-revenue-to-lower-consumer-costs-for-individual-health-insurance/</w:t>
        </w:r>
      </w:hyperlink>
      <w:r w:rsidRPr="001300D4">
        <w:rPr>
          <w:rFonts w:ascii="Calibri" w:eastAsia="Times New Roman" w:hAnsi="Calibri" w:cs="Calibri"/>
          <w:color w:val="000000"/>
          <w:sz w:val="20"/>
          <w:szCs w:val="20"/>
        </w:rPr>
        <w:t xml:space="preserve">. </w:t>
      </w:r>
    </w:p>
  </w:footnote>
  <w:footnote w:id="37">
    <w:p w14:paraId="6B106F26" w14:textId="33FBC746" w:rsidR="00692D8E" w:rsidRPr="001300D4" w:rsidRDefault="00692D8E" w:rsidP="001300D4">
      <w:pPr>
        <w:pStyle w:val="FootnoteText"/>
      </w:pPr>
      <w:r w:rsidRPr="001300D4">
        <w:rPr>
          <w:rStyle w:val="FootnoteReference"/>
        </w:rPr>
        <w:footnoteRef/>
      </w:r>
      <w:r w:rsidRPr="001300D4">
        <w:t xml:space="preserve"> </w:t>
      </w:r>
      <w:hyperlink r:id="rId31" w:history="1">
        <w:r w:rsidRPr="001300D4">
          <w:rPr>
            <w:rStyle w:val="Hyperlink"/>
          </w:rPr>
          <w:t>https://www.commonwealthfund.org/blog/2023/states-move-forward-public-option-programs-insurance-carriers</w:t>
        </w:r>
      </w:hyperlink>
      <w:r w:rsidRPr="001300D4">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818F4" w14:textId="69C29080" w:rsidR="00195F24" w:rsidRPr="00CE0073" w:rsidRDefault="00195F24" w:rsidP="00195F24">
    <w:pPr>
      <w:pStyle w:val="Header"/>
      <w:spacing w:line="211" w:lineRule="auto"/>
      <w:ind w:right="-994"/>
      <w:jc w:val="right"/>
      <w:rPr>
        <w:rFonts w:ascii="Calibri Light" w:hAnsi="Calibri Light" w:cs="Calibri Light"/>
        <w:b/>
        <w:bCs/>
        <w:color w:val="000000"/>
        <w:sz w:val="22"/>
        <w:szCs w:val="22"/>
      </w:rPr>
    </w:pPr>
    <w:r w:rsidRPr="00CE0073">
      <w:rPr>
        <w:rFonts w:ascii="Calibri Light" w:hAnsi="Calibri Light" w:cs="Calibri Light"/>
        <w:b/>
        <w:bCs/>
        <w:noProof/>
        <w:sz w:val="22"/>
        <w:szCs w:val="22"/>
      </w:rPr>
      <w:drawing>
        <wp:anchor distT="0" distB="0" distL="114300" distR="114300" simplePos="0" relativeHeight="251660289" behindDoc="0" locked="0" layoutInCell="1" allowOverlap="1" wp14:anchorId="1816D53A" wp14:editId="3EFEC2B3">
          <wp:simplePos x="0" y="0"/>
          <wp:positionH relativeFrom="column">
            <wp:posOffset>-447675</wp:posOffset>
          </wp:positionH>
          <wp:positionV relativeFrom="paragraph">
            <wp:posOffset>0</wp:posOffset>
          </wp:positionV>
          <wp:extent cx="2400300" cy="753110"/>
          <wp:effectExtent l="0" t="0" r="0" b="8890"/>
          <wp:wrapNone/>
          <wp:docPr id="786854158" name="Picture 786854158" descr="A picture containing text,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outdoo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53110"/>
                  </a:xfrm>
                  <a:prstGeom prst="rect">
                    <a:avLst/>
                  </a:prstGeom>
                  <a:noFill/>
                </pic:spPr>
              </pic:pic>
            </a:graphicData>
          </a:graphic>
          <wp14:sizeRelH relativeFrom="page">
            <wp14:pctWidth>0</wp14:pctWidth>
          </wp14:sizeRelH>
          <wp14:sizeRelV relativeFrom="page">
            <wp14:pctHeight>0</wp14:pctHeight>
          </wp14:sizeRelV>
        </wp:anchor>
      </w:drawing>
    </w:r>
    <w:r w:rsidRPr="00CE0073">
      <w:rPr>
        <w:rFonts w:ascii="Calibri Light" w:hAnsi="Calibri Light" w:cs="Calibri Light"/>
        <w:b/>
        <w:bCs/>
        <w:color w:val="000000"/>
        <w:sz w:val="22"/>
        <w:szCs w:val="22"/>
      </w:rPr>
      <w:t>P.O. Box 2490</w:t>
    </w:r>
  </w:p>
  <w:p w14:paraId="2B32190A" w14:textId="77777777" w:rsidR="00195F24" w:rsidRPr="00CE0073" w:rsidRDefault="00195F24" w:rsidP="00195F24">
    <w:pPr>
      <w:pStyle w:val="Header"/>
      <w:spacing w:line="211" w:lineRule="auto"/>
      <w:ind w:right="-994"/>
      <w:jc w:val="right"/>
      <w:rPr>
        <w:rFonts w:ascii="Calibri Light" w:hAnsi="Calibri Light" w:cs="Calibri Light"/>
        <w:b/>
        <w:bCs/>
        <w:color w:val="000000"/>
        <w:sz w:val="22"/>
        <w:szCs w:val="22"/>
      </w:rPr>
    </w:pPr>
    <w:r w:rsidRPr="00CE0073">
      <w:rPr>
        <w:rFonts w:ascii="Calibri Light" w:hAnsi="Calibri Light" w:cs="Calibri Light"/>
        <w:b/>
        <w:bCs/>
        <w:color w:val="000000"/>
        <w:sz w:val="22"/>
        <w:szCs w:val="22"/>
      </w:rPr>
      <w:t>Augusta, ME 04338</w:t>
    </w:r>
  </w:p>
  <w:p w14:paraId="3BF76AA7" w14:textId="77777777" w:rsidR="00195F24" w:rsidRPr="00CE0073" w:rsidRDefault="00195F24" w:rsidP="00195F24">
    <w:pPr>
      <w:pStyle w:val="Header"/>
      <w:spacing w:line="211" w:lineRule="auto"/>
      <w:ind w:right="-994"/>
      <w:jc w:val="right"/>
      <w:rPr>
        <w:rFonts w:ascii="Calibri Light" w:hAnsi="Calibri Light" w:cs="Calibri Light"/>
        <w:b/>
        <w:bCs/>
        <w:color w:val="000000"/>
        <w:sz w:val="22"/>
        <w:szCs w:val="22"/>
      </w:rPr>
    </w:pPr>
    <w:r w:rsidRPr="00CE0073">
      <w:rPr>
        <w:rFonts w:ascii="Calibri Light" w:hAnsi="Calibri Light" w:cs="Calibri Light"/>
        <w:b/>
        <w:bCs/>
        <w:color w:val="000000"/>
        <w:sz w:val="22"/>
        <w:szCs w:val="22"/>
      </w:rPr>
      <w:t>Telephone: 1-800-965-7476</w:t>
    </w:r>
    <w:r w:rsidRPr="00CE0073">
      <w:rPr>
        <w:rFonts w:ascii="Calibri Light" w:hAnsi="Calibri Light" w:cs="Calibri Light"/>
        <w:b/>
        <w:bCs/>
        <w:color w:val="000000"/>
        <w:sz w:val="22"/>
        <w:szCs w:val="22"/>
      </w:rPr>
      <w:br/>
      <w:t>Fax: 1-888-214-5233</w:t>
    </w:r>
  </w:p>
  <w:p w14:paraId="1DC3503A" w14:textId="31B94480" w:rsidR="00195F24" w:rsidRPr="00CE0073" w:rsidRDefault="00195F24" w:rsidP="00195F24">
    <w:pPr>
      <w:pStyle w:val="Header"/>
      <w:spacing w:line="211" w:lineRule="auto"/>
      <w:ind w:right="-994"/>
      <w:jc w:val="right"/>
      <w:rPr>
        <w:rFonts w:ascii="Calibri Light" w:hAnsi="Calibri Light" w:cs="Calibri Light"/>
        <w:b/>
        <w:bCs/>
        <w:color w:val="000000"/>
        <w:sz w:val="22"/>
        <w:szCs w:val="22"/>
      </w:rPr>
    </w:pPr>
    <w:r w:rsidRPr="00CE0073">
      <w:rPr>
        <w:rFonts w:ascii="Calibri Light" w:hAnsi="Calibri Light" w:cs="Calibri Light"/>
        <w:b/>
        <w:bCs/>
        <w:noProof/>
        <w:color w:val="000000"/>
        <w:sz w:val="22"/>
        <w:szCs w:val="22"/>
      </w:rPr>
      <mc:AlternateContent>
        <mc:Choice Requires="wps">
          <w:drawing>
            <wp:anchor distT="45720" distB="45720" distL="114300" distR="114300" simplePos="0" relativeHeight="251662337" behindDoc="0" locked="0" layoutInCell="1" allowOverlap="1" wp14:anchorId="2B6EF1F9" wp14:editId="5A45B92B">
              <wp:simplePos x="0" y="0"/>
              <wp:positionH relativeFrom="column">
                <wp:posOffset>-278241</wp:posOffset>
              </wp:positionH>
              <wp:positionV relativeFrom="paragraph">
                <wp:posOffset>207893</wp:posOffset>
              </wp:positionV>
              <wp:extent cx="2377440" cy="336550"/>
              <wp:effectExtent l="0" t="0" r="0" b="0"/>
              <wp:wrapNone/>
              <wp:docPr id="859926829" name="Text Box 8599268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02272" w14:textId="77777777" w:rsidR="00195F24" w:rsidRPr="009858E3" w:rsidRDefault="00195F24" w:rsidP="00195F24">
                          <w:pPr>
                            <w:spacing w:line="211" w:lineRule="auto"/>
                            <w:rPr>
                              <w:rFonts w:ascii="Calibri Light" w:hAnsi="Calibri Light" w:cs="Calibri Light"/>
                              <w:b/>
                              <w:bCs/>
                              <w:sz w:val="18"/>
                              <w:szCs w:val="18"/>
                            </w:rPr>
                          </w:pPr>
                          <w:r w:rsidRPr="009858E3">
                            <w:rPr>
                              <w:rFonts w:ascii="Calibri Light" w:hAnsi="Calibri Light" w:cs="Calibri Light"/>
                              <w:b/>
                              <w:bCs/>
                              <w:sz w:val="18"/>
                              <w:szCs w:val="18"/>
                            </w:rPr>
                            <w:t>Advocating the right to quality, affordable health care for all Mainers.</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B6EF1F9" id="_x0000_t202" coordsize="21600,21600" o:spt="202" path="m,l,21600r21600,l21600,xe">
              <v:stroke joinstyle="miter"/>
              <v:path gradientshapeok="t" o:connecttype="rect"/>
            </v:shapetype>
            <v:shape id="Text Box 859926829" o:spid="_x0000_s1026" type="#_x0000_t202" style="position:absolute;left:0;text-align:left;margin-left:-21.9pt;margin-top:16.35pt;width:187.2pt;height:26.5pt;z-index:251662337;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" filled="f" stroked="f">
              <v:textbox style="mso-fit-shape-to-text:t">
                <w:txbxContent>
                  <w:p w14:paraId="4E802272" w14:textId="77777777" w:rsidR="00195F24" w:rsidRPr="009858E3" w:rsidRDefault="00195F24" w:rsidP="00195F24">
                    <w:pPr>
                      <w:spacing w:line="211" w:lineRule="auto"/>
                      <w:rPr>
                        <w:rFonts w:ascii="Calibri Light" w:hAnsi="Calibri Light" w:cs="Calibri Light"/>
                        <w:b/>
                        <w:bCs/>
                        <w:sz w:val="18"/>
                        <w:szCs w:val="18"/>
                      </w:rPr>
                    </w:pPr>
                    <w:r w:rsidRPr="009858E3">
                      <w:rPr>
                        <w:rFonts w:ascii="Calibri Light" w:hAnsi="Calibri Light" w:cs="Calibri Light"/>
                        <w:b/>
                        <w:bCs/>
                        <w:sz w:val="18"/>
                        <w:szCs w:val="18"/>
                      </w:rPr>
                      <w:t>Advocating the right to quality, affordable health care for all Mainers.</w:t>
                    </w:r>
                  </w:p>
                </w:txbxContent>
              </v:textbox>
            </v:shape>
          </w:pict>
        </mc:Fallback>
      </mc:AlternateContent>
    </w:r>
    <w:hyperlink r:id="rId2" w:history="1">
      <w:r w:rsidRPr="00CE0073">
        <w:rPr>
          <w:rStyle w:val="Hyperlink"/>
          <w:rFonts w:ascii="Calibri Light" w:hAnsi="Calibri Light" w:cs="Calibri Light"/>
          <w:b/>
          <w:bCs/>
          <w:sz w:val="22"/>
          <w:szCs w:val="22"/>
        </w:rPr>
        <w:t>www.mainecahc.org</w:t>
      </w:r>
    </w:hyperlink>
  </w:p>
  <w:p w14:paraId="68E98674" w14:textId="4AC79A2E" w:rsidR="00195F24" w:rsidRPr="00CE0073" w:rsidRDefault="0018550C" w:rsidP="00195F24">
    <w:pPr>
      <w:pStyle w:val="Header"/>
      <w:spacing w:line="211" w:lineRule="auto"/>
      <w:ind w:right="-994"/>
      <w:jc w:val="right"/>
      <w:rPr>
        <w:rFonts w:ascii="Calibri Light" w:hAnsi="Calibri Light" w:cs="Calibri Light"/>
        <w:b/>
        <w:bCs/>
        <w:color w:val="000000"/>
        <w:sz w:val="22"/>
        <w:szCs w:val="22"/>
      </w:rPr>
    </w:pPr>
    <w:hyperlink r:id="rId3" w:history="1">
      <w:r w:rsidR="00A379AD" w:rsidRPr="00DF3FCF">
        <w:rPr>
          <w:rStyle w:val="Hyperlink"/>
          <w:rFonts w:ascii="Calibri Light" w:hAnsi="Calibri Light" w:cs="Calibri Light"/>
          <w:b/>
          <w:bCs/>
          <w:sz w:val="22"/>
          <w:szCs w:val="22"/>
        </w:rPr>
        <w:t>consumerhealth@mainecahc.org</w:t>
      </w:r>
    </w:hyperlink>
  </w:p>
  <w:p w14:paraId="34820E60" w14:textId="77777777" w:rsidR="00195F24" w:rsidRDefault="00195F24">
    <w:pPr>
      <w:pStyle w:val="Header"/>
    </w:pPr>
  </w:p>
</w:hdr>
</file>

<file path=word/intelligence2.xml><?xml version="1.0" encoding="utf-8"?>
<int2:intelligence xmlns:int2="http://schemas.microsoft.com/office/intelligence/2020/intelligence" xmlns:oel="http://schemas.microsoft.com/office/2019/extlst">
  <int2:observations>
    <int2:textHash int2:hashCode="fz/d3fd+y3Tass" int2:id="IYeDinH4">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C115A"/>
    <w:multiLevelType w:val="multilevel"/>
    <w:tmpl w:val="DEAE7A1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467394"/>
    <w:multiLevelType w:val="hybridMultilevel"/>
    <w:tmpl w:val="F60CD00A"/>
    <w:lvl w:ilvl="0" w:tplc="AADC53A2">
      <w:start w:val="1"/>
      <w:numFmt w:val="bullet"/>
      <w:lvlText w:val=""/>
      <w:lvlJc w:val="left"/>
      <w:pPr>
        <w:ind w:left="1080" w:hanging="360"/>
      </w:pPr>
      <w:rPr>
        <w:rFonts w:ascii="Symbol" w:hAnsi="Symbol" w:hint="default"/>
      </w:rPr>
    </w:lvl>
    <w:lvl w:ilvl="1" w:tplc="D11CB798">
      <w:start w:val="1"/>
      <w:numFmt w:val="bullet"/>
      <w:lvlText w:val="o"/>
      <w:lvlJc w:val="left"/>
      <w:pPr>
        <w:ind w:left="1440" w:hanging="360"/>
      </w:pPr>
      <w:rPr>
        <w:rFonts w:ascii="Courier New" w:hAnsi="Courier New" w:hint="default"/>
      </w:rPr>
    </w:lvl>
    <w:lvl w:ilvl="2" w:tplc="E392FB62">
      <w:start w:val="1"/>
      <w:numFmt w:val="bullet"/>
      <w:lvlText w:val=""/>
      <w:lvlJc w:val="left"/>
      <w:pPr>
        <w:ind w:left="2160" w:hanging="360"/>
      </w:pPr>
      <w:rPr>
        <w:rFonts w:ascii="Wingdings" w:hAnsi="Wingdings" w:hint="default"/>
      </w:rPr>
    </w:lvl>
    <w:lvl w:ilvl="3" w:tplc="967A342A">
      <w:start w:val="1"/>
      <w:numFmt w:val="bullet"/>
      <w:lvlText w:val=""/>
      <w:lvlJc w:val="left"/>
      <w:pPr>
        <w:ind w:left="2880" w:hanging="360"/>
      </w:pPr>
      <w:rPr>
        <w:rFonts w:ascii="Symbol" w:hAnsi="Symbol" w:hint="default"/>
      </w:rPr>
    </w:lvl>
    <w:lvl w:ilvl="4" w:tplc="8048CF50">
      <w:start w:val="1"/>
      <w:numFmt w:val="bullet"/>
      <w:lvlText w:val="o"/>
      <w:lvlJc w:val="left"/>
      <w:pPr>
        <w:ind w:left="3600" w:hanging="360"/>
      </w:pPr>
      <w:rPr>
        <w:rFonts w:ascii="Courier New" w:hAnsi="Courier New" w:hint="default"/>
      </w:rPr>
    </w:lvl>
    <w:lvl w:ilvl="5" w:tplc="E702C394">
      <w:start w:val="1"/>
      <w:numFmt w:val="bullet"/>
      <w:lvlText w:val=""/>
      <w:lvlJc w:val="left"/>
      <w:pPr>
        <w:ind w:left="4320" w:hanging="360"/>
      </w:pPr>
      <w:rPr>
        <w:rFonts w:ascii="Wingdings" w:hAnsi="Wingdings" w:hint="default"/>
      </w:rPr>
    </w:lvl>
    <w:lvl w:ilvl="6" w:tplc="834A2D94">
      <w:start w:val="1"/>
      <w:numFmt w:val="bullet"/>
      <w:lvlText w:val=""/>
      <w:lvlJc w:val="left"/>
      <w:pPr>
        <w:ind w:left="5040" w:hanging="360"/>
      </w:pPr>
      <w:rPr>
        <w:rFonts w:ascii="Symbol" w:hAnsi="Symbol" w:hint="default"/>
      </w:rPr>
    </w:lvl>
    <w:lvl w:ilvl="7" w:tplc="081A36E8">
      <w:start w:val="1"/>
      <w:numFmt w:val="bullet"/>
      <w:lvlText w:val="o"/>
      <w:lvlJc w:val="left"/>
      <w:pPr>
        <w:ind w:left="5760" w:hanging="360"/>
      </w:pPr>
      <w:rPr>
        <w:rFonts w:ascii="Courier New" w:hAnsi="Courier New" w:hint="default"/>
      </w:rPr>
    </w:lvl>
    <w:lvl w:ilvl="8" w:tplc="DB504B68">
      <w:start w:val="1"/>
      <w:numFmt w:val="bullet"/>
      <w:lvlText w:val=""/>
      <w:lvlJc w:val="left"/>
      <w:pPr>
        <w:ind w:left="6480" w:hanging="360"/>
      </w:pPr>
      <w:rPr>
        <w:rFonts w:ascii="Wingdings" w:hAnsi="Wingdings" w:hint="default"/>
      </w:rPr>
    </w:lvl>
  </w:abstractNum>
  <w:abstractNum w:abstractNumId="2" w15:restartNumberingAfterBreak="0">
    <w:nsid w:val="0C456D4F"/>
    <w:multiLevelType w:val="hybridMultilevel"/>
    <w:tmpl w:val="634499D8"/>
    <w:lvl w:ilvl="0" w:tplc="5D0C2DC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722ED"/>
    <w:multiLevelType w:val="hybridMultilevel"/>
    <w:tmpl w:val="16A29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BF1135"/>
    <w:multiLevelType w:val="hybridMultilevel"/>
    <w:tmpl w:val="A1F84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7F419C"/>
    <w:multiLevelType w:val="hybridMultilevel"/>
    <w:tmpl w:val="74C63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E78D32"/>
    <w:multiLevelType w:val="hybridMultilevel"/>
    <w:tmpl w:val="9B28F9CC"/>
    <w:lvl w:ilvl="0" w:tplc="B71C2B80">
      <w:start w:val="1"/>
      <w:numFmt w:val="bullet"/>
      <w:lvlText w:val=""/>
      <w:lvlJc w:val="left"/>
      <w:pPr>
        <w:ind w:left="720" w:hanging="360"/>
      </w:pPr>
      <w:rPr>
        <w:rFonts w:ascii="Symbol" w:hAnsi="Symbol" w:hint="default"/>
      </w:rPr>
    </w:lvl>
    <w:lvl w:ilvl="1" w:tplc="36167858">
      <w:start w:val="1"/>
      <w:numFmt w:val="bullet"/>
      <w:lvlText w:val="o"/>
      <w:lvlJc w:val="left"/>
      <w:pPr>
        <w:ind w:left="1440" w:hanging="360"/>
      </w:pPr>
      <w:rPr>
        <w:rFonts w:ascii="Courier New" w:hAnsi="Courier New" w:hint="default"/>
      </w:rPr>
    </w:lvl>
    <w:lvl w:ilvl="2" w:tplc="673CD110">
      <w:start w:val="1"/>
      <w:numFmt w:val="bullet"/>
      <w:lvlText w:val=""/>
      <w:lvlJc w:val="left"/>
      <w:pPr>
        <w:ind w:left="2160" w:hanging="360"/>
      </w:pPr>
      <w:rPr>
        <w:rFonts w:ascii="Wingdings" w:hAnsi="Wingdings" w:hint="default"/>
      </w:rPr>
    </w:lvl>
    <w:lvl w:ilvl="3" w:tplc="0E1E17C0">
      <w:start w:val="1"/>
      <w:numFmt w:val="bullet"/>
      <w:lvlText w:val=""/>
      <w:lvlJc w:val="left"/>
      <w:pPr>
        <w:ind w:left="2880" w:hanging="360"/>
      </w:pPr>
      <w:rPr>
        <w:rFonts w:ascii="Symbol" w:hAnsi="Symbol" w:hint="default"/>
      </w:rPr>
    </w:lvl>
    <w:lvl w:ilvl="4" w:tplc="6D3034E2">
      <w:start w:val="1"/>
      <w:numFmt w:val="bullet"/>
      <w:lvlText w:val="o"/>
      <w:lvlJc w:val="left"/>
      <w:pPr>
        <w:ind w:left="3600" w:hanging="360"/>
      </w:pPr>
      <w:rPr>
        <w:rFonts w:ascii="Courier New" w:hAnsi="Courier New" w:hint="default"/>
      </w:rPr>
    </w:lvl>
    <w:lvl w:ilvl="5" w:tplc="53789D0E">
      <w:start w:val="1"/>
      <w:numFmt w:val="bullet"/>
      <w:lvlText w:val=""/>
      <w:lvlJc w:val="left"/>
      <w:pPr>
        <w:ind w:left="4320" w:hanging="360"/>
      </w:pPr>
      <w:rPr>
        <w:rFonts w:ascii="Wingdings" w:hAnsi="Wingdings" w:hint="default"/>
      </w:rPr>
    </w:lvl>
    <w:lvl w:ilvl="6" w:tplc="AE50D9A6">
      <w:start w:val="1"/>
      <w:numFmt w:val="bullet"/>
      <w:lvlText w:val=""/>
      <w:lvlJc w:val="left"/>
      <w:pPr>
        <w:ind w:left="5040" w:hanging="360"/>
      </w:pPr>
      <w:rPr>
        <w:rFonts w:ascii="Symbol" w:hAnsi="Symbol" w:hint="default"/>
      </w:rPr>
    </w:lvl>
    <w:lvl w:ilvl="7" w:tplc="65003394">
      <w:start w:val="1"/>
      <w:numFmt w:val="bullet"/>
      <w:lvlText w:val="o"/>
      <w:lvlJc w:val="left"/>
      <w:pPr>
        <w:ind w:left="5760" w:hanging="360"/>
      </w:pPr>
      <w:rPr>
        <w:rFonts w:ascii="Courier New" w:hAnsi="Courier New" w:hint="default"/>
      </w:rPr>
    </w:lvl>
    <w:lvl w:ilvl="8" w:tplc="41523B90">
      <w:start w:val="1"/>
      <w:numFmt w:val="bullet"/>
      <w:lvlText w:val=""/>
      <w:lvlJc w:val="left"/>
      <w:pPr>
        <w:ind w:left="6480" w:hanging="360"/>
      </w:pPr>
      <w:rPr>
        <w:rFonts w:ascii="Wingdings" w:hAnsi="Wingdings" w:hint="default"/>
      </w:rPr>
    </w:lvl>
  </w:abstractNum>
  <w:abstractNum w:abstractNumId="7" w15:restartNumberingAfterBreak="0">
    <w:nsid w:val="11CA3503"/>
    <w:multiLevelType w:val="multilevel"/>
    <w:tmpl w:val="E7FAD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1C7A94"/>
    <w:multiLevelType w:val="hybridMultilevel"/>
    <w:tmpl w:val="88C8C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1E6EAA"/>
    <w:multiLevelType w:val="hybridMultilevel"/>
    <w:tmpl w:val="24066944"/>
    <w:lvl w:ilvl="0" w:tplc="BE52C488">
      <w:start w:val="1"/>
      <w:numFmt w:val="bullet"/>
      <w:lvlText w:val=""/>
      <w:lvlJc w:val="left"/>
      <w:pPr>
        <w:ind w:left="720" w:hanging="360"/>
      </w:pPr>
      <w:rPr>
        <w:rFonts w:ascii="Symbol" w:hAnsi="Symbol" w:hint="default"/>
      </w:rPr>
    </w:lvl>
    <w:lvl w:ilvl="1" w:tplc="2EB2DA0E">
      <w:start w:val="1"/>
      <w:numFmt w:val="bullet"/>
      <w:lvlText w:val="o"/>
      <w:lvlJc w:val="left"/>
      <w:pPr>
        <w:ind w:left="1440" w:hanging="360"/>
      </w:pPr>
      <w:rPr>
        <w:rFonts w:ascii="Courier New" w:hAnsi="Courier New" w:hint="default"/>
      </w:rPr>
    </w:lvl>
    <w:lvl w:ilvl="2" w:tplc="D066571E">
      <w:start w:val="1"/>
      <w:numFmt w:val="bullet"/>
      <w:lvlText w:val=""/>
      <w:lvlJc w:val="left"/>
      <w:pPr>
        <w:ind w:left="2160" w:hanging="360"/>
      </w:pPr>
      <w:rPr>
        <w:rFonts w:ascii="Wingdings" w:hAnsi="Wingdings" w:hint="default"/>
      </w:rPr>
    </w:lvl>
    <w:lvl w:ilvl="3" w:tplc="9CE8DF24">
      <w:start w:val="1"/>
      <w:numFmt w:val="bullet"/>
      <w:lvlText w:val=""/>
      <w:lvlJc w:val="left"/>
      <w:pPr>
        <w:ind w:left="2880" w:hanging="360"/>
      </w:pPr>
      <w:rPr>
        <w:rFonts w:ascii="Symbol" w:hAnsi="Symbol" w:hint="default"/>
      </w:rPr>
    </w:lvl>
    <w:lvl w:ilvl="4" w:tplc="FF1217D0">
      <w:start w:val="1"/>
      <w:numFmt w:val="bullet"/>
      <w:lvlText w:val="o"/>
      <w:lvlJc w:val="left"/>
      <w:pPr>
        <w:ind w:left="3600" w:hanging="360"/>
      </w:pPr>
      <w:rPr>
        <w:rFonts w:ascii="Courier New" w:hAnsi="Courier New" w:hint="default"/>
      </w:rPr>
    </w:lvl>
    <w:lvl w:ilvl="5" w:tplc="0C80E7A8">
      <w:start w:val="1"/>
      <w:numFmt w:val="bullet"/>
      <w:lvlText w:val=""/>
      <w:lvlJc w:val="left"/>
      <w:pPr>
        <w:ind w:left="4320" w:hanging="360"/>
      </w:pPr>
      <w:rPr>
        <w:rFonts w:ascii="Wingdings" w:hAnsi="Wingdings" w:hint="default"/>
      </w:rPr>
    </w:lvl>
    <w:lvl w:ilvl="6" w:tplc="D74E4698">
      <w:start w:val="1"/>
      <w:numFmt w:val="bullet"/>
      <w:lvlText w:val=""/>
      <w:lvlJc w:val="left"/>
      <w:pPr>
        <w:ind w:left="5040" w:hanging="360"/>
      </w:pPr>
      <w:rPr>
        <w:rFonts w:ascii="Symbol" w:hAnsi="Symbol" w:hint="default"/>
      </w:rPr>
    </w:lvl>
    <w:lvl w:ilvl="7" w:tplc="A748F840">
      <w:start w:val="1"/>
      <w:numFmt w:val="bullet"/>
      <w:lvlText w:val="o"/>
      <w:lvlJc w:val="left"/>
      <w:pPr>
        <w:ind w:left="5760" w:hanging="360"/>
      </w:pPr>
      <w:rPr>
        <w:rFonts w:ascii="Courier New" w:hAnsi="Courier New" w:hint="default"/>
      </w:rPr>
    </w:lvl>
    <w:lvl w:ilvl="8" w:tplc="61624A20">
      <w:start w:val="1"/>
      <w:numFmt w:val="bullet"/>
      <w:lvlText w:val=""/>
      <w:lvlJc w:val="left"/>
      <w:pPr>
        <w:ind w:left="6480" w:hanging="360"/>
      </w:pPr>
      <w:rPr>
        <w:rFonts w:ascii="Wingdings" w:hAnsi="Wingdings" w:hint="default"/>
      </w:rPr>
    </w:lvl>
  </w:abstractNum>
  <w:abstractNum w:abstractNumId="10" w15:restartNumberingAfterBreak="0">
    <w:nsid w:val="2510B567"/>
    <w:multiLevelType w:val="hybridMultilevel"/>
    <w:tmpl w:val="966C4594"/>
    <w:lvl w:ilvl="0" w:tplc="CA3E6336">
      <w:start w:val="1"/>
      <w:numFmt w:val="bullet"/>
      <w:lvlText w:val=""/>
      <w:lvlJc w:val="left"/>
      <w:pPr>
        <w:ind w:left="720" w:hanging="360"/>
      </w:pPr>
      <w:rPr>
        <w:rFonts w:ascii="Symbol" w:hAnsi="Symbol" w:hint="default"/>
      </w:rPr>
    </w:lvl>
    <w:lvl w:ilvl="1" w:tplc="6E68F336">
      <w:start w:val="1"/>
      <w:numFmt w:val="bullet"/>
      <w:lvlText w:val="o"/>
      <w:lvlJc w:val="left"/>
      <w:pPr>
        <w:ind w:left="1800" w:hanging="360"/>
      </w:pPr>
      <w:rPr>
        <w:rFonts w:ascii="Courier New" w:hAnsi="Courier New" w:hint="default"/>
      </w:rPr>
    </w:lvl>
    <w:lvl w:ilvl="2" w:tplc="220A2C74">
      <w:start w:val="1"/>
      <w:numFmt w:val="bullet"/>
      <w:lvlText w:val=""/>
      <w:lvlJc w:val="left"/>
      <w:pPr>
        <w:ind w:left="2160" w:hanging="360"/>
      </w:pPr>
      <w:rPr>
        <w:rFonts w:ascii="Wingdings" w:hAnsi="Wingdings" w:hint="default"/>
      </w:rPr>
    </w:lvl>
    <w:lvl w:ilvl="3" w:tplc="B5D2EA06">
      <w:start w:val="1"/>
      <w:numFmt w:val="bullet"/>
      <w:lvlText w:val=""/>
      <w:lvlJc w:val="left"/>
      <w:pPr>
        <w:ind w:left="2880" w:hanging="360"/>
      </w:pPr>
      <w:rPr>
        <w:rFonts w:ascii="Symbol" w:hAnsi="Symbol" w:hint="default"/>
      </w:rPr>
    </w:lvl>
    <w:lvl w:ilvl="4" w:tplc="9CF4C46C">
      <w:start w:val="1"/>
      <w:numFmt w:val="bullet"/>
      <w:lvlText w:val="o"/>
      <w:lvlJc w:val="left"/>
      <w:pPr>
        <w:ind w:left="3600" w:hanging="360"/>
      </w:pPr>
      <w:rPr>
        <w:rFonts w:ascii="Courier New" w:hAnsi="Courier New" w:hint="default"/>
      </w:rPr>
    </w:lvl>
    <w:lvl w:ilvl="5" w:tplc="01D83CD0">
      <w:start w:val="1"/>
      <w:numFmt w:val="bullet"/>
      <w:lvlText w:val=""/>
      <w:lvlJc w:val="left"/>
      <w:pPr>
        <w:ind w:left="4320" w:hanging="360"/>
      </w:pPr>
      <w:rPr>
        <w:rFonts w:ascii="Wingdings" w:hAnsi="Wingdings" w:hint="default"/>
      </w:rPr>
    </w:lvl>
    <w:lvl w:ilvl="6" w:tplc="7328344C">
      <w:start w:val="1"/>
      <w:numFmt w:val="bullet"/>
      <w:lvlText w:val=""/>
      <w:lvlJc w:val="left"/>
      <w:pPr>
        <w:ind w:left="5040" w:hanging="360"/>
      </w:pPr>
      <w:rPr>
        <w:rFonts w:ascii="Symbol" w:hAnsi="Symbol" w:hint="default"/>
      </w:rPr>
    </w:lvl>
    <w:lvl w:ilvl="7" w:tplc="CCB4988C">
      <w:start w:val="1"/>
      <w:numFmt w:val="bullet"/>
      <w:lvlText w:val="o"/>
      <w:lvlJc w:val="left"/>
      <w:pPr>
        <w:ind w:left="5760" w:hanging="360"/>
      </w:pPr>
      <w:rPr>
        <w:rFonts w:ascii="Courier New" w:hAnsi="Courier New" w:hint="default"/>
      </w:rPr>
    </w:lvl>
    <w:lvl w:ilvl="8" w:tplc="B30C65DA">
      <w:start w:val="1"/>
      <w:numFmt w:val="bullet"/>
      <w:lvlText w:val=""/>
      <w:lvlJc w:val="left"/>
      <w:pPr>
        <w:ind w:left="6480" w:hanging="360"/>
      </w:pPr>
      <w:rPr>
        <w:rFonts w:ascii="Wingdings" w:hAnsi="Wingdings" w:hint="default"/>
      </w:rPr>
    </w:lvl>
  </w:abstractNum>
  <w:abstractNum w:abstractNumId="11" w15:restartNumberingAfterBreak="0">
    <w:nsid w:val="275101BF"/>
    <w:multiLevelType w:val="hybridMultilevel"/>
    <w:tmpl w:val="4ECC50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8C14A4"/>
    <w:multiLevelType w:val="hybridMultilevel"/>
    <w:tmpl w:val="2E806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0F1042"/>
    <w:multiLevelType w:val="hybridMultilevel"/>
    <w:tmpl w:val="F334A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431916"/>
    <w:multiLevelType w:val="hybridMultilevel"/>
    <w:tmpl w:val="26FE3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4F0045"/>
    <w:multiLevelType w:val="hybridMultilevel"/>
    <w:tmpl w:val="CC9615EE"/>
    <w:lvl w:ilvl="0" w:tplc="144C143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5223B5"/>
    <w:multiLevelType w:val="hybridMultilevel"/>
    <w:tmpl w:val="0D783910"/>
    <w:lvl w:ilvl="0" w:tplc="144C143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B0EC0D"/>
    <w:multiLevelType w:val="hybridMultilevel"/>
    <w:tmpl w:val="A4C82FBE"/>
    <w:lvl w:ilvl="0" w:tplc="1D221548">
      <w:start w:val="1"/>
      <w:numFmt w:val="bullet"/>
      <w:lvlText w:val=""/>
      <w:lvlJc w:val="left"/>
      <w:pPr>
        <w:ind w:left="720" w:hanging="360"/>
      </w:pPr>
      <w:rPr>
        <w:rFonts w:ascii="Symbol" w:hAnsi="Symbol" w:hint="default"/>
      </w:rPr>
    </w:lvl>
    <w:lvl w:ilvl="1" w:tplc="A91E8FAE">
      <w:start w:val="1"/>
      <w:numFmt w:val="bullet"/>
      <w:lvlText w:val="o"/>
      <w:lvlJc w:val="left"/>
      <w:pPr>
        <w:ind w:left="1440" w:hanging="360"/>
      </w:pPr>
      <w:rPr>
        <w:rFonts w:ascii="Courier New" w:hAnsi="Courier New" w:hint="default"/>
      </w:rPr>
    </w:lvl>
    <w:lvl w:ilvl="2" w:tplc="A4F83E4E">
      <w:start w:val="1"/>
      <w:numFmt w:val="bullet"/>
      <w:lvlText w:val=""/>
      <w:lvlJc w:val="left"/>
      <w:pPr>
        <w:ind w:left="2160" w:hanging="360"/>
      </w:pPr>
      <w:rPr>
        <w:rFonts w:ascii="Wingdings" w:hAnsi="Wingdings" w:hint="default"/>
      </w:rPr>
    </w:lvl>
    <w:lvl w:ilvl="3" w:tplc="BA1A098A">
      <w:start w:val="1"/>
      <w:numFmt w:val="bullet"/>
      <w:lvlText w:val=""/>
      <w:lvlJc w:val="left"/>
      <w:pPr>
        <w:ind w:left="2880" w:hanging="360"/>
      </w:pPr>
      <w:rPr>
        <w:rFonts w:ascii="Symbol" w:hAnsi="Symbol" w:hint="default"/>
      </w:rPr>
    </w:lvl>
    <w:lvl w:ilvl="4" w:tplc="5CF0D146">
      <w:start w:val="1"/>
      <w:numFmt w:val="bullet"/>
      <w:lvlText w:val="o"/>
      <w:lvlJc w:val="left"/>
      <w:pPr>
        <w:ind w:left="3600" w:hanging="360"/>
      </w:pPr>
      <w:rPr>
        <w:rFonts w:ascii="Courier New" w:hAnsi="Courier New" w:hint="default"/>
      </w:rPr>
    </w:lvl>
    <w:lvl w:ilvl="5" w:tplc="243451DA">
      <w:start w:val="1"/>
      <w:numFmt w:val="bullet"/>
      <w:lvlText w:val=""/>
      <w:lvlJc w:val="left"/>
      <w:pPr>
        <w:ind w:left="4320" w:hanging="360"/>
      </w:pPr>
      <w:rPr>
        <w:rFonts w:ascii="Wingdings" w:hAnsi="Wingdings" w:hint="default"/>
      </w:rPr>
    </w:lvl>
    <w:lvl w:ilvl="6" w:tplc="A048515C">
      <w:start w:val="1"/>
      <w:numFmt w:val="bullet"/>
      <w:lvlText w:val=""/>
      <w:lvlJc w:val="left"/>
      <w:pPr>
        <w:ind w:left="5040" w:hanging="360"/>
      </w:pPr>
      <w:rPr>
        <w:rFonts w:ascii="Symbol" w:hAnsi="Symbol" w:hint="default"/>
      </w:rPr>
    </w:lvl>
    <w:lvl w:ilvl="7" w:tplc="8C3C67A6">
      <w:start w:val="1"/>
      <w:numFmt w:val="bullet"/>
      <w:lvlText w:val="o"/>
      <w:lvlJc w:val="left"/>
      <w:pPr>
        <w:ind w:left="5760" w:hanging="360"/>
      </w:pPr>
      <w:rPr>
        <w:rFonts w:ascii="Courier New" w:hAnsi="Courier New" w:hint="default"/>
      </w:rPr>
    </w:lvl>
    <w:lvl w:ilvl="8" w:tplc="D3C83610">
      <w:start w:val="1"/>
      <w:numFmt w:val="bullet"/>
      <w:lvlText w:val=""/>
      <w:lvlJc w:val="left"/>
      <w:pPr>
        <w:ind w:left="6480" w:hanging="360"/>
      </w:pPr>
      <w:rPr>
        <w:rFonts w:ascii="Wingdings" w:hAnsi="Wingdings" w:hint="default"/>
      </w:rPr>
    </w:lvl>
  </w:abstractNum>
  <w:abstractNum w:abstractNumId="18" w15:restartNumberingAfterBreak="0">
    <w:nsid w:val="3E87AED9"/>
    <w:multiLevelType w:val="hybridMultilevel"/>
    <w:tmpl w:val="87D8D79E"/>
    <w:lvl w:ilvl="0" w:tplc="4FF6126A">
      <w:start w:val="1"/>
      <w:numFmt w:val="bullet"/>
      <w:lvlText w:val=""/>
      <w:lvlJc w:val="left"/>
      <w:pPr>
        <w:ind w:left="720" w:hanging="360"/>
      </w:pPr>
      <w:rPr>
        <w:rFonts w:ascii="Symbol" w:hAnsi="Symbol" w:hint="default"/>
      </w:rPr>
    </w:lvl>
    <w:lvl w:ilvl="1" w:tplc="A880BF70">
      <w:start w:val="1"/>
      <w:numFmt w:val="bullet"/>
      <w:lvlText w:val="o"/>
      <w:lvlJc w:val="left"/>
      <w:pPr>
        <w:ind w:left="1440" w:hanging="360"/>
      </w:pPr>
      <w:rPr>
        <w:rFonts w:ascii="Courier New" w:hAnsi="Courier New" w:hint="default"/>
      </w:rPr>
    </w:lvl>
    <w:lvl w:ilvl="2" w:tplc="AC8029C6">
      <w:start w:val="1"/>
      <w:numFmt w:val="bullet"/>
      <w:lvlText w:val=""/>
      <w:lvlJc w:val="left"/>
      <w:pPr>
        <w:ind w:left="2160" w:hanging="360"/>
      </w:pPr>
      <w:rPr>
        <w:rFonts w:ascii="Wingdings" w:hAnsi="Wingdings" w:hint="default"/>
      </w:rPr>
    </w:lvl>
    <w:lvl w:ilvl="3" w:tplc="F8C8AC22">
      <w:start w:val="1"/>
      <w:numFmt w:val="bullet"/>
      <w:lvlText w:val=""/>
      <w:lvlJc w:val="left"/>
      <w:pPr>
        <w:ind w:left="2880" w:hanging="360"/>
      </w:pPr>
      <w:rPr>
        <w:rFonts w:ascii="Symbol" w:hAnsi="Symbol" w:hint="default"/>
      </w:rPr>
    </w:lvl>
    <w:lvl w:ilvl="4" w:tplc="2FA67B9A">
      <w:start w:val="1"/>
      <w:numFmt w:val="bullet"/>
      <w:lvlText w:val="o"/>
      <w:lvlJc w:val="left"/>
      <w:pPr>
        <w:ind w:left="3600" w:hanging="360"/>
      </w:pPr>
      <w:rPr>
        <w:rFonts w:ascii="Courier New" w:hAnsi="Courier New" w:hint="default"/>
      </w:rPr>
    </w:lvl>
    <w:lvl w:ilvl="5" w:tplc="2E7A619E">
      <w:start w:val="1"/>
      <w:numFmt w:val="bullet"/>
      <w:lvlText w:val=""/>
      <w:lvlJc w:val="left"/>
      <w:pPr>
        <w:ind w:left="4320" w:hanging="360"/>
      </w:pPr>
      <w:rPr>
        <w:rFonts w:ascii="Wingdings" w:hAnsi="Wingdings" w:hint="default"/>
      </w:rPr>
    </w:lvl>
    <w:lvl w:ilvl="6" w:tplc="6E4CE476">
      <w:start w:val="1"/>
      <w:numFmt w:val="bullet"/>
      <w:lvlText w:val=""/>
      <w:lvlJc w:val="left"/>
      <w:pPr>
        <w:ind w:left="5040" w:hanging="360"/>
      </w:pPr>
      <w:rPr>
        <w:rFonts w:ascii="Symbol" w:hAnsi="Symbol" w:hint="default"/>
      </w:rPr>
    </w:lvl>
    <w:lvl w:ilvl="7" w:tplc="2BA819F8">
      <w:start w:val="1"/>
      <w:numFmt w:val="bullet"/>
      <w:lvlText w:val="o"/>
      <w:lvlJc w:val="left"/>
      <w:pPr>
        <w:ind w:left="5760" w:hanging="360"/>
      </w:pPr>
      <w:rPr>
        <w:rFonts w:ascii="Courier New" w:hAnsi="Courier New" w:hint="default"/>
      </w:rPr>
    </w:lvl>
    <w:lvl w:ilvl="8" w:tplc="98EAE2A6">
      <w:start w:val="1"/>
      <w:numFmt w:val="bullet"/>
      <w:lvlText w:val=""/>
      <w:lvlJc w:val="left"/>
      <w:pPr>
        <w:ind w:left="6480" w:hanging="360"/>
      </w:pPr>
      <w:rPr>
        <w:rFonts w:ascii="Wingdings" w:hAnsi="Wingdings" w:hint="default"/>
      </w:rPr>
    </w:lvl>
  </w:abstractNum>
  <w:abstractNum w:abstractNumId="19" w15:restartNumberingAfterBreak="0">
    <w:nsid w:val="4108193A"/>
    <w:multiLevelType w:val="hybridMultilevel"/>
    <w:tmpl w:val="E12AC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C005C0"/>
    <w:multiLevelType w:val="hybridMultilevel"/>
    <w:tmpl w:val="6E202C1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1" w15:restartNumberingAfterBreak="0">
    <w:nsid w:val="438E6CEC"/>
    <w:multiLevelType w:val="hybridMultilevel"/>
    <w:tmpl w:val="7F1259E2"/>
    <w:lvl w:ilvl="0" w:tplc="7D2201C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EC34B6"/>
    <w:multiLevelType w:val="hybridMultilevel"/>
    <w:tmpl w:val="5644F54A"/>
    <w:lvl w:ilvl="0" w:tplc="D1D6B6B8">
      <w:start w:val="1"/>
      <w:numFmt w:val="bullet"/>
      <w:lvlText w:val="-"/>
      <w:lvlJc w:val="left"/>
      <w:pPr>
        <w:ind w:left="720" w:hanging="360"/>
      </w:pPr>
      <w:rPr>
        <w:rFonts w:ascii="Calibri" w:hAnsi="Calibri" w:hint="default"/>
      </w:rPr>
    </w:lvl>
    <w:lvl w:ilvl="1" w:tplc="2F4E4922">
      <w:start w:val="1"/>
      <w:numFmt w:val="bullet"/>
      <w:lvlText w:val="o"/>
      <w:lvlJc w:val="left"/>
      <w:pPr>
        <w:ind w:left="1440" w:hanging="360"/>
      </w:pPr>
      <w:rPr>
        <w:rFonts w:ascii="Courier New" w:hAnsi="Courier New" w:hint="default"/>
      </w:rPr>
    </w:lvl>
    <w:lvl w:ilvl="2" w:tplc="3560EF96">
      <w:start w:val="1"/>
      <w:numFmt w:val="bullet"/>
      <w:lvlText w:val=""/>
      <w:lvlJc w:val="left"/>
      <w:pPr>
        <w:ind w:left="2160" w:hanging="360"/>
      </w:pPr>
      <w:rPr>
        <w:rFonts w:ascii="Wingdings" w:hAnsi="Wingdings" w:hint="default"/>
      </w:rPr>
    </w:lvl>
    <w:lvl w:ilvl="3" w:tplc="138A066E">
      <w:start w:val="1"/>
      <w:numFmt w:val="bullet"/>
      <w:lvlText w:val=""/>
      <w:lvlJc w:val="left"/>
      <w:pPr>
        <w:ind w:left="2880" w:hanging="360"/>
      </w:pPr>
      <w:rPr>
        <w:rFonts w:ascii="Symbol" w:hAnsi="Symbol" w:hint="default"/>
      </w:rPr>
    </w:lvl>
    <w:lvl w:ilvl="4" w:tplc="2868A9B6">
      <w:start w:val="1"/>
      <w:numFmt w:val="bullet"/>
      <w:lvlText w:val="o"/>
      <w:lvlJc w:val="left"/>
      <w:pPr>
        <w:ind w:left="3600" w:hanging="360"/>
      </w:pPr>
      <w:rPr>
        <w:rFonts w:ascii="Courier New" w:hAnsi="Courier New" w:hint="default"/>
      </w:rPr>
    </w:lvl>
    <w:lvl w:ilvl="5" w:tplc="5B3A3D04">
      <w:start w:val="1"/>
      <w:numFmt w:val="bullet"/>
      <w:lvlText w:val=""/>
      <w:lvlJc w:val="left"/>
      <w:pPr>
        <w:ind w:left="4320" w:hanging="360"/>
      </w:pPr>
      <w:rPr>
        <w:rFonts w:ascii="Wingdings" w:hAnsi="Wingdings" w:hint="default"/>
      </w:rPr>
    </w:lvl>
    <w:lvl w:ilvl="6" w:tplc="50CC1F58">
      <w:start w:val="1"/>
      <w:numFmt w:val="bullet"/>
      <w:lvlText w:val=""/>
      <w:lvlJc w:val="left"/>
      <w:pPr>
        <w:ind w:left="5040" w:hanging="360"/>
      </w:pPr>
      <w:rPr>
        <w:rFonts w:ascii="Symbol" w:hAnsi="Symbol" w:hint="default"/>
      </w:rPr>
    </w:lvl>
    <w:lvl w:ilvl="7" w:tplc="DA9663FA">
      <w:start w:val="1"/>
      <w:numFmt w:val="bullet"/>
      <w:lvlText w:val="o"/>
      <w:lvlJc w:val="left"/>
      <w:pPr>
        <w:ind w:left="5760" w:hanging="360"/>
      </w:pPr>
      <w:rPr>
        <w:rFonts w:ascii="Courier New" w:hAnsi="Courier New" w:hint="default"/>
      </w:rPr>
    </w:lvl>
    <w:lvl w:ilvl="8" w:tplc="E4AAD636">
      <w:start w:val="1"/>
      <w:numFmt w:val="bullet"/>
      <w:lvlText w:val=""/>
      <w:lvlJc w:val="left"/>
      <w:pPr>
        <w:ind w:left="6480" w:hanging="360"/>
      </w:pPr>
      <w:rPr>
        <w:rFonts w:ascii="Wingdings" w:hAnsi="Wingdings" w:hint="default"/>
      </w:rPr>
    </w:lvl>
  </w:abstractNum>
  <w:abstractNum w:abstractNumId="23" w15:restartNumberingAfterBreak="0">
    <w:nsid w:val="486BE071"/>
    <w:multiLevelType w:val="hybridMultilevel"/>
    <w:tmpl w:val="31BE9CDE"/>
    <w:lvl w:ilvl="0" w:tplc="8638A406">
      <w:start w:val="1"/>
      <w:numFmt w:val="bullet"/>
      <w:lvlText w:val=""/>
      <w:lvlJc w:val="left"/>
      <w:pPr>
        <w:ind w:left="1080" w:hanging="360"/>
      </w:pPr>
      <w:rPr>
        <w:rFonts w:ascii="Symbol" w:hAnsi="Symbol" w:hint="default"/>
      </w:rPr>
    </w:lvl>
    <w:lvl w:ilvl="1" w:tplc="1AEACA22">
      <w:start w:val="1"/>
      <w:numFmt w:val="bullet"/>
      <w:lvlText w:val="o"/>
      <w:lvlJc w:val="left"/>
      <w:pPr>
        <w:ind w:left="1440" w:hanging="360"/>
      </w:pPr>
      <w:rPr>
        <w:rFonts w:ascii="Courier New" w:hAnsi="Courier New" w:hint="default"/>
      </w:rPr>
    </w:lvl>
    <w:lvl w:ilvl="2" w:tplc="198A070C">
      <w:start w:val="1"/>
      <w:numFmt w:val="bullet"/>
      <w:lvlText w:val=""/>
      <w:lvlJc w:val="left"/>
      <w:pPr>
        <w:ind w:left="2160" w:hanging="360"/>
      </w:pPr>
      <w:rPr>
        <w:rFonts w:ascii="Wingdings" w:hAnsi="Wingdings" w:hint="default"/>
      </w:rPr>
    </w:lvl>
    <w:lvl w:ilvl="3" w:tplc="D58016BC">
      <w:start w:val="1"/>
      <w:numFmt w:val="bullet"/>
      <w:lvlText w:val=""/>
      <w:lvlJc w:val="left"/>
      <w:pPr>
        <w:ind w:left="2880" w:hanging="360"/>
      </w:pPr>
      <w:rPr>
        <w:rFonts w:ascii="Symbol" w:hAnsi="Symbol" w:hint="default"/>
      </w:rPr>
    </w:lvl>
    <w:lvl w:ilvl="4" w:tplc="6ABE9460">
      <w:start w:val="1"/>
      <w:numFmt w:val="bullet"/>
      <w:lvlText w:val="o"/>
      <w:lvlJc w:val="left"/>
      <w:pPr>
        <w:ind w:left="3600" w:hanging="360"/>
      </w:pPr>
      <w:rPr>
        <w:rFonts w:ascii="Courier New" w:hAnsi="Courier New" w:hint="default"/>
      </w:rPr>
    </w:lvl>
    <w:lvl w:ilvl="5" w:tplc="8FC898B2">
      <w:start w:val="1"/>
      <w:numFmt w:val="bullet"/>
      <w:lvlText w:val=""/>
      <w:lvlJc w:val="left"/>
      <w:pPr>
        <w:ind w:left="4320" w:hanging="360"/>
      </w:pPr>
      <w:rPr>
        <w:rFonts w:ascii="Wingdings" w:hAnsi="Wingdings" w:hint="default"/>
      </w:rPr>
    </w:lvl>
    <w:lvl w:ilvl="6" w:tplc="6A86244E">
      <w:start w:val="1"/>
      <w:numFmt w:val="bullet"/>
      <w:lvlText w:val=""/>
      <w:lvlJc w:val="left"/>
      <w:pPr>
        <w:ind w:left="5040" w:hanging="360"/>
      </w:pPr>
      <w:rPr>
        <w:rFonts w:ascii="Symbol" w:hAnsi="Symbol" w:hint="default"/>
      </w:rPr>
    </w:lvl>
    <w:lvl w:ilvl="7" w:tplc="43E8B202">
      <w:start w:val="1"/>
      <w:numFmt w:val="bullet"/>
      <w:lvlText w:val="o"/>
      <w:lvlJc w:val="left"/>
      <w:pPr>
        <w:ind w:left="5760" w:hanging="360"/>
      </w:pPr>
      <w:rPr>
        <w:rFonts w:ascii="Courier New" w:hAnsi="Courier New" w:hint="default"/>
      </w:rPr>
    </w:lvl>
    <w:lvl w:ilvl="8" w:tplc="741CEE06">
      <w:start w:val="1"/>
      <w:numFmt w:val="bullet"/>
      <w:lvlText w:val=""/>
      <w:lvlJc w:val="left"/>
      <w:pPr>
        <w:ind w:left="6480" w:hanging="360"/>
      </w:pPr>
      <w:rPr>
        <w:rFonts w:ascii="Wingdings" w:hAnsi="Wingdings" w:hint="default"/>
      </w:rPr>
    </w:lvl>
  </w:abstractNum>
  <w:abstractNum w:abstractNumId="24" w15:restartNumberingAfterBreak="0">
    <w:nsid w:val="4A777B14"/>
    <w:multiLevelType w:val="hybridMultilevel"/>
    <w:tmpl w:val="70D4E0EC"/>
    <w:lvl w:ilvl="0" w:tplc="144C143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332265"/>
    <w:multiLevelType w:val="hybridMultilevel"/>
    <w:tmpl w:val="4056A1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4C6B5F"/>
    <w:multiLevelType w:val="multilevel"/>
    <w:tmpl w:val="E8661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FD4B83"/>
    <w:multiLevelType w:val="hybridMultilevel"/>
    <w:tmpl w:val="54EC64B2"/>
    <w:lvl w:ilvl="0" w:tplc="144C143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D273B1"/>
    <w:multiLevelType w:val="hybridMultilevel"/>
    <w:tmpl w:val="3EB63578"/>
    <w:lvl w:ilvl="0" w:tplc="A39C0606">
      <w:start w:val="1"/>
      <w:numFmt w:val="bullet"/>
      <w:lvlText w:val=""/>
      <w:lvlJc w:val="left"/>
      <w:pPr>
        <w:ind w:left="1080" w:hanging="360"/>
      </w:pPr>
      <w:rPr>
        <w:rFonts w:ascii="Symbol" w:hAnsi="Symbol" w:hint="default"/>
      </w:rPr>
    </w:lvl>
    <w:lvl w:ilvl="1" w:tplc="5EAC4802">
      <w:start w:val="1"/>
      <w:numFmt w:val="bullet"/>
      <w:lvlText w:val="o"/>
      <w:lvlJc w:val="left"/>
      <w:pPr>
        <w:ind w:left="1440" w:hanging="360"/>
      </w:pPr>
      <w:rPr>
        <w:rFonts w:ascii="Courier New" w:hAnsi="Courier New" w:hint="default"/>
      </w:rPr>
    </w:lvl>
    <w:lvl w:ilvl="2" w:tplc="FB3CDFA8">
      <w:start w:val="1"/>
      <w:numFmt w:val="bullet"/>
      <w:lvlText w:val=""/>
      <w:lvlJc w:val="left"/>
      <w:pPr>
        <w:ind w:left="2160" w:hanging="360"/>
      </w:pPr>
      <w:rPr>
        <w:rFonts w:ascii="Wingdings" w:hAnsi="Wingdings" w:hint="default"/>
      </w:rPr>
    </w:lvl>
    <w:lvl w:ilvl="3" w:tplc="CEA88362">
      <w:start w:val="1"/>
      <w:numFmt w:val="bullet"/>
      <w:lvlText w:val=""/>
      <w:lvlJc w:val="left"/>
      <w:pPr>
        <w:ind w:left="2880" w:hanging="360"/>
      </w:pPr>
      <w:rPr>
        <w:rFonts w:ascii="Symbol" w:hAnsi="Symbol" w:hint="default"/>
      </w:rPr>
    </w:lvl>
    <w:lvl w:ilvl="4" w:tplc="BE065E6A">
      <w:start w:val="1"/>
      <w:numFmt w:val="bullet"/>
      <w:lvlText w:val="o"/>
      <w:lvlJc w:val="left"/>
      <w:pPr>
        <w:ind w:left="3600" w:hanging="360"/>
      </w:pPr>
      <w:rPr>
        <w:rFonts w:ascii="Courier New" w:hAnsi="Courier New" w:hint="default"/>
      </w:rPr>
    </w:lvl>
    <w:lvl w:ilvl="5" w:tplc="A544D00E">
      <w:start w:val="1"/>
      <w:numFmt w:val="bullet"/>
      <w:lvlText w:val=""/>
      <w:lvlJc w:val="left"/>
      <w:pPr>
        <w:ind w:left="4320" w:hanging="360"/>
      </w:pPr>
      <w:rPr>
        <w:rFonts w:ascii="Wingdings" w:hAnsi="Wingdings" w:hint="default"/>
      </w:rPr>
    </w:lvl>
    <w:lvl w:ilvl="6" w:tplc="3B92D3FA">
      <w:start w:val="1"/>
      <w:numFmt w:val="bullet"/>
      <w:lvlText w:val=""/>
      <w:lvlJc w:val="left"/>
      <w:pPr>
        <w:ind w:left="5040" w:hanging="360"/>
      </w:pPr>
      <w:rPr>
        <w:rFonts w:ascii="Symbol" w:hAnsi="Symbol" w:hint="default"/>
      </w:rPr>
    </w:lvl>
    <w:lvl w:ilvl="7" w:tplc="CE10E6D0">
      <w:start w:val="1"/>
      <w:numFmt w:val="bullet"/>
      <w:lvlText w:val="o"/>
      <w:lvlJc w:val="left"/>
      <w:pPr>
        <w:ind w:left="5760" w:hanging="360"/>
      </w:pPr>
      <w:rPr>
        <w:rFonts w:ascii="Courier New" w:hAnsi="Courier New" w:hint="default"/>
      </w:rPr>
    </w:lvl>
    <w:lvl w:ilvl="8" w:tplc="47AE6602">
      <w:start w:val="1"/>
      <w:numFmt w:val="bullet"/>
      <w:lvlText w:val=""/>
      <w:lvlJc w:val="left"/>
      <w:pPr>
        <w:ind w:left="6480" w:hanging="360"/>
      </w:pPr>
      <w:rPr>
        <w:rFonts w:ascii="Wingdings" w:hAnsi="Wingdings" w:hint="default"/>
      </w:rPr>
    </w:lvl>
  </w:abstractNum>
  <w:abstractNum w:abstractNumId="29" w15:restartNumberingAfterBreak="0">
    <w:nsid w:val="65942EAE"/>
    <w:multiLevelType w:val="multilevel"/>
    <w:tmpl w:val="F28EDC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9DD165A"/>
    <w:multiLevelType w:val="hybridMultilevel"/>
    <w:tmpl w:val="4C780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0443F1"/>
    <w:multiLevelType w:val="hybridMultilevel"/>
    <w:tmpl w:val="79F65864"/>
    <w:lvl w:ilvl="0" w:tplc="6770CE26">
      <w:start w:val="1"/>
      <w:numFmt w:val="bullet"/>
      <w:lvlText w:val="-"/>
      <w:lvlJc w:val="left"/>
      <w:pPr>
        <w:ind w:left="720" w:hanging="360"/>
      </w:pPr>
      <w:rPr>
        <w:rFonts w:ascii="Calibri" w:hAnsi="Calibri" w:hint="default"/>
      </w:rPr>
    </w:lvl>
    <w:lvl w:ilvl="1" w:tplc="3F0031E0">
      <w:start w:val="1"/>
      <w:numFmt w:val="bullet"/>
      <w:lvlText w:val="o"/>
      <w:lvlJc w:val="left"/>
      <w:pPr>
        <w:ind w:left="1440" w:hanging="360"/>
      </w:pPr>
      <w:rPr>
        <w:rFonts w:ascii="Courier New" w:hAnsi="Courier New" w:hint="default"/>
      </w:rPr>
    </w:lvl>
    <w:lvl w:ilvl="2" w:tplc="E7A07078">
      <w:start w:val="1"/>
      <w:numFmt w:val="bullet"/>
      <w:lvlText w:val=""/>
      <w:lvlJc w:val="left"/>
      <w:pPr>
        <w:ind w:left="2160" w:hanging="360"/>
      </w:pPr>
      <w:rPr>
        <w:rFonts w:ascii="Wingdings" w:hAnsi="Wingdings" w:hint="default"/>
      </w:rPr>
    </w:lvl>
    <w:lvl w:ilvl="3" w:tplc="32682C8C">
      <w:start w:val="1"/>
      <w:numFmt w:val="bullet"/>
      <w:lvlText w:val=""/>
      <w:lvlJc w:val="left"/>
      <w:pPr>
        <w:ind w:left="2880" w:hanging="360"/>
      </w:pPr>
      <w:rPr>
        <w:rFonts w:ascii="Symbol" w:hAnsi="Symbol" w:hint="default"/>
      </w:rPr>
    </w:lvl>
    <w:lvl w:ilvl="4" w:tplc="7020E67A">
      <w:start w:val="1"/>
      <w:numFmt w:val="bullet"/>
      <w:lvlText w:val="o"/>
      <w:lvlJc w:val="left"/>
      <w:pPr>
        <w:ind w:left="3600" w:hanging="360"/>
      </w:pPr>
      <w:rPr>
        <w:rFonts w:ascii="Courier New" w:hAnsi="Courier New" w:hint="default"/>
      </w:rPr>
    </w:lvl>
    <w:lvl w:ilvl="5" w:tplc="82E6400C">
      <w:start w:val="1"/>
      <w:numFmt w:val="bullet"/>
      <w:lvlText w:val=""/>
      <w:lvlJc w:val="left"/>
      <w:pPr>
        <w:ind w:left="4320" w:hanging="360"/>
      </w:pPr>
      <w:rPr>
        <w:rFonts w:ascii="Wingdings" w:hAnsi="Wingdings" w:hint="default"/>
      </w:rPr>
    </w:lvl>
    <w:lvl w:ilvl="6" w:tplc="9B1E73CE">
      <w:start w:val="1"/>
      <w:numFmt w:val="bullet"/>
      <w:lvlText w:val=""/>
      <w:lvlJc w:val="left"/>
      <w:pPr>
        <w:ind w:left="5040" w:hanging="360"/>
      </w:pPr>
      <w:rPr>
        <w:rFonts w:ascii="Symbol" w:hAnsi="Symbol" w:hint="default"/>
      </w:rPr>
    </w:lvl>
    <w:lvl w:ilvl="7" w:tplc="1F4886AE">
      <w:start w:val="1"/>
      <w:numFmt w:val="bullet"/>
      <w:lvlText w:val="o"/>
      <w:lvlJc w:val="left"/>
      <w:pPr>
        <w:ind w:left="5760" w:hanging="360"/>
      </w:pPr>
      <w:rPr>
        <w:rFonts w:ascii="Courier New" w:hAnsi="Courier New" w:hint="default"/>
      </w:rPr>
    </w:lvl>
    <w:lvl w:ilvl="8" w:tplc="4EE294A6">
      <w:start w:val="1"/>
      <w:numFmt w:val="bullet"/>
      <w:lvlText w:val=""/>
      <w:lvlJc w:val="left"/>
      <w:pPr>
        <w:ind w:left="6480" w:hanging="360"/>
      </w:pPr>
      <w:rPr>
        <w:rFonts w:ascii="Wingdings" w:hAnsi="Wingdings" w:hint="default"/>
      </w:rPr>
    </w:lvl>
  </w:abstractNum>
  <w:abstractNum w:abstractNumId="32" w15:restartNumberingAfterBreak="0">
    <w:nsid w:val="6F584292"/>
    <w:multiLevelType w:val="multilevel"/>
    <w:tmpl w:val="246469C0"/>
    <w:lvl w:ilvl="0">
      <w:start w:val="1"/>
      <w:numFmt w:val="bullet"/>
      <w:lvlText w:val=""/>
      <w:lvlJc w:val="left"/>
      <w:pPr>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2876425"/>
    <w:multiLevelType w:val="hybridMultilevel"/>
    <w:tmpl w:val="9AE85E84"/>
    <w:lvl w:ilvl="0" w:tplc="144C143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E63782"/>
    <w:multiLevelType w:val="hybridMultilevel"/>
    <w:tmpl w:val="572A6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820D83"/>
    <w:multiLevelType w:val="hybridMultilevel"/>
    <w:tmpl w:val="0254C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F75CB6"/>
    <w:multiLevelType w:val="multilevel"/>
    <w:tmpl w:val="0D469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F60AD7"/>
    <w:multiLevelType w:val="hybridMultilevel"/>
    <w:tmpl w:val="1B4ED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E812D0"/>
    <w:multiLevelType w:val="hybridMultilevel"/>
    <w:tmpl w:val="B2C6F8A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EE32703"/>
    <w:multiLevelType w:val="hybridMultilevel"/>
    <w:tmpl w:val="C868E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23"/>
  </w:num>
  <w:num w:numId="4">
    <w:abstractNumId w:val="28"/>
  </w:num>
  <w:num w:numId="5">
    <w:abstractNumId w:val="18"/>
  </w:num>
  <w:num w:numId="6">
    <w:abstractNumId w:val="6"/>
  </w:num>
  <w:num w:numId="7">
    <w:abstractNumId w:val="9"/>
  </w:num>
  <w:num w:numId="8">
    <w:abstractNumId w:val="17"/>
  </w:num>
  <w:num w:numId="9">
    <w:abstractNumId w:val="2"/>
  </w:num>
  <w:num w:numId="10">
    <w:abstractNumId w:val="21"/>
  </w:num>
  <w:num w:numId="11">
    <w:abstractNumId w:val="29"/>
  </w:num>
  <w:num w:numId="12">
    <w:abstractNumId w:val="33"/>
  </w:num>
  <w:num w:numId="13">
    <w:abstractNumId w:val="7"/>
  </w:num>
  <w:num w:numId="14">
    <w:abstractNumId w:val="15"/>
  </w:num>
  <w:num w:numId="15">
    <w:abstractNumId w:val="16"/>
  </w:num>
  <w:num w:numId="16">
    <w:abstractNumId w:val="24"/>
  </w:num>
  <w:num w:numId="17">
    <w:abstractNumId w:val="27"/>
  </w:num>
  <w:num w:numId="18">
    <w:abstractNumId w:val="4"/>
  </w:num>
  <w:num w:numId="19">
    <w:abstractNumId w:val="31"/>
  </w:num>
  <w:num w:numId="20">
    <w:abstractNumId w:val="22"/>
  </w:num>
  <w:num w:numId="21">
    <w:abstractNumId w:val="3"/>
  </w:num>
  <w:num w:numId="22">
    <w:abstractNumId w:val="0"/>
  </w:num>
  <w:num w:numId="23">
    <w:abstractNumId w:val="11"/>
  </w:num>
  <w:num w:numId="24">
    <w:abstractNumId w:val="38"/>
  </w:num>
  <w:num w:numId="25">
    <w:abstractNumId w:val="25"/>
  </w:num>
  <w:num w:numId="26">
    <w:abstractNumId w:val="14"/>
  </w:num>
  <w:num w:numId="27">
    <w:abstractNumId w:val="35"/>
  </w:num>
  <w:num w:numId="28">
    <w:abstractNumId w:val="30"/>
  </w:num>
  <w:num w:numId="29">
    <w:abstractNumId w:val="36"/>
  </w:num>
  <w:num w:numId="30">
    <w:abstractNumId w:val="34"/>
  </w:num>
  <w:num w:numId="31">
    <w:abstractNumId w:val="12"/>
  </w:num>
  <w:num w:numId="32">
    <w:abstractNumId w:val="8"/>
  </w:num>
  <w:num w:numId="33">
    <w:abstractNumId w:val="5"/>
  </w:num>
  <w:num w:numId="34">
    <w:abstractNumId w:val="19"/>
  </w:num>
  <w:num w:numId="35">
    <w:abstractNumId w:val="13"/>
  </w:num>
  <w:num w:numId="36">
    <w:abstractNumId w:val="39"/>
  </w:num>
  <w:num w:numId="37">
    <w:abstractNumId w:val="37"/>
  </w:num>
  <w:num w:numId="38">
    <w:abstractNumId w:val="26"/>
  </w:num>
  <w:num w:numId="39">
    <w:abstractNumId w:val="20"/>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710"/>
    <w:rsid w:val="00001EE4"/>
    <w:rsid w:val="00002C9E"/>
    <w:rsid w:val="0000503A"/>
    <w:rsid w:val="0000720A"/>
    <w:rsid w:val="00010A25"/>
    <w:rsid w:val="00012AB9"/>
    <w:rsid w:val="0001417D"/>
    <w:rsid w:val="000228F3"/>
    <w:rsid w:val="00023503"/>
    <w:rsid w:val="00024214"/>
    <w:rsid w:val="00027FAD"/>
    <w:rsid w:val="0003336F"/>
    <w:rsid w:val="000342F9"/>
    <w:rsid w:val="00036682"/>
    <w:rsid w:val="000400FC"/>
    <w:rsid w:val="0004024D"/>
    <w:rsid w:val="00041C83"/>
    <w:rsid w:val="00042EB0"/>
    <w:rsid w:val="00043BAF"/>
    <w:rsid w:val="0005049F"/>
    <w:rsid w:val="00053C5E"/>
    <w:rsid w:val="00054454"/>
    <w:rsid w:val="00054624"/>
    <w:rsid w:val="00056C01"/>
    <w:rsid w:val="00056CBB"/>
    <w:rsid w:val="000612DC"/>
    <w:rsid w:val="000635AE"/>
    <w:rsid w:val="00064032"/>
    <w:rsid w:val="00066306"/>
    <w:rsid w:val="00066DA6"/>
    <w:rsid w:val="00074D37"/>
    <w:rsid w:val="00080845"/>
    <w:rsid w:val="000812AA"/>
    <w:rsid w:val="000814AE"/>
    <w:rsid w:val="000827A3"/>
    <w:rsid w:val="00087B1A"/>
    <w:rsid w:val="000900A7"/>
    <w:rsid w:val="00091910"/>
    <w:rsid w:val="00092384"/>
    <w:rsid w:val="00095235"/>
    <w:rsid w:val="000A44D0"/>
    <w:rsid w:val="000B092F"/>
    <w:rsid w:val="000B2659"/>
    <w:rsid w:val="000B294E"/>
    <w:rsid w:val="000B37BC"/>
    <w:rsid w:val="000B70F7"/>
    <w:rsid w:val="000C00EA"/>
    <w:rsid w:val="000C147D"/>
    <w:rsid w:val="000C199C"/>
    <w:rsid w:val="000D1621"/>
    <w:rsid w:val="000D18BC"/>
    <w:rsid w:val="000D282D"/>
    <w:rsid w:val="000D4153"/>
    <w:rsid w:val="000D54E5"/>
    <w:rsid w:val="000D7944"/>
    <w:rsid w:val="000D7EA6"/>
    <w:rsid w:val="000E0118"/>
    <w:rsid w:val="000E1A7B"/>
    <w:rsid w:val="000E2823"/>
    <w:rsid w:val="000E3AAC"/>
    <w:rsid w:val="000E48DF"/>
    <w:rsid w:val="000E63CF"/>
    <w:rsid w:val="000E75F0"/>
    <w:rsid w:val="000F4D5B"/>
    <w:rsid w:val="000F63F8"/>
    <w:rsid w:val="00100CB4"/>
    <w:rsid w:val="00102E55"/>
    <w:rsid w:val="001137E3"/>
    <w:rsid w:val="00114960"/>
    <w:rsid w:val="00115220"/>
    <w:rsid w:val="00116DE2"/>
    <w:rsid w:val="0012000C"/>
    <w:rsid w:val="0012012C"/>
    <w:rsid w:val="00124857"/>
    <w:rsid w:val="0012509F"/>
    <w:rsid w:val="001300D4"/>
    <w:rsid w:val="001352E6"/>
    <w:rsid w:val="00141A13"/>
    <w:rsid w:val="00144E6A"/>
    <w:rsid w:val="0014633F"/>
    <w:rsid w:val="0014676A"/>
    <w:rsid w:val="00147F0A"/>
    <w:rsid w:val="00150F62"/>
    <w:rsid w:val="001527ED"/>
    <w:rsid w:val="00155834"/>
    <w:rsid w:val="001559EC"/>
    <w:rsid w:val="0015667E"/>
    <w:rsid w:val="00156C79"/>
    <w:rsid w:val="001617E6"/>
    <w:rsid w:val="00164179"/>
    <w:rsid w:val="001645FB"/>
    <w:rsid w:val="0016517B"/>
    <w:rsid w:val="00172573"/>
    <w:rsid w:val="00173687"/>
    <w:rsid w:val="0017551E"/>
    <w:rsid w:val="001762C1"/>
    <w:rsid w:val="00180107"/>
    <w:rsid w:val="00180B15"/>
    <w:rsid w:val="00180E24"/>
    <w:rsid w:val="00181791"/>
    <w:rsid w:val="001835B4"/>
    <w:rsid w:val="00185135"/>
    <w:rsid w:val="0018550C"/>
    <w:rsid w:val="00185B5C"/>
    <w:rsid w:val="0018698A"/>
    <w:rsid w:val="001923CC"/>
    <w:rsid w:val="00195F24"/>
    <w:rsid w:val="001A0B68"/>
    <w:rsid w:val="001A2593"/>
    <w:rsid w:val="001A310D"/>
    <w:rsid w:val="001A65D1"/>
    <w:rsid w:val="001A727C"/>
    <w:rsid w:val="001B0BAA"/>
    <w:rsid w:val="001B0C15"/>
    <w:rsid w:val="001B20FB"/>
    <w:rsid w:val="001B3FC0"/>
    <w:rsid w:val="001B5A61"/>
    <w:rsid w:val="001C0B3F"/>
    <w:rsid w:val="001D031E"/>
    <w:rsid w:val="001D468A"/>
    <w:rsid w:val="001D6100"/>
    <w:rsid w:val="001E0609"/>
    <w:rsid w:val="001E1F78"/>
    <w:rsid w:val="001E20C8"/>
    <w:rsid w:val="001E2D98"/>
    <w:rsid w:val="001E458F"/>
    <w:rsid w:val="001E641C"/>
    <w:rsid w:val="00201DC1"/>
    <w:rsid w:val="00201EBF"/>
    <w:rsid w:val="00203764"/>
    <w:rsid w:val="002039FA"/>
    <w:rsid w:val="00207143"/>
    <w:rsid w:val="002105A0"/>
    <w:rsid w:val="002133B8"/>
    <w:rsid w:val="00214A9B"/>
    <w:rsid w:val="0022227E"/>
    <w:rsid w:val="00222AEA"/>
    <w:rsid w:val="002302DC"/>
    <w:rsid w:val="002315D5"/>
    <w:rsid w:val="00232707"/>
    <w:rsid w:val="002349BF"/>
    <w:rsid w:val="002357A5"/>
    <w:rsid w:val="0023712B"/>
    <w:rsid w:val="00237A52"/>
    <w:rsid w:val="002409BA"/>
    <w:rsid w:val="00241C58"/>
    <w:rsid w:val="002439CF"/>
    <w:rsid w:val="00252079"/>
    <w:rsid w:val="0025278C"/>
    <w:rsid w:val="002543B6"/>
    <w:rsid w:val="00254D89"/>
    <w:rsid w:val="00256470"/>
    <w:rsid w:val="00256FB4"/>
    <w:rsid w:val="0026552B"/>
    <w:rsid w:val="00265E05"/>
    <w:rsid w:val="00271BCD"/>
    <w:rsid w:val="002824EC"/>
    <w:rsid w:val="00282BAF"/>
    <w:rsid w:val="0028469F"/>
    <w:rsid w:val="0028506A"/>
    <w:rsid w:val="0028676D"/>
    <w:rsid w:val="002867CC"/>
    <w:rsid w:val="00286D9B"/>
    <w:rsid w:val="0028745D"/>
    <w:rsid w:val="00290B6A"/>
    <w:rsid w:val="0029295E"/>
    <w:rsid w:val="00294FAB"/>
    <w:rsid w:val="002A048B"/>
    <w:rsid w:val="002A0A24"/>
    <w:rsid w:val="002A3D95"/>
    <w:rsid w:val="002A5D10"/>
    <w:rsid w:val="002A5F94"/>
    <w:rsid w:val="002A6A0E"/>
    <w:rsid w:val="002A6B03"/>
    <w:rsid w:val="002B1AAD"/>
    <w:rsid w:val="002B1AFF"/>
    <w:rsid w:val="002B307C"/>
    <w:rsid w:val="002B4073"/>
    <w:rsid w:val="002B4492"/>
    <w:rsid w:val="002B5825"/>
    <w:rsid w:val="002B5D77"/>
    <w:rsid w:val="002B7077"/>
    <w:rsid w:val="002B7A1C"/>
    <w:rsid w:val="002C12A9"/>
    <w:rsid w:val="002C44FC"/>
    <w:rsid w:val="002C4656"/>
    <w:rsid w:val="002C58BB"/>
    <w:rsid w:val="002C766A"/>
    <w:rsid w:val="002D3A9D"/>
    <w:rsid w:val="002D3F4E"/>
    <w:rsid w:val="002D4B53"/>
    <w:rsid w:val="002D5BF8"/>
    <w:rsid w:val="002E2299"/>
    <w:rsid w:val="002E2F2E"/>
    <w:rsid w:val="002E32D6"/>
    <w:rsid w:val="002E412C"/>
    <w:rsid w:val="002E511B"/>
    <w:rsid w:val="002E5DAE"/>
    <w:rsid w:val="002E66F5"/>
    <w:rsid w:val="002F05B0"/>
    <w:rsid w:val="002F0C8A"/>
    <w:rsid w:val="002F53C5"/>
    <w:rsid w:val="002F7F1D"/>
    <w:rsid w:val="003014E7"/>
    <w:rsid w:val="00304726"/>
    <w:rsid w:val="00305B2C"/>
    <w:rsid w:val="00310F69"/>
    <w:rsid w:val="00311B44"/>
    <w:rsid w:val="00312207"/>
    <w:rsid w:val="00313168"/>
    <w:rsid w:val="00313EA5"/>
    <w:rsid w:val="00314BE3"/>
    <w:rsid w:val="0032205D"/>
    <w:rsid w:val="0032311C"/>
    <w:rsid w:val="003239FE"/>
    <w:rsid w:val="00323ACD"/>
    <w:rsid w:val="003258A7"/>
    <w:rsid w:val="003368F6"/>
    <w:rsid w:val="00337EF8"/>
    <w:rsid w:val="0034046A"/>
    <w:rsid w:val="00344B88"/>
    <w:rsid w:val="00345C22"/>
    <w:rsid w:val="003463C0"/>
    <w:rsid w:val="003465C7"/>
    <w:rsid w:val="003518DD"/>
    <w:rsid w:val="00354A2B"/>
    <w:rsid w:val="0035606C"/>
    <w:rsid w:val="003567D4"/>
    <w:rsid w:val="00357FDA"/>
    <w:rsid w:val="003630D6"/>
    <w:rsid w:val="00367663"/>
    <w:rsid w:val="00370780"/>
    <w:rsid w:val="00371DDC"/>
    <w:rsid w:val="00372B9D"/>
    <w:rsid w:val="00373F42"/>
    <w:rsid w:val="0037646F"/>
    <w:rsid w:val="003830E7"/>
    <w:rsid w:val="003844F4"/>
    <w:rsid w:val="003845F6"/>
    <w:rsid w:val="003856A0"/>
    <w:rsid w:val="0039092F"/>
    <w:rsid w:val="003946C4"/>
    <w:rsid w:val="00394B86"/>
    <w:rsid w:val="00395C00"/>
    <w:rsid w:val="00396E11"/>
    <w:rsid w:val="003A044A"/>
    <w:rsid w:val="003A6CC8"/>
    <w:rsid w:val="003A758E"/>
    <w:rsid w:val="003B422A"/>
    <w:rsid w:val="003C147A"/>
    <w:rsid w:val="003D232B"/>
    <w:rsid w:val="003D57C6"/>
    <w:rsid w:val="003D5B8A"/>
    <w:rsid w:val="003D7BFC"/>
    <w:rsid w:val="003E0C32"/>
    <w:rsid w:val="003F134A"/>
    <w:rsid w:val="003F1EEF"/>
    <w:rsid w:val="003F593D"/>
    <w:rsid w:val="003F6ABC"/>
    <w:rsid w:val="00400441"/>
    <w:rsid w:val="00401511"/>
    <w:rsid w:val="004032DC"/>
    <w:rsid w:val="00404C05"/>
    <w:rsid w:val="004051CA"/>
    <w:rsid w:val="00410F51"/>
    <w:rsid w:val="00421F22"/>
    <w:rsid w:val="00422E41"/>
    <w:rsid w:val="00423898"/>
    <w:rsid w:val="00425CE9"/>
    <w:rsid w:val="004276F5"/>
    <w:rsid w:val="00432456"/>
    <w:rsid w:val="00436005"/>
    <w:rsid w:val="00436F83"/>
    <w:rsid w:val="004452C4"/>
    <w:rsid w:val="00445C5B"/>
    <w:rsid w:val="00445D45"/>
    <w:rsid w:val="00447795"/>
    <w:rsid w:val="00450B06"/>
    <w:rsid w:val="004517F3"/>
    <w:rsid w:val="00452005"/>
    <w:rsid w:val="004531FB"/>
    <w:rsid w:val="0045359B"/>
    <w:rsid w:val="0045578E"/>
    <w:rsid w:val="004559F0"/>
    <w:rsid w:val="004564C9"/>
    <w:rsid w:val="00456787"/>
    <w:rsid w:val="0046745A"/>
    <w:rsid w:val="00471982"/>
    <w:rsid w:val="00475189"/>
    <w:rsid w:val="00477D7B"/>
    <w:rsid w:val="004810CF"/>
    <w:rsid w:val="00483028"/>
    <w:rsid w:val="0048437E"/>
    <w:rsid w:val="004865BB"/>
    <w:rsid w:val="00487931"/>
    <w:rsid w:val="004926C0"/>
    <w:rsid w:val="004935A7"/>
    <w:rsid w:val="00494887"/>
    <w:rsid w:val="00494C2D"/>
    <w:rsid w:val="004A524A"/>
    <w:rsid w:val="004A7321"/>
    <w:rsid w:val="004B0100"/>
    <w:rsid w:val="004B1353"/>
    <w:rsid w:val="004B151E"/>
    <w:rsid w:val="004B3911"/>
    <w:rsid w:val="004C2FE1"/>
    <w:rsid w:val="004C6C82"/>
    <w:rsid w:val="004D2055"/>
    <w:rsid w:val="004D230D"/>
    <w:rsid w:val="004D42C2"/>
    <w:rsid w:val="004D6EF5"/>
    <w:rsid w:val="004D7D9D"/>
    <w:rsid w:val="004E043D"/>
    <w:rsid w:val="004E15F8"/>
    <w:rsid w:val="004E1BE5"/>
    <w:rsid w:val="004E28A8"/>
    <w:rsid w:val="004E389E"/>
    <w:rsid w:val="004E4FE9"/>
    <w:rsid w:val="004E75F1"/>
    <w:rsid w:val="004F7815"/>
    <w:rsid w:val="004F7900"/>
    <w:rsid w:val="0050285E"/>
    <w:rsid w:val="00503B58"/>
    <w:rsid w:val="00503C88"/>
    <w:rsid w:val="00510D1B"/>
    <w:rsid w:val="00511753"/>
    <w:rsid w:val="0051599D"/>
    <w:rsid w:val="00520924"/>
    <w:rsid w:val="00521F13"/>
    <w:rsid w:val="00525A8F"/>
    <w:rsid w:val="0052624D"/>
    <w:rsid w:val="00526298"/>
    <w:rsid w:val="0052645B"/>
    <w:rsid w:val="00530936"/>
    <w:rsid w:val="005321F9"/>
    <w:rsid w:val="00532474"/>
    <w:rsid w:val="00534DD2"/>
    <w:rsid w:val="00537F1C"/>
    <w:rsid w:val="005438B7"/>
    <w:rsid w:val="005442AA"/>
    <w:rsid w:val="00545B79"/>
    <w:rsid w:val="00545F48"/>
    <w:rsid w:val="00546800"/>
    <w:rsid w:val="005469E4"/>
    <w:rsid w:val="005505A3"/>
    <w:rsid w:val="00550E4D"/>
    <w:rsid w:val="005520B1"/>
    <w:rsid w:val="005532A7"/>
    <w:rsid w:val="00557465"/>
    <w:rsid w:val="005579FB"/>
    <w:rsid w:val="00557A20"/>
    <w:rsid w:val="00557E5F"/>
    <w:rsid w:val="0056186E"/>
    <w:rsid w:val="00562272"/>
    <w:rsid w:val="00571347"/>
    <w:rsid w:val="00571B67"/>
    <w:rsid w:val="0057211C"/>
    <w:rsid w:val="00574E63"/>
    <w:rsid w:val="00576FBB"/>
    <w:rsid w:val="00580EBC"/>
    <w:rsid w:val="005875C2"/>
    <w:rsid w:val="005931D6"/>
    <w:rsid w:val="00594710"/>
    <w:rsid w:val="005949EF"/>
    <w:rsid w:val="00594B67"/>
    <w:rsid w:val="00594D81"/>
    <w:rsid w:val="005A08B2"/>
    <w:rsid w:val="005A20C9"/>
    <w:rsid w:val="005A2EAC"/>
    <w:rsid w:val="005A566A"/>
    <w:rsid w:val="005A571D"/>
    <w:rsid w:val="005A5FCB"/>
    <w:rsid w:val="005A6698"/>
    <w:rsid w:val="005A67A4"/>
    <w:rsid w:val="005A6C2B"/>
    <w:rsid w:val="005A7574"/>
    <w:rsid w:val="005A785D"/>
    <w:rsid w:val="005B519E"/>
    <w:rsid w:val="005B58E2"/>
    <w:rsid w:val="005C093C"/>
    <w:rsid w:val="005C1318"/>
    <w:rsid w:val="005C17AE"/>
    <w:rsid w:val="005C2BDB"/>
    <w:rsid w:val="005C45F9"/>
    <w:rsid w:val="005C4EA1"/>
    <w:rsid w:val="005D0624"/>
    <w:rsid w:val="005D1791"/>
    <w:rsid w:val="005D2D7F"/>
    <w:rsid w:val="005D48EC"/>
    <w:rsid w:val="005E31F3"/>
    <w:rsid w:val="005E4805"/>
    <w:rsid w:val="005E6623"/>
    <w:rsid w:val="005F1BC3"/>
    <w:rsid w:val="005F2A45"/>
    <w:rsid w:val="005F2D13"/>
    <w:rsid w:val="005F64DE"/>
    <w:rsid w:val="0060307E"/>
    <w:rsid w:val="00603212"/>
    <w:rsid w:val="006046BC"/>
    <w:rsid w:val="00604713"/>
    <w:rsid w:val="006065B9"/>
    <w:rsid w:val="006074C2"/>
    <w:rsid w:val="00607832"/>
    <w:rsid w:val="006110C3"/>
    <w:rsid w:val="0061154A"/>
    <w:rsid w:val="006123CE"/>
    <w:rsid w:val="00612B11"/>
    <w:rsid w:val="0061583F"/>
    <w:rsid w:val="006208BF"/>
    <w:rsid w:val="006215DB"/>
    <w:rsid w:val="006224FF"/>
    <w:rsid w:val="00624802"/>
    <w:rsid w:val="006253A6"/>
    <w:rsid w:val="006261E1"/>
    <w:rsid w:val="006278CD"/>
    <w:rsid w:val="00627CED"/>
    <w:rsid w:val="00627D7F"/>
    <w:rsid w:val="006300EB"/>
    <w:rsid w:val="00631895"/>
    <w:rsid w:val="0063306E"/>
    <w:rsid w:val="006333E8"/>
    <w:rsid w:val="00634F7F"/>
    <w:rsid w:val="006352B1"/>
    <w:rsid w:val="00643136"/>
    <w:rsid w:val="00643615"/>
    <w:rsid w:val="00643C06"/>
    <w:rsid w:val="0064508F"/>
    <w:rsid w:val="00645956"/>
    <w:rsid w:val="00646E07"/>
    <w:rsid w:val="00646F07"/>
    <w:rsid w:val="00650E78"/>
    <w:rsid w:val="0065134F"/>
    <w:rsid w:val="00652214"/>
    <w:rsid w:val="006539C0"/>
    <w:rsid w:val="00653AB7"/>
    <w:rsid w:val="00654EDF"/>
    <w:rsid w:val="006556EF"/>
    <w:rsid w:val="00661E5D"/>
    <w:rsid w:val="0066297D"/>
    <w:rsid w:val="00665548"/>
    <w:rsid w:val="006672E6"/>
    <w:rsid w:val="00671AB6"/>
    <w:rsid w:val="006728EE"/>
    <w:rsid w:val="00675C1E"/>
    <w:rsid w:val="00676A1E"/>
    <w:rsid w:val="00680C36"/>
    <w:rsid w:val="00681EEB"/>
    <w:rsid w:val="00684C02"/>
    <w:rsid w:val="0068660B"/>
    <w:rsid w:val="006867F1"/>
    <w:rsid w:val="00686BE2"/>
    <w:rsid w:val="0068714E"/>
    <w:rsid w:val="00690FA2"/>
    <w:rsid w:val="00691374"/>
    <w:rsid w:val="00692897"/>
    <w:rsid w:val="00692B8A"/>
    <w:rsid w:val="00692D8E"/>
    <w:rsid w:val="00694819"/>
    <w:rsid w:val="00695926"/>
    <w:rsid w:val="00695F77"/>
    <w:rsid w:val="006964D9"/>
    <w:rsid w:val="00697228"/>
    <w:rsid w:val="0069FC51"/>
    <w:rsid w:val="006A0BF1"/>
    <w:rsid w:val="006A1602"/>
    <w:rsid w:val="006A33FC"/>
    <w:rsid w:val="006A4D2D"/>
    <w:rsid w:val="006A6594"/>
    <w:rsid w:val="006B4F09"/>
    <w:rsid w:val="006B68F9"/>
    <w:rsid w:val="006B6C5D"/>
    <w:rsid w:val="006C0BF4"/>
    <w:rsid w:val="006C24F5"/>
    <w:rsid w:val="006C4DF4"/>
    <w:rsid w:val="006C6B3F"/>
    <w:rsid w:val="006D1178"/>
    <w:rsid w:val="006D1681"/>
    <w:rsid w:val="006E0402"/>
    <w:rsid w:val="006E12EE"/>
    <w:rsid w:val="006E4E3F"/>
    <w:rsid w:val="006E59E3"/>
    <w:rsid w:val="006E5E60"/>
    <w:rsid w:val="006E7F4C"/>
    <w:rsid w:val="006F5777"/>
    <w:rsid w:val="006F6A92"/>
    <w:rsid w:val="0070341F"/>
    <w:rsid w:val="00704A14"/>
    <w:rsid w:val="007057C2"/>
    <w:rsid w:val="00714CA3"/>
    <w:rsid w:val="007178A5"/>
    <w:rsid w:val="007203E8"/>
    <w:rsid w:val="00721AF5"/>
    <w:rsid w:val="00722D83"/>
    <w:rsid w:val="007246E2"/>
    <w:rsid w:val="00724A95"/>
    <w:rsid w:val="00724B37"/>
    <w:rsid w:val="00725938"/>
    <w:rsid w:val="00733A84"/>
    <w:rsid w:val="00734011"/>
    <w:rsid w:val="007365D8"/>
    <w:rsid w:val="00737F05"/>
    <w:rsid w:val="007412E6"/>
    <w:rsid w:val="00743865"/>
    <w:rsid w:val="00752ECD"/>
    <w:rsid w:val="007568A0"/>
    <w:rsid w:val="007570D0"/>
    <w:rsid w:val="00757258"/>
    <w:rsid w:val="00757336"/>
    <w:rsid w:val="0075752F"/>
    <w:rsid w:val="0076080B"/>
    <w:rsid w:val="00760E85"/>
    <w:rsid w:val="007612D0"/>
    <w:rsid w:val="00764099"/>
    <w:rsid w:val="0076579B"/>
    <w:rsid w:val="007708A1"/>
    <w:rsid w:val="007710A6"/>
    <w:rsid w:val="007731BA"/>
    <w:rsid w:val="00773EE7"/>
    <w:rsid w:val="00774717"/>
    <w:rsid w:val="00774EAB"/>
    <w:rsid w:val="0077773C"/>
    <w:rsid w:val="0078053C"/>
    <w:rsid w:val="00780E3D"/>
    <w:rsid w:val="007923D7"/>
    <w:rsid w:val="00793BB5"/>
    <w:rsid w:val="007953EA"/>
    <w:rsid w:val="00795803"/>
    <w:rsid w:val="00796E6F"/>
    <w:rsid w:val="00797556"/>
    <w:rsid w:val="007A267F"/>
    <w:rsid w:val="007A2734"/>
    <w:rsid w:val="007A2EFD"/>
    <w:rsid w:val="007A63D8"/>
    <w:rsid w:val="007A7A27"/>
    <w:rsid w:val="007B1698"/>
    <w:rsid w:val="007B501B"/>
    <w:rsid w:val="007B57B5"/>
    <w:rsid w:val="007C29C6"/>
    <w:rsid w:val="007C3DD0"/>
    <w:rsid w:val="007C424F"/>
    <w:rsid w:val="007C5912"/>
    <w:rsid w:val="007C619C"/>
    <w:rsid w:val="007C6BD3"/>
    <w:rsid w:val="007C717D"/>
    <w:rsid w:val="007D32D7"/>
    <w:rsid w:val="007D4DBD"/>
    <w:rsid w:val="007D685A"/>
    <w:rsid w:val="007D6947"/>
    <w:rsid w:val="007E1EC4"/>
    <w:rsid w:val="007E2E33"/>
    <w:rsid w:val="007E37CC"/>
    <w:rsid w:val="007E7B62"/>
    <w:rsid w:val="007F1AAB"/>
    <w:rsid w:val="007F23A3"/>
    <w:rsid w:val="007F4DE4"/>
    <w:rsid w:val="007F652E"/>
    <w:rsid w:val="008004E9"/>
    <w:rsid w:val="0080213D"/>
    <w:rsid w:val="008051EC"/>
    <w:rsid w:val="0080650B"/>
    <w:rsid w:val="00812D25"/>
    <w:rsid w:val="00814317"/>
    <w:rsid w:val="00814E7A"/>
    <w:rsid w:val="00816F25"/>
    <w:rsid w:val="008219EB"/>
    <w:rsid w:val="00822168"/>
    <w:rsid w:val="00822E6C"/>
    <w:rsid w:val="00824DAC"/>
    <w:rsid w:val="0082608A"/>
    <w:rsid w:val="008270C1"/>
    <w:rsid w:val="008324B0"/>
    <w:rsid w:val="0083346A"/>
    <w:rsid w:val="00841CC2"/>
    <w:rsid w:val="00843F7C"/>
    <w:rsid w:val="00844D58"/>
    <w:rsid w:val="0084601B"/>
    <w:rsid w:val="00854959"/>
    <w:rsid w:val="008549DC"/>
    <w:rsid w:val="00854E89"/>
    <w:rsid w:val="008566AB"/>
    <w:rsid w:val="00857439"/>
    <w:rsid w:val="00861083"/>
    <w:rsid w:val="00861D49"/>
    <w:rsid w:val="008640B4"/>
    <w:rsid w:val="00866283"/>
    <w:rsid w:val="008713B8"/>
    <w:rsid w:val="00871644"/>
    <w:rsid w:val="00872DA7"/>
    <w:rsid w:val="00874167"/>
    <w:rsid w:val="0087530D"/>
    <w:rsid w:val="00875843"/>
    <w:rsid w:val="008765F1"/>
    <w:rsid w:val="008818D7"/>
    <w:rsid w:val="008828EB"/>
    <w:rsid w:val="00884F3B"/>
    <w:rsid w:val="00887484"/>
    <w:rsid w:val="0088748B"/>
    <w:rsid w:val="00894D2D"/>
    <w:rsid w:val="00895FCA"/>
    <w:rsid w:val="00896F3C"/>
    <w:rsid w:val="008A220F"/>
    <w:rsid w:val="008A3933"/>
    <w:rsid w:val="008A4313"/>
    <w:rsid w:val="008A5242"/>
    <w:rsid w:val="008A659E"/>
    <w:rsid w:val="008B0604"/>
    <w:rsid w:val="008B1BD0"/>
    <w:rsid w:val="008B3812"/>
    <w:rsid w:val="008B3BF2"/>
    <w:rsid w:val="008B57A4"/>
    <w:rsid w:val="008B5947"/>
    <w:rsid w:val="008B7933"/>
    <w:rsid w:val="008C2AF0"/>
    <w:rsid w:val="008C4EF0"/>
    <w:rsid w:val="008C5AA6"/>
    <w:rsid w:val="008C6C0A"/>
    <w:rsid w:val="008D6378"/>
    <w:rsid w:val="008E36CD"/>
    <w:rsid w:val="008E4B55"/>
    <w:rsid w:val="008E5068"/>
    <w:rsid w:val="008E6000"/>
    <w:rsid w:val="008F0650"/>
    <w:rsid w:val="008F5601"/>
    <w:rsid w:val="008F590E"/>
    <w:rsid w:val="008F7F63"/>
    <w:rsid w:val="00902590"/>
    <w:rsid w:val="00903522"/>
    <w:rsid w:val="009048EE"/>
    <w:rsid w:val="00905196"/>
    <w:rsid w:val="00906FC6"/>
    <w:rsid w:val="00910B50"/>
    <w:rsid w:val="00910C06"/>
    <w:rsid w:val="0091203E"/>
    <w:rsid w:val="00912E53"/>
    <w:rsid w:val="009171DA"/>
    <w:rsid w:val="0091726D"/>
    <w:rsid w:val="009204F1"/>
    <w:rsid w:val="00920A24"/>
    <w:rsid w:val="009221CE"/>
    <w:rsid w:val="00923FE2"/>
    <w:rsid w:val="009247B1"/>
    <w:rsid w:val="00924EEE"/>
    <w:rsid w:val="009277AF"/>
    <w:rsid w:val="009305D6"/>
    <w:rsid w:val="009328F2"/>
    <w:rsid w:val="00941051"/>
    <w:rsid w:val="009452C2"/>
    <w:rsid w:val="00946ED6"/>
    <w:rsid w:val="00952672"/>
    <w:rsid w:val="009537E2"/>
    <w:rsid w:val="00953E89"/>
    <w:rsid w:val="00956F38"/>
    <w:rsid w:val="00960B76"/>
    <w:rsid w:val="00960E32"/>
    <w:rsid w:val="009658D8"/>
    <w:rsid w:val="00965B7C"/>
    <w:rsid w:val="00966E97"/>
    <w:rsid w:val="009674A4"/>
    <w:rsid w:val="00967B2F"/>
    <w:rsid w:val="00971151"/>
    <w:rsid w:val="009715DE"/>
    <w:rsid w:val="00971C66"/>
    <w:rsid w:val="00980A33"/>
    <w:rsid w:val="00982DE7"/>
    <w:rsid w:val="00983B61"/>
    <w:rsid w:val="00986380"/>
    <w:rsid w:val="00987B8A"/>
    <w:rsid w:val="00991DEC"/>
    <w:rsid w:val="009931A0"/>
    <w:rsid w:val="00996836"/>
    <w:rsid w:val="009A21CD"/>
    <w:rsid w:val="009A2509"/>
    <w:rsid w:val="009A6FCD"/>
    <w:rsid w:val="009B0BEF"/>
    <w:rsid w:val="009B1168"/>
    <w:rsid w:val="009B3490"/>
    <w:rsid w:val="009B4974"/>
    <w:rsid w:val="009B576D"/>
    <w:rsid w:val="009B7CA7"/>
    <w:rsid w:val="009C2732"/>
    <w:rsid w:val="009C47E4"/>
    <w:rsid w:val="009C47FB"/>
    <w:rsid w:val="009C4956"/>
    <w:rsid w:val="009D176E"/>
    <w:rsid w:val="009E51F8"/>
    <w:rsid w:val="009F1A14"/>
    <w:rsid w:val="009F30DA"/>
    <w:rsid w:val="009F383A"/>
    <w:rsid w:val="009F6B16"/>
    <w:rsid w:val="00A003B7"/>
    <w:rsid w:val="00A04745"/>
    <w:rsid w:val="00A10A40"/>
    <w:rsid w:val="00A12D93"/>
    <w:rsid w:val="00A1394F"/>
    <w:rsid w:val="00A16156"/>
    <w:rsid w:val="00A20F2B"/>
    <w:rsid w:val="00A26A11"/>
    <w:rsid w:val="00A309AC"/>
    <w:rsid w:val="00A31C9E"/>
    <w:rsid w:val="00A36D8D"/>
    <w:rsid w:val="00A379AD"/>
    <w:rsid w:val="00A4094A"/>
    <w:rsid w:val="00A40ABB"/>
    <w:rsid w:val="00A40BDE"/>
    <w:rsid w:val="00A41D30"/>
    <w:rsid w:val="00A46803"/>
    <w:rsid w:val="00A475EF"/>
    <w:rsid w:val="00A477AD"/>
    <w:rsid w:val="00A5309A"/>
    <w:rsid w:val="00A53F8E"/>
    <w:rsid w:val="00A54D7C"/>
    <w:rsid w:val="00A557CC"/>
    <w:rsid w:val="00A56316"/>
    <w:rsid w:val="00A56EF4"/>
    <w:rsid w:val="00A57002"/>
    <w:rsid w:val="00A57296"/>
    <w:rsid w:val="00A57A7E"/>
    <w:rsid w:val="00A64FCD"/>
    <w:rsid w:val="00A65AE0"/>
    <w:rsid w:val="00A66C2B"/>
    <w:rsid w:val="00A7134B"/>
    <w:rsid w:val="00A73631"/>
    <w:rsid w:val="00A748EA"/>
    <w:rsid w:val="00A75D24"/>
    <w:rsid w:val="00A80139"/>
    <w:rsid w:val="00A8118D"/>
    <w:rsid w:val="00A82C14"/>
    <w:rsid w:val="00A872F2"/>
    <w:rsid w:val="00A903F9"/>
    <w:rsid w:val="00A918B3"/>
    <w:rsid w:val="00A93681"/>
    <w:rsid w:val="00A953AC"/>
    <w:rsid w:val="00A954DA"/>
    <w:rsid w:val="00A95895"/>
    <w:rsid w:val="00AA0D3F"/>
    <w:rsid w:val="00AA2E57"/>
    <w:rsid w:val="00AB1C19"/>
    <w:rsid w:val="00AB590F"/>
    <w:rsid w:val="00AB74EB"/>
    <w:rsid w:val="00AC35E6"/>
    <w:rsid w:val="00AC4EFE"/>
    <w:rsid w:val="00AC5C5D"/>
    <w:rsid w:val="00AD3331"/>
    <w:rsid w:val="00AD69DA"/>
    <w:rsid w:val="00AE03D7"/>
    <w:rsid w:val="00AE20B6"/>
    <w:rsid w:val="00AE26A8"/>
    <w:rsid w:val="00AE41B4"/>
    <w:rsid w:val="00AF2348"/>
    <w:rsid w:val="00AF587D"/>
    <w:rsid w:val="00B01721"/>
    <w:rsid w:val="00B03AAC"/>
    <w:rsid w:val="00B04F23"/>
    <w:rsid w:val="00B051BD"/>
    <w:rsid w:val="00B06B4C"/>
    <w:rsid w:val="00B078CD"/>
    <w:rsid w:val="00B1003E"/>
    <w:rsid w:val="00B1271D"/>
    <w:rsid w:val="00B1368F"/>
    <w:rsid w:val="00B15291"/>
    <w:rsid w:val="00B15910"/>
    <w:rsid w:val="00B168BF"/>
    <w:rsid w:val="00B16B9B"/>
    <w:rsid w:val="00B21200"/>
    <w:rsid w:val="00B26453"/>
    <w:rsid w:val="00B27D3C"/>
    <w:rsid w:val="00B3071C"/>
    <w:rsid w:val="00B313C6"/>
    <w:rsid w:val="00B34F8F"/>
    <w:rsid w:val="00B37B18"/>
    <w:rsid w:val="00B37B9C"/>
    <w:rsid w:val="00B4187A"/>
    <w:rsid w:val="00B419F6"/>
    <w:rsid w:val="00B44478"/>
    <w:rsid w:val="00B5406F"/>
    <w:rsid w:val="00B56001"/>
    <w:rsid w:val="00B56FA3"/>
    <w:rsid w:val="00B60367"/>
    <w:rsid w:val="00B63672"/>
    <w:rsid w:val="00B63C58"/>
    <w:rsid w:val="00B63CAD"/>
    <w:rsid w:val="00B64B77"/>
    <w:rsid w:val="00B65100"/>
    <w:rsid w:val="00B66496"/>
    <w:rsid w:val="00B6711F"/>
    <w:rsid w:val="00B730F7"/>
    <w:rsid w:val="00B74C2B"/>
    <w:rsid w:val="00B7607D"/>
    <w:rsid w:val="00B7743A"/>
    <w:rsid w:val="00B80156"/>
    <w:rsid w:val="00B816E2"/>
    <w:rsid w:val="00B81975"/>
    <w:rsid w:val="00B82B15"/>
    <w:rsid w:val="00B85B36"/>
    <w:rsid w:val="00B87E48"/>
    <w:rsid w:val="00B91680"/>
    <w:rsid w:val="00B956F1"/>
    <w:rsid w:val="00B96ECA"/>
    <w:rsid w:val="00BA0497"/>
    <w:rsid w:val="00BA33C7"/>
    <w:rsid w:val="00BA37A2"/>
    <w:rsid w:val="00BA6407"/>
    <w:rsid w:val="00BA6D65"/>
    <w:rsid w:val="00BA732B"/>
    <w:rsid w:val="00BB01DF"/>
    <w:rsid w:val="00BB36B5"/>
    <w:rsid w:val="00BB42C6"/>
    <w:rsid w:val="00BB4DB0"/>
    <w:rsid w:val="00BB78B3"/>
    <w:rsid w:val="00BC038C"/>
    <w:rsid w:val="00BC0A3A"/>
    <w:rsid w:val="00BC0B88"/>
    <w:rsid w:val="00BC2ACF"/>
    <w:rsid w:val="00BC3493"/>
    <w:rsid w:val="00BC47F8"/>
    <w:rsid w:val="00BC582A"/>
    <w:rsid w:val="00BC7302"/>
    <w:rsid w:val="00BC7B9A"/>
    <w:rsid w:val="00BD0C8D"/>
    <w:rsid w:val="00BD5341"/>
    <w:rsid w:val="00BD6292"/>
    <w:rsid w:val="00BD7425"/>
    <w:rsid w:val="00BD77B0"/>
    <w:rsid w:val="00BD7D2C"/>
    <w:rsid w:val="00BE4E2F"/>
    <w:rsid w:val="00BE5571"/>
    <w:rsid w:val="00BE6153"/>
    <w:rsid w:val="00BE6AD5"/>
    <w:rsid w:val="00BE7BE6"/>
    <w:rsid w:val="00BE7BFC"/>
    <w:rsid w:val="00BF17AC"/>
    <w:rsid w:val="00BF29B1"/>
    <w:rsid w:val="00BF3186"/>
    <w:rsid w:val="00BF4059"/>
    <w:rsid w:val="00BF64A3"/>
    <w:rsid w:val="00BF7179"/>
    <w:rsid w:val="00BF76E9"/>
    <w:rsid w:val="00BF7749"/>
    <w:rsid w:val="00C00686"/>
    <w:rsid w:val="00C0099A"/>
    <w:rsid w:val="00C054FE"/>
    <w:rsid w:val="00C072A1"/>
    <w:rsid w:val="00C109F3"/>
    <w:rsid w:val="00C10BF3"/>
    <w:rsid w:val="00C17D37"/>
    <w:rsid w:val="00C23AB9"/>
    <w:rsid w:val="00C26CCB"/>
    <w:rsid w:val="00C321EB"/>
    <w:rsid w:val="00C3348F"/>
    <w:rsid w:val="00C3408F"/>
    <w:rsid w:val="00C34258"/>
    <w:rsid w:val="00C348DD"/>
    <w:rsid w:val="00C35835"/>
    <w:rsid w:val="00C41703"/>
    <w:rsid w:val="00C41990"/>
    <w:rsid w:val="00C4590E"/>
    <w:rsid w:val="00C46E30"/>
    <w:rsid w:val="00C54386"/>
    <w:rsid w:val="00C54E8B"/>
    <w:rsid w:val="00C5741B"/>
    <w:rsid w:val="00C5759A"/>
    <w:rsid w:val="00C576CB"/>
    <w:rsid w:val="00C61416"/>
    <w:rsid w:val="00C6471D"/>
    <w:rsid w:val="00C67FC0"/>
    <w:rsid w:val="00C70AFD"/>
    <w:rsid w:val="00C759E7"/>
    <w:rsid w:val="00C75D8D"/>
    <w:rsid w:val="00C821B5"/>
    <w:rsid w:val="00C82AF9"/>
    <w:rsid w:val="00C833D6"/>
    <w:rsid w:val="00C849F7"/>
    <w:rsid w:val="00C87B39"/>
    <w:rsid w:val="00C915F5"/>
    <w:rsid w:val="00C93286"/>
    <w:rsid w:val="00C94ADD"/>
    <w:rsid w:val="00C94AFB"/>
    <w:rsid w:val="00C9554B"/>
    <w:rsid w:val="00C97D4C"/>
    <w:rsid w:val="00CA0A94"/>
    <w:rsid w:val="00CA3F2D"/>
    <w:rsid w:val="00CA43F4"/>
    <w:rsid w:val="00CA62AB"/>
    <w:rsid w:val="00CA78FF"/>
    <w:rsid w:val="00CA7F7E"/>
    <w:rsid w:val="00CB0EE2"/>
    <w:rsid w:val="00CB1EFC"/>
    <w:rsid w:val="00CB1FE5"/>
    <w:rsid w:val="00CB231D"/>
    <w:rsid w:val="00CB3467"/>
    <w:rsid w:val="00CB4538"/>
    <w:rsid w:val="00CB50AB"/>
    <w:rsid w:val="00CC17B4"/>
    <w:rsid w:val="00CC6A17"/>
    <w:rsid w:val="00CD1E22"/>
    <w:rsid w:val="00CD59BE"/>
    <w:rsid w:val="00CE0073"/>
    <w:rsid w:val="00CE107A"/>
    <w:rsid w:val="00CE2732"/>
    <w:rsid w:val="00CE34DE"/>
    <w:rsid w:val="00CE3C9C"/>
    <w:rsid w:val="00CE421E"/>
    <w:rsid w:val="00CE6655"/>
    <w:rsid w:val="00CF094C"/>
    <w:rsid w:val="00CF5B25"/>
    <w:rsid w:val="00CF70F9"/>
    <w:rsid w:val="00D017DA"/>
    <w:rsid w:val="00D03902"/>
    <w:rsid w:val="00D044BA"/>
    <w:rsid w:val="00D06390"/>
    <w:rsid w:val="00D1086B"/>
    <w:rsid w:val="00D13083"/>
    <w:rsid w:val="00D147A2"/>
    <w:rsid w:val="00D14FDE"/>
    <w:rsid w:val="00D2165F"/>
    <w:rsid w:val="00D23041"/>
    <w:rsid w:val="00D27288"/>
    <w:rsid w:val="00D27DA4"/>
    <w:rsid w:val="00D30211"/>
    <w:rsid w:val="00D3047C"/>
    <w:rsid w:val="00D30A74"/>
    <w:rsid w:val="00D316E5"/>
    <w:rsid w:val="00D33153"/>
    <w:rsid w:val="00D35002"/>
    <w:rsid w:val="00D35B83"/>
    <w:rsid w:val="00D373F9"/>
    <w:rsid w:val="00D41148"/>
    <w:rsid w:val="00D41355"/>
    <w:rsid w:val="00D428F9"/>
    <w:rsid w:val="00D42BE7"/>
    <w:rsid w:val="00D47D9E"/>
    <w:rsid w:val="00D604E5"/>
    <w:rsid w:val="00D629CC"/>
    <w:rsid w:val="00D65F3B"/>
    <w:rsid w:val="00D67EE6"/>
    <w:rsid w:val="00D70150"/>
    <w:rsid w:val="00D70484"/>
    <w:rsid w:val="00D7151D"/>
    <w:rsid w:val="00D717A4"/>
    <w:rsid w:val="00D74C26"/>
    <w:rsid w:val="00D75327"/>
    <w:rsid w:val="00D77C53"/>
    <w:rsid w:val="00D815CE"/>
    <w:rsid w:val="00D84411"/>
    <w:rsid w:val="00D85BB9"/>
    <w:rsid w:val="00D863BB"/>
    <w:rsid w:val="00D87C27"/>
    <w:rsid w:val="00D87FC1"/>
    <w:rsid w:val="00D915A1"/>
    <w:rsid w:val="00D9398E"/>
    <w:rsid w:val="00D954E3"/>
    <w:rsid w:val="00D9585C"/>
    <w:rsid w:val="00DA12EE"/>
    <w:rsid w:val="00DB1C12"/>
    <w:rsid w:val="00DB4061"/>
    <w:rsid w:val="00DB611D"/>
    <w:rsid w:val="00DB6B32"/>
    <w:rsid w:val="00DB73B5"/>
    <w:rsid w:val="00DC08CD"/>
    <w:rsid w:val="00DC0E77"/>
    <w:rsid w:val="00DC1471"/>
    <w:rsid w:val="00DC3264"/>
    <w:rsid w:val="00DC4A7F"/>
    <w:rsid w:val="00DC4BAE"/>
    <w:rsid w:val="00DC5C22"/>
    <w:rsid w:val="00DC700F"/>
    <w:rsid w:val="00DD61E4"/>
    <w:rsid w:val="00DD6704"/>
    <w:rsid w:val="00DD7196"/>
    <w:rsid w:val="00DD7A99"/>
    <w:rsid w:val="00DE3C67"/>
    <w:rsid w:val="00DE3F3C"/>
    <w:rsid w:val="00DE5C47"/>
    <w:rsid w:val="00DF00AB"/>
    <w:rsid w:val="00DF044D"/>
    <w:rsid w:val="00DF1BD1"/>
    <w:rsid w:val="00DF5F3E"/>
    <w:rsid w:val="00DF7185"/>
    <w:rsid w:val="00DF78DF"/>
    <w:rsid w:val="00E002C9"/>
    <w:rsid w:val="00E00B94"/>
    <w:rsid w:val="00E00DF2"/>
    <w:rsid w:val="00E00EBA"/>
    <w:rsid w:val="00E0136B"/>
    <w:rsid w:val="00E01EB5"/>
    <w:rsid w:val="00E0252F"/>
    <w:rsid w:val="00E02850"/>
    <w:rsid w:val="00E0353A"/>
    <w:rsid w:val="00E04132"/>
    <w:rsid w:val="00E041EA"/>
    <w:rsid w:val="00E0463A"/>
    <w:rsid w:val="00E048DA"/>
    <w:rsid w:val="00E05844"/>
    <w:rsid w:val="00E07CFA"/>
    <w:rsid w:val="00E10C64"/>
    <w:rsid w:val="00E11BAC"/>
    <w:rsid w:val="00E14683"/>
    <w:rsid w:val="00E16C3F"/>
    <w:rsid w:val="00E17F32"/>
    <w:rsid w:val="00E2435E"/>
    <w:rsid w:val="00E25BB7"/>
    <w:rsid w:val="00E27E09"/>
    <w:rsid w:val="00E311BA"/>
    <w:rsid w:val="00E32426"/>
    <w:rsid w:val="00E34607"/>
    <w:rsid w:val="00E34F1A"/>
    <w:rsid w:val="00E36E29"/>
    <w:rsid w:val="00E418CA"/>
    <w:rsid w:val="00E4376B"/>
    <w:rsid w:val="00E505FE"/>
    <w:rsid w:val="00E5342B"/>
    <w:rsid w:val="00E53D53"/>
    <w:rsid w:val="00E5756B"/>
    <w:rsid w:val="00E656E1"/>
    <w:rsid w:val="00E74D25"/>
    <w:rsid w:val="00E756D5"/>
    <w:rsid w:val="00E76392"/>
    <w:rsid w:val="00E8128C"/>
    <w:rsid w:val="00E826AA"/>
    <w:rsid w:val="00E84670"/>
    <w:rsid w:val="00E84858"/>
    <w:rsid w:val="00E84EA4"/>
    <w:rsid w:val="00E86294"/>
    <w:rsid w:val="00E8653E"/>
    <w:rsid w:val="00E90B08"/>
    <w:rsid w:val="00E926C0"/>
    <w:rsid w:val="00E94E48"/>
    <w:rsid w:val="00E9567D"/>
    <w:rsid w:val="00EA018A"/>
    <w:rsid w:val="00EA0873"/>
    <w:rsid w:val="00EA126B"/>
    <w:rsid w:val="00EA2D1D"/>
    <w:rsid w:val="00EA2F12"/>
    <w:rsid w:val="00EA3256"/>
    <w:rsid w:val="00EA4B5F"/>
    <w:rsid w:val="00EA6780"/>
    <w:rsid w:val="00EB37AA"/>
    <w:rsid w:val="00EB498D"/>
    <w:rsid w:val="00EB6612"/>
    <w:rsid w:val="00EB6C6B"/>
    <w:rsid w:val="00EC08CF"/>
    <w:rsid w:val="00EC1168"/>
    <w:rsid w:val="00EC1C13"/>
    <w:rsid w:val="00EC493B"/>
    <w:rsid w:val="00EC5639"/>
    <w:rsid w:val="00EC67A1"/>
    <w:rsid w:val="00ED3D62"/>
    <w:rsid w:val="00ED4178"/>
    <w:rsid w:val="00ED42A1"/>
    <w:rsid w:val="00ED7940"/>
    <w:rsid w:val="00EE1DEE"/>
    <w:rsid w:val="00EE4088"/>
    <w:rsid w:val="00EE5358"/>
    <w:rsid w:val="00EE64DB"/>
    <w:rsid w:val="00EE783D"/>
    <w:rsid w:val="00EF096B"/>
    <w:rsid w:val="00EF1D8D"/>
    <w:rsid w:val="00EF505C"/>
    <w:rsid w:val="00EF51FE"/>
    <w:rsid w:val="00EF55D2"/>
    <w:rsid w:val="00F013DB"/>
    <w:rsid w:val="00F12B34"/>
    <w:rsid w:val="00F139D7"/>
    <w:rsid w:val="00F14CCD"/>
    <w:rsid w:val="00F17A03"/>
    <w:rsid w:val="00F21677"/>
    <w:rsid w:val="00F2556C"/>
    <w:rsid w:val="00F26CED"/>
    <w:rsid w:val="00F32C0A"/>
    <w:rsid w:val="00F351D8"/>
    <w:rsid w:val="00F37CD8"/>
    <w:rsid w:val="00F37FDA"/>
    <w:rsid w:val="00F422D1"/>
    <w:rsid w:val="00F4297E"/>
    <w:rsid w:val="00F44095"/>
    <w:rsid w:val="00F44696"/>
    <w:rsid w:val="00F50461"/>
    <w:rsid w:val="00F5140E"/>
    <w:rsid w:val="00F517C2"/>
    <w:rsid w:val="00F54E9A"/>
    <w:rsid w:val="00F6075E"/>
    <w:rsid w:val="00F660CE"/>
    <w:rsid w:val="00F67687"/>
    <w:rsid w:val="00F713D3"/>
    <w:rsid w:val="00F718C5"/>
    <w:rsid w:val="00F82BBA"/>
    <w:rsid w:val="00F834D4"/>
    <w:rsid w:val="00F85502"/>
    <w:rsid w:val="00F857BF"/>
    <w:rsid w:val="00F85B13"/>
    <w:rsid w:val="00F86E7B"/>
    <w:rsid w:val="00F86FD3"/>
    <w:rsid w:val="00F872AB"/>
    <w:rsid w:val="00F87333"/>
    <w:rsid w:val="00F91E2E"/>
    <w:rsid w:val="00F9282E"/>
    <w:rsid w:val="00F93FF1"/>
    <w:rsid w:val="00F9433A"/>
    <w:rsid w:val="00FA1A08"/>
    <w:rsid w:val="00FA3106"/>
    <w:rsid w:val="00FA444B"/>
    <w:rsid w:val="00FB0156"/>
    <w:rsid w:val="00FB0216"/>
    <w:rsid w:val="00FB3214"/>
    <w:rsid w:val="00FB42B2"/>
    <w:rsid w:val="00FB6082"/>
    <w:rsid w:val="00FB613E"/>
    <w:rsid w:val="00FB7900"/>
    <w:rsid w:val="00FC2F1A"/>
    <w:rsid w:val="00FC46D5"/>
    <w:rsid w:val="00FC5931"/>
    <w:rsid w:val="00FD17C7"/>
    <w:rsid w:val="00FD21A0"/>
    <w:rsid w:val="00FD230A"/>
    <w:rsid w:val="00FD4C40"/>
    <w:rsid w:val="00FD52A7"/>
    <w:rsid w:val="00FD5B8E"/>
    <w:rsid w:val="00FD5CBD"/>
    <w:rsid w:val="00FE023A"/>
    <w:rsid w:val="00FE3545"/>
    <w:rsid w:val="00FE3C2A"/>
    <w:rsid w:val="00FE3F32"/>
    <w:rsid w:val="00FE45F7"/>
    <w:rsid w:val="00FE56E6"/>
    <w:rsid w:val="00FE6E5C"/>
    <w:rsid w:val="00FF1AE4"/>
    <w:rsid w:val="00FF3412"/>
    <w:rsid w:val="00FF4904"/>
    <w:rsid w:val="00FF4B33"/>
    <w:rsid w:val="00FF6D71"/>
    <w:rsid w:val="014040C9"/>
    <w:rsid w:val="0142AD34"/>
    <w:rsid w:val="01AEB023"/>
    <w:rsid w:val="023B8BA0"/>
    <w:rsid w:val="02427C0C"/>
    <w:rsid w:val="035753E7"/>
    <w:rsid w:val="0382B33A"/>
    <w:rsid w:val="03C685D1"/>
    <w:rsid w:val="040EA3EE"/>
    <w:rsid w:val="04C2FF98"/>
    <w:rsid w:val="04F7F35A"/>
    <w:rsid w:val="052F72EE"/>
    <w:rsid w:val="06B21941"/>
    <w:rsid w:val="073F2173"/>
    <w:rsid w:val="07604C00"/>
    <w:rsid w:val="0768532F"/>
    <w:rsid w:val="07C13151"/>
    <w:rsid w:val="07FB9C79"/>
    <w:rsid w:val="085F960D"/>
    <w:rsid w:val="092586F4"/>
    <w:rsid w:val="09523938"/>
    <w:rsid w:val="09B0957A"/>
    <w:rsid w:val="0AFDE2F4"/>
    <w:rsid w:val="0BDEF7C3"/>
    <w:rsid w:val="0C33A77E"/>
    <w:rsid w:val="0CAE412A"/>
    <w:rsid w:val="0CE5AA12"/>
    <w:rsid w:val="0D076033"/>
    <w:rsid w:val="0D122CC4"/>
    <w:rsid w:val="0D76CF2F"/>
    <w:rsid w:val="0E71DCF4"/>
    <w:rsid w:val="0E984026"/>
    <w:rsid w:val="0EAFA21B"/>
    <w:rsid w:val="0EC55674"/>
    <w:rsid w:val="0FD16B07"/>
    <w:rsid w:val="0FD8E693"/>
    <w:rsid w:val="1138538E"/>
    <w:rsid w:val="11E04B57"/>
    <w:rsid w:val="11E5D77F"/>
    <w:rsid w:val="129298B1"/>
    <w:rsid w:val="129FC1D4"/>
    <w:rsid w:val="12A942F1"/>
    <w:rsid w:val="1399DDBB"/>
    <w:rsid w:val="1410CA5A"/>
    <w:rsid w:val="14223802"/>
    <w:rsid w:val="149753A1"/>
    <w:rsid w:val="14BD501F"/>
    <w:rsid w:val="14F5F47D"/>
    <w:rsid w:val="15298FC3"/>
    <w:rsid w:val="1567FDDB"/>
    <w:rsid w:val="159464E0"/>
    <w:rsid w:val="166D9DB5"/>
    <w:rsid w:val="16E61DEB"/>
    <w:rsid w:val="182D953F"/>
    <w:rsid w:val="18D5C32D"/>
    <w:rsid w:val="19554C28"/>
    <w:rsid w:val="19729BC1"/>
    <w:rsid w:val="1A19D224"/>
    <w:rsid w:val="1A6B07C9"/>
    <w:rsid w:val="1ADEB487"/>
    <w:rsid w:val="1AF6893E"/>
    <w:rsid w:val="1B59D28E"/>
    <w:rsid w:val="1B5F2148"/>
    <w:rsid w:val="1B6442D2"/>
    <w:rsid w:val="1C0BA967"/>
    <w:rsid w:val="1DE1AB2D"/>
    <w:rsid w:val="1E73AA4C"/>
    <w:rsid w:val="1E83AE66"/>
    <w:rsid w:val="1F7DF18B"/>
    <w:rsid w:val="20164663"/>
    <w:rsid w:val="206A04C1"/>
    <w:rsid w:val="20756C66"/>
    <w:rsid w:val="20E527AD"/>
    <w:rsid w:val="211C529D"/>
    <w:rsid w:val="228F5087"/>
    <w:rsid w:val="22C354AF"/>
    <w:rsid w:val="22D35C1D"/>
    <w:rsid w:val="22F2DA1A"/>
    <w:rsid w:val="238D4E6E"/>
    <w:rsid w:val="239D89B8"/>
    <w:rsid w:val="23EDA361"/>
    <w:rsid w:val="24F10D94"/>
    <w:rsid w:val="259F1927"/>
    <w:rsid w:val="2607E845"/>
    <w:rsid w:val="26340460"/>
    <w:rsid w:val="2657299F"/>
    <w:rsid w:val="2674264F"/>
    <w:rsid w:val="273FD7DE"/>
    <w:rsid w:val="2756A25B"/>
    <w:rsid w:val="282B15D3"/>
    <w:rsid w:val="28F36EDB"/>
    <w:rsid w:val="29512A17"/>
    <w:rsid w:val="29843F0A"/>
    <w:rsid w:val="299A1B83"/>
    <w:rsid w:val="2A0A2C60"/>
    <w:rsid w:val="2B08AD76"/>
    <w:rsid w:val="2B1B8CBA"/>
    <w:rsid w:val="2B38257E"/>
    <w:rsid w:val="2B6D0100"/>
    <w:rsid w:val="2B75D847"/>
    <w:rsid w:val="2BADE6F3"/>
    <w:rsid w:val="2BBCFD2C"/>
    <w:rsid w:val="2C249AE9"/>
    <w:rsid w:val="2C25A4AD"/>
    <w:rsid w:val="2CCD48FB"/>
    <w:rsid w:val="2D1692B4"/>
    <w:rsid w:val="2D75F4A4"/>
    <w:rsid w:val="2D8C337A"/>
    <w:rsid w:val="2DABC356"/>
    <w:rsid w:val="2DB34B3A"/>
    <w:rsid w:val="2E752D56"/>
    <w:rsid w:val="2EAB6058"/>
    <w:rsid w:val="2F551E46"/>
    <w:rsid w:val="30748A44"/>
    <w:rsid w:val="307C3392"/>
    <w:rsid w:val="30956360"/>
    <w:rsid w:val="312F6C36"/>
    <w:rsid w:val="3137D33C"/>
    <w:rsid w:val="3137F0C4"/>
    <w:rsid w:val="31DB148F"/>
    <w:rsid w:val="32754BF0"/>
    <w:rsid w:val="32996AA7"/>
    <w:rsid w:val="32A0783F"/>
    <w:rsid w:val="32AC31FB"/>
    <w:rsid w:val="32B7A763"/>
    <w:rsid w:val="32E75CD4"/>
    <w:rsid w:val="345DCAFD"/>
    <w:rsid w:val="3494812F"/>
    <w:rsid w:val="34B7BD33"/>
    <w:rsid w:val="3503B319"/>
    <w:rsid w:val="355E0534"/>
    <w:rsid w:val="364CABB3"/>
    <w:rsid w:val="36CD7120"/>
    <w:rsid w:val="36CE38D9"/>
    <w:rsid w:val="36EA8864"/>
    <w:rsid w:val="3766D1D8"/>
    <w:rsid w:val="37E43EA9"/>
    <w:rsid w:val="37EE2F05"/>
    <w:rsid w:val="38803C3F"/>
    <w:rsid w:val="388C69FB"/>
    <w:rsid w:val="38EB4044"/>
    <w:rsid w:val="38FB3F0B"/>
    <w:rsid w:val="39963281"/>
    <w:rsid w:val="39CFA9AB"/>
    <w:rsid w:val="3A883F95"/>
    <w:rsid w:val="3A8B33F2"/>
    <w:rsid w:val="3AD5FB59"/>
    <w:rsid w:val="3B719F4F"/>
    <w:rsid w:val="3B9EE775"/>
    <w:rsid w:val="3BF1E775"/>
    <w:rsid w:val="3C26AE69"/>
    <w:rsid w:val="3C342A68"/>
    <w:rsid w:val="3CE1544A"/>
    <w:rsid w:val="3D003E23"/>
    <w:rsid w:val="3D5FDE72"/>
    <w:rsid w:val="3E441656"/>
    <w:rsid w:val="3E95D054"/>
    <w:rsid w:val="3F386783"/>
    <w:rsid w:val="3FD2F3E3"/>
    <w:rsid w:val="3FF39E8D"/>
    <w:rsid w:val="41C5C053"/>
    <w:rsid w:val="42115EB2"/>
    <w:rsid w:val="4273D029"/>
    <w:rsid w:val="437CC67F"/>
    <w:rsid w:val="462D4FFD"/>
    <w:rsid w:val="463D9A13"/>
    <w:rsid w:val="46E7C13A"/>
    <w:rsid w:val="47457AE4"/>
    <w:rsid w:val="476AFF0D"/>
    <w:rsid w:val="47AC34E9"/>
    <w:rsid w:val="47C25FC3"/>
    <w:rsid w:val="49BB8134"/>
    <w:rsid w:val="49CC4CCC"/>
    <w:rsid w:val="49FA83D6"/>
    <w:rsid w:val="4C0740F6"/>
    <w:rsid w:val="4C304DFC"/>
    <w:rsid w:val="4C8AE078"/>
    <w:rsid w:val="4CAF4F5F"/>
    <w:rsid w:val="4D0B42A1"/>
    <w:rsid w:val="4E2A3CAE"/>
    <w:rsid w:val="4E4D10C4"/>
    <w:rsid w:val="4E5D9EB7"/>
    <w:rsid w:val="4EC68086"/>
    <w:rsid w:val="500433CF"/>
    <w:rsid w:val="50334ECD"/>
    <w:rsid w:val="50591668"/>
    <w:rsid w:val="50A4FDC3"/>
    <w:rsid w:val="50C777EA"/>
    <w:rsid w:val="5187E145"/>
    <w:rsid w:val="5190DEC3"/>
    <w:rsid w:val="52EEB05A"/>
    <w:rsid w:val="5320C68A"/>
    <w:rsid w:val="535F638A"/>
    <w:rsid w:val="545DAE51"/>
    <w:rsid w:val="54864085"/>
    <w:rsid w:val="54D2AFEB"/>
    <w:rsid w:val="552388F9"/>
    <w:rsid w:val="57261D29"/>
    <w:rsid w:val="57FB19FE"/>
    <w:rsid w:val="5821FF78"/>
    <w:rsid w:val="5890C64E"/>
    <w:rsid w:val="58C31C7A"/>
    <w:rsid w:val="58EDBC1C"/>
    <w:rsid w:val="5960E846"/>
    <w:rsid w:val="5A50D837"/>
    <w:rsid w:val="5AFE84D1"/>
    <w:rsid w:val="5B7B7E70"/>
    <w:rsid w:val="5BAE7ECA"/>
    <w:rsid w:val="5BE8B81C"/>
    <w:rsid w:val="5D331C09"/>
    <w:rsid w:val="5D66C435"/>
    <w:rsid w:val="5D6BF798"/>
    <w:rsid w:val="5DB92034"/>
    <w:rsid w:val="5DC35721"/>
    <w:rsid w:val="5E6A04F6"/>
    <w:rsid w:val="5ED34293"/>
    <w:rsid w:val="5EF3F2D4"/>
    <w:rsid w:val="5F0854D9"/>
    <w:rsid w:val="6057A2E4"/>
    <w:rsid w:val="60AEEBF7"/>
    <w:rsid w:val="62F69C91"/>
    <w:rsid w:val="63856165"/>
    <w:rsid w:val="63E1B7C1"/>
    <w:rsid w:val="64CD48E8"/>
    <w:rsid w:val="65D3E469"/>
    <w:rsid w:val="6616BB21"/>
    <w:rsid w:val="6633E92A"/>
    <w:rsid w:val="66452401"/>
    <w:rsid w:val="671CBFA2"/>
    <w:rsid w:val="67303020"/>
    <w:rsid w:val="67E1CD36"/>
    <w:rsid w:val="67FF47BE"/>
    <w:rsid w:val="6881A225"/>
    <w:rsid w:val="690405A0"/>
    <w:rsid w:val="695F1865"/>
    <w:rsid w:val="69B1BFA8"/>
    <w:rsid w:val="6A26099A"/>
    <w:rsid w:val="6C0438BB"/>
    <w:rsid w:val="6C1BFF57"/>
    <w:rsid w:val="6C325712"/>
    <w:rsid w:val="6C57C0D1"/>
    <w:rsid w:val="6C84567A"/>
    <w:rsid w:val="6CA426CD"/>
    <w:rsid w:val="6CDBED80"/>
    <w:rsid w:val="6D3FB524"/>
    <w:rsid w:val="6D9190CC"/>
    <w:rsid w:val="6E534FF4"/>
    <w:rsid w:val="6EC44846"/>
    <w:rsid w:val="6FB83896"/>
    <w:rsid w:val="70220A57"/>
    <w:rsid w:val="70638A5E"/>
    <w:rsid w:val="706CD8AA"/>
    <w:rsid w:val="70A15378"/>
    <w:rsid w:val="715DDD09"/>
    <w:rsid w:val="72132647"/>
    <w:rsid w:val="7272E2C7"/>
    <w:rsid w:val="72E70247"/>
    <w:rsid w:val="744284E5"/>
    <w:rsid w:val="75192018"/>
    <w:rsid w:val="7574875F"/>
    <w:rsid w:val="758C9DD2"/>
    <w:rsid w:val="75950CB2"/>
    <w:rsid w:val="75B92EAA"/>
    <w:rsid w:val="760A852B"/>
    <w:rsid w:val="76CC38A9"/>
    <w:rsid w:val="78E77688"/>
    <w:rsid w:val="78FB6991"/>
    <w:rsid w:val="78FC48C7"/>
    <w:rsid w:val="790126F0"/>
    <w:rsid w:val="79AE58E2"/>
    <w:rsid w:val="79C6FD75"/>
    <w:rsid w:val="79F52B26"/>
    <w:rsid w:val="7ABD2A1F"/>
    <w:rsid w:val="7AD41F39"/>
    <w:rsid w:val="7B637125"/>
    <w:rsid w:val="7B8C5DAB"/>
    <w:rsid w:val="7C3255F2"/>
    <w:rsid w:val="7C4C88F9"/>
    <w:rsid w:val="7C570147"/>
    <w:rsid w:val="7C644BA2"/>
    <w:rsid w:val="7C7C60A1"/>
    <w:rsid w:val="7D8D6F9A"/>
    <w:rsid w:val="7DD3E7CF"/>
    <w:rsid w:val="7EE97BD8"/>
    <w:rsid w:val="7F458BC0"/>
    <w:rsid w:val="7F5767AB"/>
    <w:rsid w:val="7F965C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21708D"/>
  <w15:chartTrackingRefBased/>
  <w15:docId w15:val="{252FFC2B-EC7C-48D3-9058-0A6A652E1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87484"/>
    <w:pPr>
      <w:spacing w:before="100" w:beforeAutospacing="1" w:after="100" w:afterAutospacing="1"/>
    </w:pPr>
    <w:rPr>
      <w:rFonts w:ascii="Times New Roman" w:eastAsia="Times New Roman" w:hAnsi="Times New Roman" w:cs="Times New Roman"/>
    </w:rPr>
  </w:style>
  <w:style w:type="paragraph" w:styleId="FootnoteText">
    <w:name w:val="footnote text"/>
    <w:aliases w:val="Tablenote Text"/>
    <w:basedOn w:val="Normal"/>
    <w:link w:val="FootnoteTextChar"/>
    <w:uiPriority w:val="99"/>
    <w:unhideWhenUsed/>
    <w:qFormat/>
    <w:rsid w:val="00F9282E"/>
    <w:rPr>
      <w:sz w:val="20"/>
      <w:szCs w:val="20"/>
    </w:rPr>
  </w:style>
  <w:style w:type="character" w:customStyle="1" w:styleId="FootnoteTextChar">
    <w:name w:val="Footnote Text Char"/>
    <w:aliases w:val="Tablenote Text Char"/>
    <w:basedOn w:val="DefaultParagraphFont"/>
    <w:link w:val="FootnoteText"/>
    <w:uiPriority w:val="99"/>
    <w:rsid w:val="00F9282E"/>
    <w:rPr>
      <w:sz w:val="20"/>
      <w:szCs w:val="20"/>
    </w:rPr>
  </w:style>
  <w:style w:type="character" w:styleId="FootnoteReference">
    <w:name w:val="footnote reference"/>
    <w:aliases w:val="callout"/>
    <w:basedOn w:val="DefaultParagraphFont"/>
    <w:uiPriority w:val="99"/>
    <w:unhideWhenUsed/>
    <w:rsid w:val="00F9282E"/>
    <w:rPr>
      <w:vertAlign w:val="superscript"/>
    </w:rPr>
  </w:style>
  <w:style w:type="paragraph" w:styleId="ListParagraph">
    <w:name w:val="List Paragraph"/>
    <w:basedOn w:val="Normal"/>
    <w:uiPriority w:val="34"/>
    <w:qFormat/>
    <w:rsid w:val="00843F7C"/>
    <w:pPr>
      <w:ind w:left="720"/>
      <w:contextualSpacing/>
    </w:pPr>
  </w:style>
  <w:style w:type="paragraph" w:styleId="BalloonText">
    <w:name w:val="Balloon Text"/>
    <w:basedOn w:val="Normal"/>
    <w:link w:val="BalloonTextChar"/>
    <w:uiPriority w:val="99"/>
    <w:semiHidden/>
    <w:unhideWhenUsed/>
    <w:rsid w:val="00843F7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43F7C"/>
    <w:rPr>
      <w:rFonts w:ascii="Times New Roman" w:hAnsi="Times New Roman" w:cs="Times New Roman"/>
      <w:sz w:val="18"/>
      <w:szCs w:val="18"/>
    </w:rPr>
  </w:style>
  <w:style w:type="paragraph" w:customStyle="1" w:styleId="xmsonormal">
    <w:name w:val="x_msonormal"/>
    <w:basedOn w:val="Normal"/>
    <w:rsid w:val="002B1AAD"/>
    <w:pPr>
      <w:spacing w:before="100" w:beforeAutospacing="1" w:after="100" w:afterAutospacing="1"/>
    </w:pPr>
    <w:rPr>
      <w:rFonts w:ascii="Times New Roman" w:eastAsia="Times New Roman" w:hAnsi="Times New Roman" w:cs="Times New Roman"/>
    </w:rPr>
  </w:style>
  <w:style w:type="paragraph" w:customStyle="1" w:styleId="xmsolistparagraph">
    <w:name w:val="x_msolistparagraph"/>
    <w:basedOn w:val="Normal"/>
    <w:rsid w:val="002B1AAD"/>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857439"/>
    <w:rPr>
      <w:color w:val="0563C1" w:themeColor="hyperlink"/>
      <w:u w:val="single"/>
    </w:rPr>
  </w:style>
  <w:style w:type="character" w:styleId="UnresolvedMention">
    <w:name w:val="Unresolved Mention"/>
    <w:basedOn w:val="DefaultParagraphFont"/>
    <w:uiPriority w:val="99"/>
    <w:semiHidden/>
    <w:unhideWhenUsed/>
    <w:rsid w:val="00857439"/>
    <w:rPr>
      <w:color w:val="605E5C"/>
      <w:shd w:val="clear" w:color="auto" w:fill="E1DFDD"/>
    </w:rPr>
  </w:style>
  <w:style w:type="character" w:styleId="CommentReference">
    <w:name w:val="annotation reference"/>
    <w:basedOn w:val="DefaultParagraphFont"/>
    <w:uiPriority w:val="99"/>
    <w:semiHidden/>
    <w:unhideWhenUsed/>
    <w:rsid w:val="000B37BC"/>
    <w:rPr>
      <w:sz w:val="16"/>
      <w:szCs w:val="16"/>
    </w:rPr>
  </w:style>
  <w:style w:type="paragraph" w:styleId="CommentText">
    <w:name w:val="annotation text"/>
    <w:basedOn w:val="Normal"/>
    <w:link w:val="CommentTextChar"/>
    <w:uiPriority w:val="99"/>
    <w:unhideWhenUsed/>
    <w:rsid w:val="00471982"/>
    <w:rPr>
      <w:sz w:val="20"/>
      <w:szCs w:val="20"/>
    </w:rPr>
  </w:style>
  <w:style w:type="character" w:customStyle="1" w:styleId="CommentTextChar">
    <w:name w:val="Comment Text Char"/>
    <w:basedOn w:val="DefaultParagraphFont"/>
    <w:link w:val="CommentText"/>
    <w:uiPriority w:val="99"/>
    <w:rsid w:val="000B37BC"/>
    <w:rPr>
      <w:sz w:val="20"/>
      <w:szCs w:val="20"/>
    </w:rPr>
  </w:style>
  <w:style w:type="paragraph" w:styleId="CommentSubject">
    <w:name w:val="annotation subject"/>
    <w:basedOn w:val="CommentText"/>
    <w:next w:val="CommentText"/>
    <w:link w:val="CommentSubjectChar"/>
    <w:uiPriority w:val="99"/>
    <w:semiHidden/>
    <w:unhideWhenUsed/>
    <w:rsid w:val="000B37BC"/>
    <w:rPr>
      <w:b/>
      <w:bCs/>
    </w:rPr>
  </w:style>
  <w:style w:type="character" w:customStyle="1" w:styleId="CommentSubjectChar">
    <w:name w:val="Comment Subject Char"/>
    <w:basedOn w:val="CommentTextChar"/>
    <w:link w:val="CommentSubject"/>
    <w:uiPriority w:val="99"/>
    <w:semiHidden/>
    <w:rsid w:val="000B37BC"/>
    <w:rPr>
      <w:b/>
      <w:bCs/>
      <w:sz w:val="20"/>
      <w:szCs w:val="20"/>
    </w:rPr>
  </w:style>
  <w:style w:type="table" w:styleId="TableGrid">
    <w:name w:val="Table Grid"/>
    <w:basedOn w:val="TableNormal"/>
    <w:uiPriority w:val="39"/>
    <w:rsid w:val="007F23A3"/>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E4E3F"/>
  </w:style>
  <w:style w:type="character" w:styleId="FollowedHyperlink">
    <w:name w:val="FollowedHyperlink"/>
    <w:basedOn w:val="DefaultParagraphFont"/>
    <w:uiPriority w:val="99"/>
    <w:semiHidden/>
    <w:unhideWhenUsed/>
    <w:rsid w:val="00DC4BAE"/>
    <w:rPr>
      <w:color w:val="954F72" w:themeColor="followedHyperlink"/>
      <w:u w:val="single"/>
    </w:rPr>
  </w:style>
  <w:style w:type="character" w:customStyle="1" w:styleId="normaltextrun">
    <w:name w:val="normaltextrun"/>
    <w:basedOn w:val="DefaultParagraphFont"/>
    <w:rsid w:val="007178A5"/>
  </w:style>
  <w:style w:type="character" w:customStyle="1" w:styleId="superscript">
    <w:name w:val="superscript"/>
    <w:basedOn w:val="DefaultParagraphFont"/>
    <w:rsid w:val="007178A5"/>
  </w:style>
  <w:style w:type="character" w:customStyle="1" w:styleId="eop">
    <w:name w:val="eop"/>
    <w:basedOn w:val="DefaultParagraphFont"/>
    <w:rsid w:val="007178A5"/>
  </w:style>
  <w:style w:type="paragraph" w:customStyle="1" w:styleId="paragraph">
    <w:name w:val="paragraph"/>
    <w:basedOn w:val="Normal"/>
    <w:rsid w:val="000E63CF"/>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5A5FCB"/>
    <w:pPr>
      <w:tabs>
        <w:tab w:val="center" w:pos="4680"/>
        <w:tab w:val="right" w:pos="9360"/>
      </w:tabs>
    </w:pPr>
  </w:style>
  <w:style w:type="character" w:customStyle="1" w:styleId="HeaderChar">
    <w:name w:val="Header Char"/>
    <w:basedOn w:val="DefaultParagraphFont"/>
    <w:link w:val="Header"/>
    <w:uiPriority w:val="99"/>
    <w:rsid w:val="005A5FCB"/>
  </w:style>
  <w:style w:type="paragraph" w:styleId="Footer">
    <w:name w:val="footer"/>
    <w:basedOn w:val="Normal"/>
    <w:link w:val="FooterChar"/>
    <w:uiPriority w:val="99"/>
    <w:unhideWhenUsed/>
    <w:rsid w:val="005A5FCB"/>
    <w:pPr>
      <w:tabs>
        <w:tab w:val="center" w:pos="4680"/>
        <w:tab w:val="right" w:pos="9360"/>
      </w:tabs>
    </w:pPr>
  </w:style>
  <w:style w:type="character" w:customStyle="1" w:styleId="FooterChar">
    <w:name w:val="Footer Char"/>
    <w:basedOn w:val="DefaultParagraphFont"/>
    <w:link w:val="Footer"/>
    <w:uiPriority w:val="99"/>
    <w:rsid w:val="005A5FCB"/>
  </w:style>
  <w:style w:type="character" w:styleId="Mention">
    <w:name w:val="Mention"/>
    <w:basedOn w:val="DefaultParagraphFont"/>
    <w:uiPriority w:val="99"/>
    <w:unhideWhenUsed/>
    <w:rPr>
      <w:color w:val="2B579A"/>
      <w:shd w:val="clear" w:color="auto" w:fill="E6E6E6"/>
    </w:rPr>
  </w:style>
  <w:style w:type="paragraph" w:styleId="NoSpacing">
    <w:name w:val="No Spacing"/>
    <w:uiPriority w:val="1"/>
    <w:qFormat/>
    <w:rsid w:val="00AE03D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86120">
      <w:bodyDiv w:val="1"/>
      <w:marLeft w:val="0"/>
      <w:marRight w:val="0"/>
      <w:marTop w:val="0"/>
      <w:marBottom w:val="0"/>
      <w:divBdr>
        <w:top w:val="none" w:sz="0" w:space="0" w:color="auto"/>
        <w:left w:val="none" w:sz="0" w:space="0" w:color="auto"/>
        <w:bottom w:val="none" w:sz="0" w:space="0" w:color="auto"/>
        <w:right w:val="none" w:sz="0" w:space="0" w:color="auto"/>
      </w:divBdr>
      <w:divsChild>
        <w:div w:id="1921137138">
          <w:marLeft w:val="0"/>
          <w:marRight w:val="0"/>
          <w:marTop w:val="0"/>
          <w:marBottom w:val="0"/>
          <w:divBdr>
            <w:top w:val="none" w:sz="0" w:space="0" w:color="auto"/>
            <w:left w:val="none" w:sz="0" w:space="0" w:color="auto"/>
            <w:bottom w:val="none" w:sz="0" w:space="0" w:color="auto"/>
            <w:right w:val="none" w:sz="0" w:space="0" w:color="auto"/>
          </w:divBdr>
          <w:divsChild>
            <w:div w:id="1493108746">
              <w:marLeft w:val="0"/>
              <w:marRight w:val="0"/>
              <w:marTop w:val="0"/>
              <w:marBottom w:val="0"/>
              <w:divBdr>
                <w:top w:val="none" w:sz="0" w:space="0" w:color="auto"/>
                <w:left w:val="none" w:sz="0" w:space="0" w:color="auto"/>
                <w:bottom w:val="none" w:sz="0" w:space="0" w:color="auto"/>
                <w:right w:val="none" w:sz="0" w:space="0" w:color="auto"/>
              </w:divBdr>
              <w:divsChild>
                <w:div w:id="108202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2484">
      <w:bodyDiv w:val="1"/>
      <w:marLeft w:val="0"/>
      <w:marRight w:val="0"/>
      <w:marTop w:val="0"/>
      <w:marBottom w:val="0"/>
      <w:divBdr>
        <w:top w:val="none" w:sz="0" w:space="0" w:color="auto"/>
        <w:left w:val="none" w:sz="0" w:space="0" w:color="auto"/>
        <w:bottom w:val="none" w:sz="0" w:space="0" w:color="auto"/>
        <w:right w:val="none" w:sz="0" w:space="0" w:color="auto"/>
      </w:divBdr>
    </w:div>
    <w:div w:id="169682330">
      <w:bodyDiv w:val="1"/>
      <w:marLeft w:val="0"/>
      <w:marRight w:val="0"/>
      <w:marTop w:val="0"/>
      <w:marBottom w:val="0"/>
      <w:divBdr>
        <w:top w:val="none" w:sz="0" w:space="0" w:color="auto"/>
        <w:left w:val="none" w:sz="0" w:space="0" w:color="auto"/>
        <w:bottom w:val="none" w:sz="0" w:space="0" w:color="auto"/>
        <w:right w:val="none" w:sz="0" w:space="0" w:color="auto"/>
      </w:divBdr>
      <w:divsChild>
        <w:div w:id="853495170">
          <w:marLeft w:val="0"/>
          <w:marRight w:val="0"/>
          <w:marTop w:val="0"/>
          <w:marBottom w:val="0"/>
          <w:divBdr>
            <w:top w:val="none" w:sz="0" w:space="0" w:color="auto"/>
            <w:left w:val="none" w:sz="0" w:space="0" w:color="auto"/>
            <w:bottom w:val="none" w:sz="0" w:space="0" w:color="auto"/>
            <w:right w:val="none" w:sz="0" w:space="0" w:color="auto"/>
          </w:divBdr>
          <w:divsChild>
            <w:div w:id="1963073940">
              <w:marLeft w:val="0"/>
              <w:marRight w:val="0"/>
              <w:marTop w:val="0"/>
              <w:marBottom w:val="0"/>
              <w:divBdr>
                <w:top w:val="none" w:sz="0" w:space="0" w:color="auto"/>
                <w:left w:val="none" w:sz="0" w:space="0" w:color="auto"/>
                <w:bottom w:val="none" w:sz="0" w:space="0" w:color="auto"/>
                <w:right w:val="none" w:sz="0" w:space="0" w:color="auto"/>
              </w:divBdr>
              <w:divsChild>
                <w:div w:id="52516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503076">
      <w:bodyDiv w:val="1"/>
      <w:marLeft w:val="0"/>
      <w:marRight w:val="0"/>
      <w:marTop w:val="0"/>
      <w:marBottom w:val="0"/>
      <w:divBdr>
        <w:top w:val="none" w:sz="0" w:space="0" w:color="auto"/>
        <w:left w:val="none" w:sz="0" w:space="0" w:color="auto"/>
        <w:bottom w:val="none" w:sz="0" w:space="0" w:color="auto"/>
        <w:right w:val="none" w:sz="0" w:space="0" w:color="auto"/>
      </w:divBdr>
    </w:div>
    <w:div w:id="279655761">
      <w:bodyDiv w:val="1"/>
      <w:marLeft w:val="0"/>
      <w:marRight w:val="0"/>
      <w:marTop w:val="0"/>
      <w:marBottom w:val="0"/>
      <w:divBdr>
        <w:top w:val="none" w:sz="0" w:space="0" w:color="auto"/>
        <w:left w:val="none" w:sz="0" w:space="0" w:color="auto"/>
        <w:bottom w:val="none" w:sz="0" w:space="0" w:color="auto"/>
        <w:right w:val="none" w:sz="0" w:space="0" w:color="auto"/>
      </w:divBdr>
      <w:divsChild>
        <w:div w:id="1626422764">
          <w:marLeft w:val="0"/>
          <w:marRight w:val="0"/>
          <w:marTop w:val="0"/>
          <w:marBottom w:val="0"/>
          <w:divBdr>
            <w:top w:val="none" w:sz="0" w:space="0" w:color="auto"/>
            <w:left w:val="none" w:sz="0" w:space="0" w:color="auto"/>
            <w:bottom w:val="none" w:sz="0" w:space="0" w:color="auto"/>
            <w:right w:val="none" w:sz="0" w:space="0" w:color="auto"/>
          </w:divBdr>
          <w:divsChild>
            <w:div w:id="261034882">
              <w:marLeft w:val="0"/>
              <w:marRight w:val="0"/>
              <w:marTop w:val="0"/>
              <w:marBottom w:val="0"/>
              <w:divBdr>
                <w:top w:val="none" w:sz="0" w:space="0" w:color="auto"/>
                <w:left w:val="none" w:sz="0" w:space="0" w:color="auto"/>
                <w:bottom w:val="none" w:sz="0" w:space="0" w:color="auto"/>
                <w:right w:val="none" w:sz="0" w:space="0" w:color="auto"/>
              </w:divBdr>
              <w:divsChild>
                <w:div w:id="195317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715315">
      <w:bodyDiv w:val="1"/>
      <w:marLeft w:val="0"/>
      <w:marRight w:val="0"/>
      <w:marTop w:val="0"/>
      <w:marBottom w:val="0"/>
      <w:divBdr>
        <w:top w:val="none" w:sz="0" w:space="0" w:color="auto"/>
        <w:left w:val="none" w:sz="0" w:space="0" w:color="auto"/>
        <w:bottom w:val="none" w:sz="0" w:space="0" w:color="auto"/>
        <w:right w:val="none" w:sz="0" w:space="0" w:color="auto"/>
      </w:divBdr>
    </w:div>
    <w:div w:id="386992489">
      <w:bodyDiv w:val="1"/>
      <w:marLeft w:val="0"/>
      <w:marRight w:val="0"/>
      <w:marTop w:val="0"/>
      <w:marBottom w:val="0"/>
      <w:divBdr>
        <w:top w:val="none" w:sz="0" w:space="0" w:color="auto"/>
        <w:left w:val="none" w:sz="0" w:space="0" w:color="auto"/>
        <w:bottom w:val="none" w:sz="0" w:space="0" w:color="auto"/>
        <w:right w:val="none" w:sz="0" w:space="0" w:color="auto"/>
      </w:divBdr>
      <w:divsChild>
        <w:div w:id="974066163">
          <w:marLeft w:val="0"/>
          <w:marRight w:val="0"/>
          <w:marTop w:val="0"/>
          <w:marBottom w:val="0"/>
          <w:divBdr>
            <w:top w:val="none" w:sz="0" w:space="0" w:color="auto"/>
            <w:left w:val="none" w:sz="0" w:space="0" w:color="auto"/>
            <w:bottom w:val="none" w:sz="0" w:space="0" w:color="auto"/>
            <w:right w:val="none" w:sz="0" w:space="0" w:color="auto"/>
          </w:divBdr>
          <w:divsChild>
            <w:div w:id="2032796393">
              <w:marLeft w:val="0"/>
              <w:marRight w:val="0"/>
              <w:marTop w:val="0"/>
              <w:marBottom w:val="0"/>
              <w:divBdr>
                <w:top w:val="none" w:sz="0" w:space="0" w:color="auto"/>
                <w:left w:val="none" w:sz="0" w:space="0" w:color="auto"/>
                <w:bottom w:val="none" w:sz="0" w:space="0" w:color="auto"/>
                <w:right w:val="none" w:sz="0" w:space="0" w:color="auto"/>
              </w:divBdr>
              <w:divsChild>
                <w:div w:id="122198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766755">
      <w:bodyDiv w:val="1"/>
      <w:marLeft w:val="0"/>
      <w:marRight w:val="0"/>
      <w:marTop w:val="0"/>
      <w:marBottom w:val="0"/>
      <w:divBdr>
        <w:top w:val="none" w:sz="0" w:space="0" w:color="auto"/>
        <w:left w:val="none" w:sz="0" w:space="0" w:color="auto"/>
        <w:bottom w:val="none" w:sz="0" w:space="0" w:color="auto"/>
        <w:right w:val="none" w:sz="0" w:space="0" w:color="auto"/>
      </w:divBdr>
    </w:div>
    <w:div w:id="468522238">
      <w:bodyDiv w:val="1"/>
      <w:marLeft w:val="0"/>
      <w:marRight w:val="0"/>
      <w:marTop w:val="0"/>
      <w:marBottom w:val="0"/>
      <w:divBdr>
        <w:top w:val="none" w:sz="0" w:space="0" w:color="auto"/>
        <w:left w:val="none" w:sz="0" w:space="0" w:color="auto"/>
        <w:bottom w:val="none" w:sz="0" w:space="0" w:color="auto"/>
        <w:right w:val="none" w:sz="0" w:space="0" w:color="auto"/>
      </w:divBdr>
    </w:div>
    <w:div w:id="576937608">
      <w:bodyDiv w:val="1"/>
      <w:marLeft w:val="0"/>
      <w:marRight w:val="0"/>
      <w:marTop w:val="0"/>
      <w:marBottom w:val="0"/>
      <w:divBdr>
        <w:top w:val="none" w:sz="0" w:space="0" w:color="auto"/>
        <w:left w:val="none" w:sz="0" w:space="0" w:color="auto"/>
        <w:bottom w:val="none" w:sz="0" w:space="0" w:color="auto"/>
        <w:right w:val="none" w:sz="0" w:space="0" w:color="auto"/>
      </w:divBdr>
    </w:div>
    <w:div w:id="641693566">
      <w:bodyDiv w:val="1"/>
      <w:marLeft w:val="0"/>
      <w:marRight w:val="0"/>
      <w:marTop w:val="0"/>
      <w:marBottom w:val="0"/>
      <w:divBdr>
        <w:top w:val="none" w:sz="0" w:space="0" w:color="auto"/>
        <w:left w:val="none" w:sz="0" w:space="0" w:color="auto"/>
        <w:bottom w:val="none" w:sz="0" w:space="0" w:color="auto"/>
        <w:right w:val="none" w:sz="0" w:space="0" w:color="auto"/>
      </w:divBdr>
      <w:divsChild>
        <w:div w:id="722096959">
          <w:marLeft w:val="0"/>
          <w:marRight w:val="0"/>
          <w:marTop w:val="0"/>
          <w:marBottom w:val="0"/>
          <w:divBdr>
            <w:top w:val="none" w:sz="0" w:space="0" w:color="auto"/>
            <w:left w:val="none" w:sz="0" w:space="0" w:color="auto"/>
            <w:bottom w:val="none" w:sz="0" w:space="0" w:color="auto"/>
            <w:right w:val="none" w:sz="0" w:space="0" w:color="auto"/>
          </w:divBdr>
          <w:divsChild>
            <w:div w:id="2124382138">
              <w:marLeft w:val="0"/>
              <w:marRight w:val="0"/>
              <w:marTop w:val="0"/>
              <w:marBottom w:val="0"/>
              <w:divBdr>
                <w:top w:val="none" w:sz="0" w:space="0" w:color="auto"/>
                <w:left w:val="none" w:sz="0" w:space="0" w:color="auto"/>
                <w:bottom w:val="none" w:sz="0" w:space="0" w:color="auto"/>
                <w:right w:val="none" w:sz="0" w:space="0" w:color="auto"/>
              </w:divBdr>
              <w:divsChild>
                <w:div w:id="92268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761242">
      <w:bodyDiv w:val="1"/>
      <w:marLeft w:val="0"/>
      <w:marRight w:val="0"/>
      <w:marTop w:val="0"/>
      <w:marBottom w:val="0"/>
      <w:divBdr>
        <w:top w:val="none" w:sz="0" w:space="0" w:color="auto"/>
        <w:left w:val="none" w:sz="0" w:space="0" w:color="auto"/>
        <w:bottom w:val="none" w:sz="0" w:space="0" w:color="auto"/>
        <w:right w:val="none" w:sz="0" w:space="0" w:color="auto"/>
      </w:divBdr>
      <w:divsChild>
        <w:div w:id="1414620162">
          <w:marLeft w:val="0"/>
          <w:marRight w:val="0"/>
          <w:marTop w:val="0"/>
          <w:marBottom w:val="0"/>
          <w:divBdr>
            <w:top w:val="none" w:sz="0" w:space="0" w:color="auto"/>
            <w:left w:val="none" w:sz="0" w:space="0" w:color="auto"/>
            <w:bottom w:val="none" w:sz="0" w:space="0" w:color="auto"/>
            <w:right w:val="none" w:sz="0" w:space="0" w:color="auto"/>
          </w:divBdr>
          <w:divsChild>
            <w:div w:id="1322200032">
              <w:marLeft w:val="0"/>
              <w:marRight w:val="0"/>
              <w:marTop w:val="0"/>
              <w:marBottom w:val="0"/>
              <w:divBdr>
                <w:top w:val="none" w:sz="0" w:space="0" w:color="auto"/>
                <w:left w:val="none" w:sz="0" w:space="0" w:color="auto"/>
                <w:bottom w:val="none" w:sz="0" w:space="0" w:color="auto"/>
                <w:right w:val="none" w:sz="0" w:space="0" w:color="auto"/>
              </w:divBdr>
              <w:divsChild>
                <w:div w:id="111293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277883">
      <w:bodyDiv w:val="1"/>
      <w:marLeft w:val="0"/>
      <w:marRight w:val="0"/>
      <w:marTop w:val="0"/>
      <w:marBottom w:val="0"/>
      <w:divBdr>
        <w:top w:val="none" w:sz="0" w:space="0" w:color="auto"/>
        <w:left w:val="none" w:sz="0" w:space="0" w:color="auto"/>
        <w:bottom w:val="none" w:sz="0" w:space="0" w:color="auto"/>
        <w:right w:val="none" w:sz="0" w:space="0" w:color="auto"/>
      </w:divBdr>
    </w:div>
    <w:div w:id="1011564054">
      <w:bodyDiv w:val="1"/>
      <w:marLeft w:val="0"/>
      <w:marRight w:val="0"/>
      <w:marTop w:val="0"/>
      <w:marBottom w:val="0"/>
      <w:divBdr>
        <w:top w:val="none" w:sz="0" w:space="0" w:color="auto"/>
        <w:left w:val="none" w:sz="0" w:space="0" w:color="auto"/>
        <w:bottom w:val="none" w:sz="0" w:space="0" w:color="auto"/>
        <w:right w:val="none" w:sz="0" w:space="0" w:color="auto"/>
      </w:divBdr>
      <w:divsChild>
        <w:div w:id="1222327905">
          <w:marLeft w:val="0"/>
          <w:marRight w:val="0"/>
          <w:marTop w:val="0"/>
          <w:marBottom w:val="0"/>
          <w:divBdr>
            <w:top w:val="none" w:sz="0" w:space="0" w:color="auto"/>
            <w:left w:val="none" w:sz="0" w:space="0" w:color="auto"/>
            <w:bottom w:val="none" w:sz="0" w:space="0" w:color="auto"/>
            <w:right w:val="none" w:sz="0" w:space="0" w:color="auto"/>
          </w:divBdr>
          <w:divsChild>
            <w:div w:id="12654996">
              <w:marLeft w:val="0"/>
              <w:marRight w:val="0"/>
              <w:marTop w:val="0"/>
              <w:marBottom w:val="0"/>
              <w:divBdr>
                <w:top w:val="none" w:sz="0" w:space="0" w:color="auto"/>
                <w:left w:val="none" w:sz="0" w:space="0" w:color="auto"/>
                <w:bottom w:val="none" w:sz="0" w:space="0" w:color="auto"/>
                <w:right w:val="none" w:sz="0" w:space="0" w:color="auto"/>
              </w:divBdr>
              <w:divsChild>
                <w:div w:id="5243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79509">
      <w:bodyDiv w:val="1"/>
      <w:marLeft w:val="0"/>
      <w:marRight w:val="0"/>
      <w:marTop w:val="0"/>
      <w:marBottom w:val="0"/>
      <w:divBdr>
        <w:top w:val="none" w:sz="0" w:space="0" w:color="auto"/>
        <w:left w:val="none" w:sz="0" w:space="0" w:color="auto"/>
        <w:bottom w:val="none" w:sz="0" w:space="0" w:color="auto"/>
        <w:right w:val="none" w:sz="0" w:space="0" w:color="auto"/>
      </w:divBdr>
      <w:divsChild>
        <w:div w:id="1613829526">
          <w:marLeft w:val="0"/>
          <w:marRight w:val="0"/>
          <w:marTop w:val="0"/>
          <w:marBottom w:val="0"/>
          <w:divBdr>
            <w:top w:val="none" w:sz="0" w:space="0" w:color="auto"/>
            <w:left w:val="none" w:sz="0" w:space="0" w:color="auto"/>
            <w:bottom w:val="none" w:sz="0" w:space="0" w:color="auto"/>
            <w:right w:val="none" w:sz="0" w:space="0" w:color="auto"/>
          </w:divBdr>
          <w:divsChild>
            <w:div w:id="2076933108">
              <w:marLeft w:val="0"/>
              <w:marRight w:val="0"/>
              <w:marTop w:val="0"/>
              <w:marBottom w:val="0"/>
              <w:divBdr>
                <w:top w:val="none" w:sz="0" w:space="0" w:color="auto"/>
                <w:left w:val="none" w:sz="0" w:space="0" w:color="auto"/>
                <w:bottom w:val="none" w:sz="0" w:space="0" w:color="auto"/>
                <w:right w:val="none" w:sz="0" w:space="0" w:color="auto"/>
              </w:divBdr>
              <w:divsChild>
                <w:div w:id="1431126050">
                  <w:marLeft w:val="0"/>
                  <w:marRight w:val="0"/>
                  <w:marTop w:val="0"/>
                  <w:marBottom w:val="0"/>
                  <w:divBdr>
                    <w:top w:val="none" w:sz="0" w:space="0" w:color="auto"/>
                    <w:left w:val="none" w:sz="0" w:space="0" w:color="auto"/>
                    <w:bottom w:val="none" w:sz="0" w:space="0" w:color="auto"/>
                    <w:right w:val="none" w:sz="0" w:space="0" w:color="auto"/>
                  </w:divBdr>
                  <w:divsChild>
                    <w:div w:id="131972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736785">
      <w:bodyDiv w:val="1"/>
      <w:marLeft w:val="0"/>
      <w:marRight w:val="0"/>
      <w:marTop w:val="0"/>
      <w:marBottom w:val="0"/>
      <w:divBdr>
        <w:top w:val="none" w:sz="0" w:space="0" w:color="auto"/>
        <w:left w:val="none" w:sz="0" w:space="0" w:color="auto"/>
        <w:bottom w:val="none" w:sz="0" w:space="0" w:color="auto"/>
        <w:right w:val="none" w:sz="0" w:space="0" w:color="auto"/>
      </w:divBdr>
    </w:div>
    <w:div w:id="1294285528">
      <w:bodyDiv w:val="1"/>
      <w:marLeft w:val="0"/>
      <w:marRight w:val="0"/>
      <w:marTop w:val="0"/>
      <w:marBottom w:val="0"/>
      <w:divBdr>
        <w:top w:val="none" w:sz="0" w:space="0" w:color="auto"/>
        <w:left w:val="none" w:sz="0" w:space="0" w:color="auto"/>
        <w:bottom w:val="none" w:sz="0" w:space="0" w:color="auto"/>
        <w:right w:val="none" w:sz="0" w:space="0" w:color="auto"/>
      </w:divBdr>
    </w:div>
    <w:div w:id="1301618166">
      <w:bodyDiv w:val="1"/>
      <w:marLeft w:val="0"/>
      <w:marRight w:val="0"/>
      <w:marTop w:val="0"/>
      <w:marBottom w:val="0"/>
      <w:divBdr>
        <w:top w:val="none" w:sz="0" w:space="0" w:color="auto"/>
        <w:left w:val="none" w:sz="0" w:space="0" w:color="auto"/>
        <w:bottom w:val="none" w:sz="0" w:space="0" w:color="auto"/>
        <w:right w:val="none" w:sz="0" w:space="0" w:color="auto"/>
      </w:divBdr>
      <w:divsChild>
        <w:div w:id="1364939030">
          <w:marLeft w:val="0"/>
          <w:marRight w:val="0"/>
          <w:marTop w:val="0"/>
          <w:marBottom w:val="0"/>
          <w:divBdr>
            <w:top w:val="none" w:sz="0" w:space="0" w:color="auto"/>
            <w:left w:val="none" w:sz="0" w:space="0" w:color="auto"/>
            <w:bottom w:val="none" w:sz="0" w:space="0" w:color="auto"/>
            <w:right w:val="none" w:sz="0" w:space="0" w:color="auto"/>
          </w:divBdr>
          <w:divsChild>
            <w:div w:id="905800330">
              <w:marLeft w:val="0"/>
              <w:marRight w:val="0"/>
              <w:marTop w:val="0"/>
              <w:marBottom w:val="0"/>
              <w:divBdr>
                <w:top w:val="none" w:sz="0" w:space="0" w:color="auto"/>
                <w:left w:val="none" w:sz="0" w:space="0" w:color="auto"/>
                <w:bottom w:val="none" w:sz="0" w:space="0" w:color="auto"/>
                <w:right w:val="none" w:sz="0" w:space="0" w:color="auto"/>
              </w:divBdr>
              <w:divsChild>
                <w:div w:id="52876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51277">
      <w:bodyDiv w:val="1"/>
      <w:marLeft w:val="0"/>
      <w:marRight w:val="0"/>
      <w:marTop w:val="0"/>
      <w:marBottom w:val="0"/>
      <w:divBdr>
        <w:top w:val="none" w:sz="0" w:space="0" w:color="auto"/>
        <w:left w:val="none" w:sz="0" w:space="0" w:color="auto"/>
        <w:bottom w:val="none" w:sz="0" w:space="0" w:color="auto"/>
        <w:right w:val="none" w:sz="0" w:space="0" w:color="auto"/>
      </w:divBdr>
    </w:div>
    <w:div w:id="1329750142">
      <w:bodyDiv w:val="1"/>
      <w:marLeft w:val="0"/>
      <w:marRight w:val="0"/>
      <w:marTop w:val="0"/>
      <w:marBottom w:val="0"/>
      <w:divBdr>
        <w:top w:val="none" w:sz="0" w:space="0" w:color="auto"/>
        <w:left w:val="none" w:sz="0" w:space="0" w:color="auto"/>
        <w:bottom w:val="none" w:sz="0" w:space="0" w:color="auto"/>
        <w:right w:val="none" w:sz="0" w:space="0" w:color="auto"/>
      </w:divBdr>
      <w:divsChild>
        <w:div w:id="1382752534">
          <w:marLeft w:val="0"/>
          <w:marRight w:val="0"/>
          <w:marTop w:val="0"/>
          <w:marBottom w:val="0"/>
          <w:divBdr>
            <w:top w:val="none" w:sz="0" w:space="0" w:color="auto"/>
            <w:left w:val="none" w:sz="0" w:space="0" w:color="auto"/>
            <w:bottom w:val="none" w:sz="0" w:space="0" w:color="auto"/>
            <w:right w:val="none" w:sz="0" w:space="0" w:color="auto"/>
          </w:divBdr>
          <w:divsChild>
            <w:div w:id="1497190561">
              <w:marLeft w:val="0"/>
              <w:marRight w:val="0"/>
              <w:marTop w:val="0"/>
              <w:marBottom w:val="0"/>
              <w:divBdr>
                <w:top w:val="none" w:sz="0" w:space="0" w:color="auto"/>
                <w:left w:val="none" w:sz="0" w:space="0" w:color="auto"/>
                <w:bottom w:val="none" w:sz="0" w:space="0" w:color="auto"/>
                <w:right w:val="none" w:sz="0" w:space="0" w:color="auto"/>
              </w:divBdr>
              <w:divsChild>
                <w:div w:id="27979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818922">
      <w:bodyDiv w:val="1"/>
      <w:marLeft w:val="0"/>
      <w:marRight w:val="0"/>
      <w:marTop w:val="0"/>
      <w:marBottom w:val="0"/>
      <w:divBdr>
        <w:top w:val="none" w:sz="0" w:space="0" w:color="auto"/>
        <w:left w:val="none" w:sz="0" w:space="0" w:color="auto"/>
        <w:bottom w:val="none" w:sz="0" w:space="0" w:color="auto"/>
        <w:right w:val="none" w:sz="0" w:space="0" w:color="auto"/>
      </w:divBdr>
      <w:divsChild>
        <w:div w:id="1949003265">
          <w:marLeft w:val="0"/>
          <w:marRight w:val="0"/>
          <w:marTop w:val="0"/>
          <w:marBottom w:val="0"/>
          <w:divBdr>
            <w:top w:val="none" w:sz="0" w:space="0" w:color="auto"/>
            <w:left w:val="none" w:sz="0" w:space="0" w:color="auto"/>
            <w:bottom w:val="none" w:sz="0" w:space="0" w:color="auto"/>
            <w:right w:val="none" w:sz="0" w:space="0" w:color="auto"/>
          </w:divBdr>
          <w:divsChild>
            <w:div w:id="1219785792">
              <w:marLeft w:val="0"/>
              <w:marRight w:val="0"/>
              <w:marTop w:val="0"/>
              <w:marBottom w:val="0"/>
              <w:divBdr>
                <w:top w:val="none" w:sz="0" w:space="0" w:color="auto"/>
                <w:left w:val="none" w:sz="0" w:space="0" w:color="auto"/>
                <w:bottom w:val="none" w:sz="0" w:space="0" w:color="auto"/>
                <w:right w:val="none" w:sz="0" w:space="0" w:color="auto"/>
              </w:divBdr>
              <w:divsChild>
                <w:div w:id="172721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793369">
      <w:bodyDiv w:val="1"/>
      <w:marLeft w:val="0"/>
      <w:marRight w:val="0"/>
      <w:marTop w:val="0"/>
      <w:marBottom w:val="0"/>
      <w:divBdr>
        <w:top w:val="none" w:sz="0" w:space="0" w:color="auto"/>
        <w:left w:val="none" w:sz="0" w:space="0" w:color="auto"/>
        <w:bottom w:val="none" w:sz="0" w:space="0" w:color="auto"/>
        <w:right w:val="none" w:sz="0" w:space="0" w:color="auto"/>
      </w:divBdr>
      <w:divsChild>
        <w:div w:id="919829782">
          <w:marLeft w:val="0"/>
          <w:marRight w:val="0"/>
          <w:marTop w:val="0"/>
          <w:marBottom w:val="0"/>
          <w:divBdr>
            <w:top w:val="none" w:sz="0" w:space="0" w:color="auto"/>
            <w:left w:val="none" w:sz="0" w:space="0" w:color="auto"/>
            <w:bottom w:val="none" w:sz="0" w:space="0" w:color="auto"/>
            <w:right w:val="none" w:sz="0" w:space="0" w:color="auto"/>
          </w:divBdr>
          <w:divsChild>
            <w:div w:id="1813793795">
              <w:marLeft w:val="0"/>
              <w:marRight w:val="0"/>
              <w:marTop w:val="0"/>
              <w:marBottom w:val="0"/>
              <w:divBdr>
                <w:top w:val="none" w:sz="0" w:space="0" w:color="auto"/>
                <w:left w:val="none" w:sz="0" w:space="0" w:color="auto"/>
                <w:bottom w:val="none" w:sz="0" w:space="0" w:color="auto"/>
                <w:right w:val="none" w:sz="0" w:space="0" w:color="auto"/>
              </w:divBdr>
              <w:divsChild>
                <w:div w:id="97445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217494">
      <w:bodyDiv w:val="1"/>
      <w:marLeft w:val="0"/>
      <w:marRight w:val="0"/>
      <w:marTop w:val="0"/>
      <w:marBottom w:val="0"/>
      <w:divBdr>
        <w:top w:val="none" w:sz="0" w:space="0" w:color="auto"/>
        <w:left w:val="none" w:sz="0" w:space="0" w:color="auto"/>
        <w:bottom w:val="none" w:sz="0" w:space="0" w:color="auto"/>
        <w:right w:val="none" w:sz="0" w:space="0" w:color="auto"/>
      </w:divBdr>
      <w:divsChild>
        <w:div w:id="1805804240">
          <w:marLeft w:val="0"/>
          <w:marRight w:val="0"/>
          <w:marTop w:val="0"/>
          <w:marBottom w:val="0"/>
          <w:divBdr>
            <w:top w:val="none" w:sz="0" w:space="0" w:color="auto"/>
            <w:left w:val="none" w:sz="0" w:space="0" w:color="auto"/>
            <w:bottom w:val="none" w:sz="0" w:space="0" w:color="auto"/>
            <w:right w:val="none" w:sz="0" w:space="0" w:color="auto"/>
          </w:divBdr>
          <w:divsChild>
            <w:div w:id="1975676401">
              <w:marLeft w:val="0"/>
              <w:marRight w:val="0"/>
              <w:marTop w:val="0"/>
              <w:marBottom w:val="0"/>
              <w:divBdr>
                <w:top w:val="none" w:sz="0" w:space="0" w:color="auto"/>
                <w:left w:val="none" w:sz="0" w:space="0" w:color="auto"/>
                <w:bottom w:val="none" w:sz="0" w:space="0" w:color="auto"/>
                <w:right w:val="none" w:sz="0" w:space="0" w:color="auto"/>
              </w:divBdr>
              <w:divsChild>
                <w:div w:id="121361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620786">
      <w:bodyDiv w:val="1"/>
      <w:marLeft w:val="0"/>
      <w:marRight w:val="0"/>
      <w:marTop w:val="0"/>
      <w:marBottom w:val="0"/>
      <w:divBdr>
        <w:top w:val="none" w:sz="0" w:space="0" w:color="auto"/>
        <w:left w:val="none" w:sz="0" w:space="0" w:color="auto"/>
        <w:bottom w:val="none" w:sz="0" w:space="0" w:color="auto"/>
        <w:right w:val="none" w:sz="0" w:space="0" w:color="auto"/>
      </w:divBdr>
    </w:div>
    <w:div w:id="1636639894">
      <w:bodyDiv w:val="1"/>
      <w:marLeft w:val="0"/>
      <w:marRight w:val="0"/>
      <w:marTop w:val="0"/>
      <w:marBottom w:val="0"/>
      <w:divBdr>
        <w:top w:val="none" w:sz="0" w:space="0" w:color="auto"/>
        <w:left w:val="none" w:sz="0" w:space="0" w:color="auto"/>
        <w:bottom w:val="none" w:sz="0" w:space="0" w:color="auto"/>
        <w:right w:val="none" w:sz="0" w:space="0" w:color="auto"/>
      </w:divBdr>
    </w:div>
    <w:div w:id="1654679933">
      <w:bodyDiv w:val="1"/>
      <w:marLeft w:val="0"/>
      <w:marRight w:val="0"/>
      <w:marTop w:val="0"/>
      <w:marBottom w:val="0"/>
      <w:divBdr>
        <w:top w:val="none" w:sz="0" w:space="0" w:color="auto"/>
        <w:left w:val="none" w:sz="0" w:space="0" w:color="auto"/>
        <w:bottom w:val="none" w:sz="0" w:space="0" w:color="auto"/>
        <w:right w:val="none" w:sz="0" w:space="0" w:color="auto"/>
      </w:divBdr>
      <w:divsChild>
        <w:div w:id="1221135096">
          <w:marLeft w:val="0"/>
          <w:marRight w:val="0"/>
          <w:marTop w:val="0"/>
          <w:marBottom w:val="0"/>
          <w:divBdr>
            <w:top w:val="none" w:sz="0" w:space="0" w:color="auto"/>
            <w:left w:val="none" w:sz="0" w:space="0" w:color="auto"/>
            <w:bottom w:val="none" w:sz="0" w:space="0" w:color="auto"/>
            <w:right w:val="none" w:sz="0" w:space="0" w:color="auto"/>
          </w:divBdr>
          <w:divsChild>
            <w:div w:id="1101609099">
              <w:marLeft w:val="0"/>
              <w:marRight w:val="0"/>
              <w:marTop w:val="0"/>
              <w:marBottom w:val="0"/>
              <w:divBdr>
                <w:top w:val="none" w:sz="0" w:space="0" w:color="auto"/>
                <w:left w:val="none" w:sz="0" w:space="0" w:color="auto"/>
                <w:bottom w:val="none" w:sz="0" w:space="0" w:color="auto"/>
                <w:right w:val="none" w:sz="0" w:space="0" w:color="auto"/>
              </w:divBdr>
              <w:divsChild>
                <w:div w:id="192433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37649">
      <w:bodyDiv w:val="1"/>
      <w:marLeft w:val="0"/>
      <w:marRight w:val="0"/>
      <w:marTop w:val="0"/>
      <w:marBottom w:val="0"/>
      <w:divBdr>
        <w:top w:val="none" w:sz="0" w:space="0" w:color="auto"/>
        <w:left w:val="none" w:sz="0" w:space="0" w:color="auto"/>
        <w:bottom w:val="none" w:sz="0" w:space="0" w:color="auto"/>
        <w:right w:val="none" w:sz="0" w:space="0" w:color="auto"/>
      </w:divBdr>
    </w:div>
    <w:div w:id="1664621676">
      <w:bodyDiv w:val="1"/>
      <w:marLeft w:val="0"/>
      <w:marRight w:val="0"/>
      <w:marTop w:val="0"/>
      <w:marBottom w:val="0"/>
      <w:divBdr>
        <w:top w:val="none" w:sz="0" w:space="0" w:color="auto"/>
        <w:left w:val="none" w:sz="0" w:space="0" w:color="auto"/>
        <w:bottom w:val="none" w:sz="0" w:space="0" w:color="auto"/>
        <w:right w:val="none" w:sz="0" w:space="0" w:color="auto"/>
      </w:divBdr>
    </w:div>
    <w:div w:id="1699114351">
      <w:bodyDiv w:val="1"/>
      <w:marLeft w:val="0"/>
      <w:marRight w:val="0"/>
      <w:marTop w:val="0"/>
      <w:marBottom w:val="0"/>
      <w:divBdr>
        <w:top w:val="none" w:sz="0" w:space="0" w:color="auto"/>
        <w:left w:val="none" w:sz="0" w:space="0" w:color="auto"/>
        <w:bottom w:val="none" w:sz="0" w:space="0" w:color="auto"/>
        <w:right w:val="none" w:sz="0" w:space="0" w:color="auto"/>
      </w:divBdr>
      <w:divsChild>
        <w:div w:id="1426613418">
          <w:marLeft w:val="0"/>
          <w:marRight w:val="0"/>
          <w:marTop w:val="0"/>
          <w:marBottom w:val="0"/>
          <w:divBdr>
            <w:top w:val="none" w:sz="0" w:space="0" w:color="auto"/>
            <w:left w:val="none" w:sz="0" w:space="0" w:color="auto"/>
            <w:bottom w:val="none" w:sz="0" w:space="0" w:color="auto"/>
            <w:right w:val="none" w:sz="0" w:space="0" w:color="auto"/>
          </w:divBdr>
          <w:divsChild>
            <w:div w:id="1046024232">
              <w:marLeft w:val="0"/>
              <w:marRight w:val="0"/>
              <w:marTop w:val="0"/>
              <w:marBottom w:val="0"/>
              <w:divBdr>
                <w:top w:val="none" w:sz="0" w:space="0" w:color="auto"/>
                <w:left w:val="none" w:sz="0" w:space="0" w:color="auto"/>
                <w:bottom w:val="none" w:sz="0" w:space="0" w:color="auto"/>
                <w:right w:val="none" w:sz="0" w:space="0" w:color="auto"/>
              </w:divBdr>
              <w:divsChild>
                <w:div w:id="182380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539469">
      <w:bodyDiv w:val="1"/>
      <w:marLeft w:val="0"/>
      <w:marRight w:val="0"/>
      <w:marTop w:val="0"/>
      <w:marBottom w:val="0"/>
      <w:divBdr>
        <w:top w:val="none" w:sz="0" w:space="0" w:color="auto"/>
        <w:left w:val="none" w:sz="0" w:space="0" w:color="auto"/>
        <w:bottom w:val="none" w:sz="0" w:space="0" w:color="auto"/>
        <w:right w:val="none" w:sz="0" w:space="0" w:color="auto"/>
      </w:divBdr>
    </w:div>
    <w:div w:id="1775249546">
      <w:bodyDiv w:val="1"/>
      <w:marLeft w:val="0"/>
      <w:marRight w:val="0"/>
      <w:marTop w:val="0"/>
      <w:marBottom w:val="0"/>
      <w:divBdr>
        <w:top w:val="none" w:sz="0" w:space="0" w:color="auto"/>
        <w:left w:val="none" w:sz="0" w:space="0" w:color="auto"/>
        <w:bottom w:val="none" w:sz="0" w:space="0" w:color="auto"/>
        <w:right w:val="none" w:sz="0" w:space="0" w:color="auto"/>
      </w:divBdr>
      <w:divsChild>
        <w:div w:id="1444224101">
          <w:marLeft w:val="0"/>
          <w:marRight w:val="0"/>
          <w:marTop w:val="0"/>
          <w:marBottom w:val="0"/>
          <w:divBdr>
            <w:top w:val="none" w:sz="0" w:space="0" w:color="auto"/>
            <w:left w:val="none" w:sz="0" w:space="0" w:color="auto"/>
            <w:bottom w:val="none" w:sz="0" w:space="0" w:color="auto"/>
            <w:right w:val="none" w:sz="0" w:space="0" w:color="auto"/>
          </w:divBdr>
          <w:divsChild>
            <w:div w:id="908999036">
              <w:marLeft w:val="0"/>
              <w:marRight w:val="0"/>
              <w:marTop w:val="0"/>
              <w:marBottom w:val="0"/>
              <w:divBdr>
                <w:top w:val="none" w:sz="0" w:space="0" w:color="auto"/>
                <w:left w:val="none" w:sz="0" w:space="0" w:color="auto"/>
                <w:bottom w:val="none" w:sz="0" w:space="0" w:color="auto"/>
                <w:right w:val="none" w:sz="0" w:space="0" w:color="auto"/>
              </w:divBdr>
              <w:divsChild>
                <w:div w:id="23312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769857">
      <w:bodyDiv w:val="1"/>
      <w:marLeft w:val="0"/>
      <w:marRight w:val="0"/>
      <w:marTop w:val="0"/>
      <w:marBottom w:val="0"/>
      <w:divBdr>
        <w:top w:val="none" w:sz="0" w:space="0" w:color="auto"/>
        <w:left w:val="none" w:sz="0" w:space="0" w:color="auto"/>
        <w:bottom w:val="none" w:sz="0" w:space="0" w:color="auto"/>
        <w:right w:val="none" w:sz="0" w:space="0" w:color="auto"/>
      </w:divBdr>
      <w:divsChild>
        <w:div w:id="156263988">
          <w:marLeft w:val="0"/>
          <w:marRight w:val="0"/>
          <w:marTop w:val="0"/>
          <w:marBottom w:val="0"/>
          <w:divBdr>
            <w:top w:val="none" w:sz="0" w:space="0" w:color="auto"/>
            <w:left w:val="none" w:sz="0" w:space="0" w:color="auto"/>
            <w:bottom w:val="none" w:sz="0" w:space="0" w:color="auto"/>
            <w:right w:val="none" w:sz="0" w:space="0" w:color="auto"/>
          </w:divBdr>
          <w:divsChild>
            <w:div w:id="283050131">
              <w:marLeft w:val="0"/>
              <w:marRight w:val="0"/>
              <w:marTop w:val="0"/>
              <w:marBottom w:val="0"/>
              <w:divBdr>
                <w:top w:val="none" w:sz="0" w:space="0" w:color="auto"/>
                <w:left w:val="none" w:sz="0" w:space="0" w:color="auto"/>
                <w:bottom w:val="none" w:sz="0" w:space="0" w:color="auto"/>
                <w:right w:val="none" w:sz="0" w:space="0" w:color="auto"/>
              </w:divBdr>
              <w:divsChild>
                <w:div w:id="1619751497">
                  <w:marLeft w:val="0"/>
                  <w:marRight w:val="0"/>
                  <w:marTop w:val="0"/>
                  <w:marBottom w:val="0"/>
                  <w:divBdr>
                    <w:top w:val="none" w:sz="0" w:space="0" w:color="auto"/>
                    <w:left w:val="none" w:sz="0" w:space="0" w:color="auto"/>
                    <w:bottom w:val="none" w:sz="0" w:space="0" w:color="auto"/>
                    <w:right w:val="none" w:sz="0" w:space="0" w:color="auto"/>
                  </w:divBdr>
                  <w:divsChild>
                    <w:div w:id="73454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437758">
      <w:bodyDiv w:val="1"/>
      <w:marLeft w:val="0"/>
      <w:marRight w:val="0"/>
      <w:marTop w:val="0"/>
      <w:marBottom w:val="0"/>
      <w:divBdr>
        <w:top w:val="none" w:sz="0" w:space="0" w:color="auto"/>
        <w:left w:val="none" w:sz="0" w:space="0" w:color="auto"/>
        <w:bottom w:val="none" w:sz="0" w:space="0" w:color="auto"/>
        <w:right w:val="none" w:sz="0" w:space="0" w:color="auto"/>
      </w:divBdr>
      <w:divsChild>
        <w:div w:id="1316837895">
          <w:marLeft w:val="0"/>
          <w:marRight w:val="0"/>
          <w:marTop w:val="0"/>
          <w:marBottom w:val="0"/>
          <w:divBdr>
            <w:top w:val="none" w:sz="0" w:space="0" w:color="auto"/>
            <w:left w:val="none" w:sz="0" w:space="0" w:color="auto"/>
            <w:bottom w:val="none" w:sz="0" w:space="0" w:color="auto"/>
            <w:right w:val="none" w:sz="0" w:space="0" w:color="auto"/>
          </w:divBdr>
          <w:divsChild>
            <w:div w:id="400949920">
              <w:marLeft w:val="0"/>
              <w:marRight w:val="0"/>
              <w:marTop w:val="0"/>
              <w:marBottom w:val="0"/>
              <w:divBdr>
                <w:top w:val="none" w:sz="0" w:space="0" w:color="auto"/>
                <w:left w:val="none" w:sz="0" w:space="0" w:color="auto"/>
                <w:bottom w:val="none" w:sz="0" w:space="0" w:color="auto"/>
                <w:right w:val="none" w:sz="0" w:space="0" w:color="auto"/>
              </w:divBdr>
              <w:divsChild>
                <w:div w:id="166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21034">
      <w:bodyDiv w:val="1"/>
      <w:marLeft w:val="0"/>
      <w:marRight w:val="0"/>
      <w:marTop w:val="0"/>
      <w:marBottom w:val="0"/>
      <w:divBdr>
        <w:top w:val="none" w:sz="0" w:space="0" w:color="auto"/>
        <w:left w:val="none" w:sz="0" w:space="0" w:color="auto"/>
        <w:bottom w:val="none" w:sz="0" w:space="0" w:color="auto"/>
        <w:right w:val="none" w:sz="0" w:space="0" w:color="auto"/>
      </w:divBdr>
    </w:div>
    <w:div w:id="1932201082">
      <w:bodyDiv w:val="1"/>
      <w:marLeft w:val="0"/>
      <w:marRight w:val="0"/>
      <w:marTop w:val="0"/>
      <w:marBottom w:val="0"/>
      <w:divBdr>
        <w:top w:val="none" w:sz="0" w:space="0" w:color="auto"/>
        <w:left w:val="none" w:sz="0" w:space="0" w:color="auto"/>
        <w:bottom w:val="none" w:sz="0" w:space="0" w:color="auto"/>
        <w:right w:val="none" w:sz="0" w:space="0" w:color="auto"/>
      </w:divBdr>
      <w:divsChild>
        <w:div w:id="1585604832">
          <w:marLeft w:val="0"/>
          <w:marRight w:val="0"/>
          <w:marTop w:val="0"/>
          <w:marBottom w:val="0"/>
          <w:divBdr>
            <w:top w:val="none" w:sz="0" w:space="0" w:color="auto"/>
            <w:left w:val="none" w:sz="0" w:space="0" w:color="auto"/>
            <w:bottom w:val="none" w:sz="0" w:space="0" w:color="auto"/>
            <w:right w:val="none" w:sz="0" w:space="0" w:color="auto"/>
          </w:divBdr>
          <w:divsChild>
            <w:div w:id="2079551685">
              <w:marLeft w:val="0"/>
              <w:marRight w:val="0"/>
              <w:marTop w:val="0"/>
              <w:marBottom w:val="0"/>
              <w:divBdr>
                <w:top w:val="none" w:sz="0" w:space="0" w:color="auto"/>
                <w:left w:val="none" w:sz="0" w:space="0" w:color="auto"/>
                <w:bottom w:val="none" w:sz="0" w:space="0" w:color="auto"/>
                <w:right w:val="none" w:sz="0" w:space="0" w:color="auto"/>
              </w:divBdr>
              <w:divsChild>
                <w:div w:id="92846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440728">
      <w:bodyDiv w:val="1"/>
      <w:marLeft w:val="0"/>
      <w:marRight w:val="0"/>
      <w:marTop w:val="0"/>
      <w:marBottom w:val="0"/>
      <w:divBdr>
        <w:top w:val="none" w:sz="0" w:space="0" w:color="auto"/>
        <w:left w:val="none" w:sz="0" w:space="0" w:color="auto"/>
        <w:bottom w:val="none" w:sz="0" w:space="0" w:color="auto"/>
        <w:right w:val="none" w:sz="0" w:space="0" w:color="auto"/>
      </w:divBdr>
    </w:div>
    <w:div w:id="2026781122">
      <w:bodyDiv w:val="1"/>
      <w:marLeft w:val="0"/>
      <w:marRight w:val="0"/>
      <w:marTop w:val="0"/>
      <w:marBottom w:val="0"/>
      <w:divBdr>
        <w:top w:val="none" w:sz="0" w:space="0" w:color="auto"/>
        <w:left w:val="none" w:sz="0" w:space="0" w:color="auto"/>
        <w:bottom w:val="none" w:sz="0" w:space="0" w:color="auto"/>
        <w:right w:val="none" w:sz="0" w:space="0" w:color="auto"/>
      </w:divBdr>
      <w:divsChild>
        <w:div w:id="1537890060">
          <w:marLeft w:val="0"/>
          <w:marRight w:val="0"/>
          <w:marTop w:val="0"/>
          <w:marBottom w:val="0"/>
          <w:divBdr>
            <w:top w:val="none" w:sz="0" w:space="0" w:color="auto"/>
            <w:left w:val="none" w:sz="0" w:space="0" w:color="auto"/>
            <w:bottom w:val="none" w:sz="0" w:space="0" w:color="auto"/>
            <w:right w:val="none" w:sz="0" w:space="0" w:color="auto"/>
          </w:divBdr>
          <w:divsChild>
            <w:div w:id="378288001">
              <w:marLeft w:val="0"/>
              <w:marRight w:val="0"/>
              <w:marTop w:val="0"/>
              <w:marBottom w:val="0"/>
              <w:divBdr>
                <w:top w:val="none" w:sz="0" w:space="0" w:color="auto"/>
                <w:left w:val="none" w:sz="0" w:space="0" w:color="auto"/>
                <w:bottom w:val="none" w:sz="0" w:space="0" w:color="auto"/>
                <w:right w:val="none" w:sz="0" w:space="0" w:color="auto"/>
              </w:divBdr>
              <w:divsChild>
                <w:div w:id="121457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24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ende@mainecahc.org" TargetMode="Externa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tyles" Target="styles.xml"/><Relationship Id="rId12" Type="http://schemas.openxmlformats.org/officeDocument/2006/relationships/hyperlink" Target="mailto:Meg.garratt-reed@maine.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mainecahc.org/wp-content/uploads/2023/05/Polling-Views-of-Maine-Voters-On-Health-Care-Affordability.pdf" TargetMode="External"/><Relationship Id="rId13" Type="http://schemas.openxmlformats.org/officeDocument/2006/relationships/hyperlink" Target="https://www.cms.gov/files/document/fact-sheet-medicare-drug-price-negotiation-program-initial-guidance.pdf" TargetMode="External"/><Relationship Id="rId18" Type="http://schemas.openxmlformats.org/officeDocument/2006/relationships/hyperlink" Target="https://www.ncsl.org/health/prices-policies-how-states-are-tackling-health-care-costs" TargetMode="External"/><Relationship Id="rId26" Type="http://schemas.openxmlformats.org/officeDocument/2006/relationships/hyperlink" Target="https://nashp.org/insurance-rate-review-as-a-hospital-cost-containment-tool-rhode-islands-experience/" TargetMode="External"/><Relationship Id="rId3" Type="http://schemas.openxmlformats.org/officeDocument/2006/relationships/hyperlink" Target="https://www.mainecahc.org/wp-content/uploads/2023/05/Polling-Views-of-Maine-Voters-On-Health-Care-Affordability.pdf" TargetMode="External"/><Relationship Id="rId21" Type="http://schemas.openxmlformats.org/officeDocument/2006/relationships/hyperlink" Target="https://www.milbank.org/wp-content/uploads/2021/09/Mitigating-the-Price-Impacts-of-Health-Care-Provider-Consolidation_2.pdf" TargetMode="External"/><Relationship Id="rId7" Type="http://schemas.openxmlformats.org/officeDocument/2006/relationships/hyperlink" Target="https://healthcostinstitute.org/hcci-originals/hmi-interactive" TargetMode="External"/><Relationship Id="rId12" Type="http://schemas.openxmlformats.org/officeDocument/2006/relationships/hyperlink" Target="https://advocacy.consumerreports.org/press_release/consumer-reports-calls-on-cfpb-to-enact-stronger-consumer-protections-for-medical-credit-cards/" TargetMode="External"/><Relationship Id="rId17" Type="http://schemas.openxmlformats.org/officeDocument/2006/relationships/hyperlink" Target="https://www.nashp.org/wp-content/uploads/2021/04/MT-Eval-Analysis-Final-4-2-2021.pdf" TargetMode="External"/><Relationship Id="rId25" Type="http://schemas.openxmlformats.org/officeDocument/2006/relationships/hyperlink" Target="http://webserver.rilin.state.ri.us/Statutes/TITLE27/27-19/27-19-6.HTM" TargetMode="External"/><Relationship Id="rId2" Type="http://schemas.openxmlformats.org/officeDocument/2006/relationships/hyperlink" Target="https://www.clasp.org/publications/fact-sheet/evidence-builds-access-medicaid-helps-people-work/" TargetMode="External"/><Relationship Id="rId16" Type="http://schemas.openxmlformats.org/officeDocument/2006/relationships/hyperlink" Target="https://nashp.org/independent-analysis-finds-montana-has-saved-millions-by-moving-hospital-rate-negotiations-to-reference-based-pricing/" TargetMode="External"/><Relationship Id="rId20" Type="http://schemas.openxmlformats.org/officeDocument/2006/relationships/hyperlink" Target="https://ctmirror.org/2022/03/16/lawmakers-weigh-anti-competitive-practices-in-health-care/" TargetMode="External"/><Relationship Id="rId29" Type="http://schemas.openxmlformats.org/officeDocument/2006/relationships/hyperlink" Target="https://www.cthealth.org/wp-content/uploads/2020/11/CT-Health-Closing-the-Affordability-Gap.pdf" TargetMode="External"/><Relationship Id="rId1" Type="http://schemas.openxmlformats.org/officeDocument/2006/relationships/hyperlink" Target="https://www.mainecahc.org/wp-content/uploads/2023/05/Polling-Views-of-Maine-Voters-On-Health-Care-Affordability.pdf" TargetMode="External"/><Relationship Id="rId6" Type="http://schemas.openxmlformats.org/officeDocument/2006/relationships/hyperlink" Target="https://academic.oup.com/qje/article-abstract/134/1/51/5090426?login=false" TargetMode="External"/><Relationship Id="rId11" Type="http://schemas.openxmlformats.org/officeDocument/2006/relationships/hyperlink" Target="https://ccf.georgetown.edu/2023/05/01/expedited-cms-approvals-in-washington-and-oregon-can-further-minimize-coverage-disruptions-aid-unwinding/" TargetMode="External"/><Relationship Id="rId24" Type="http://schemas.openxmlformats.org/officeDocument/2006/relationships/hyperlink" Target="https://www.maine.gov/pfr/insurance/sites/maine.gov.pfr.insurance/files/inline-files/ga_indiv_and_sm_grp_policy_option_report.pdf" TargetMode="External"/><Relationship Id="rId5" Type="http://schemas.openxmlformats.org/officeDocument/2006/relationships/hyperlink" Target="https://www.mainecahc.org/wp-content/uploads/2023/05/Polling-Views-of-Maine-Voters-On-Health-Care-Affordability.pdf" TargetMode="External"/><Relationship Id="rId15" Type="http://schemas.openxmlformats.org/officeDocument/2006/relationships/hyperlink" Target="https://www.mtcounties.org/risk-sharing/health-care-trust/reference-based-pricing/" TargetMode="External"/><Relationship Id="rId23" Type="http://schemas.openxmlformats.org/officeDocument/2006/relationships/hyperlink" Target="https://familiesusa.org/resources/misalignment-between-premiums-and-coverage-generosity-imposes-heavy-cost-burdens-on-consumers-in-health-insurance-exchanges/" TargetMode="External"/><Relationship Id="rId28" Type="http://schemas.openxmlformats.org/officeDocument/2006/relationships/hyperlink" Target="https://familiesusa.org/wpcontent/uploads/2019/09/NCCI_State-Coverage-Policy-Options-Report_Report.pdf" TargetMode="External"/><Relationship Id="rId10" Type="http://schemas.openxmlformats.org/officeDocument/2006/relationships/hyperlink" Target="http://www.rand.org/topics/childrens-access-to-health-care.html" TargetMode="External"/><Relationship Id="rId19" Type="http://schemas.openxmlformats.org/officeDocument/2006/relationships/hyperlink" Target="https://nashp.org/nashp-model-prohibiting-anticompetitive-contract-terms-application-to-employer-plans/" TargetMode="External"/><Relationship Id="rId31" Type="http://schemas.openxmlformats.org/officeDocument/2006/relationships/hyperlink" Target="https://www.commonwealthfund.org/blog/2023/states-move-forward-public-option-programs-insurance-carriers" TargetMode="External"/><Relationship Id="rId4" Type="http://schemas.openxmlformats.org/officeDocument/2006/relationships/hyperlink" Target="https://mhdo.maine.gov/tableau/prescriptionReports.html" TargetMode="External"/><Relationship Id="rId9" Type="http://schemas.openxmlformats.org/officeDocument/2006/relationships/hyperlink" Target="http://www.medscape.com/viewarticle/854656" TargetMode="External"/><Relationship Id="rId14" Type="http://schemas.openxmlformats.org/officeDocument/2006/relationships/hyperlink" Target="https://mhdo.maine.gov/tableau/prescriptionReports.html" TargetMode="External"/><Relationship Id="rId22" Type="http://schemas.openxmlformats.org/officeDocument/2006/relationships/hyperlink" Target="https://familiesusa.org/wp-content/uploads/2021/04/COV-2021-31_Gold-and-Silver-Report_4-9-21-002.final_.pdf" TargetMode="External"/><Relationship Id="rId27" Type="http://schemas.openxmlformats.org/officeDocument/2006/relationships/hyperlink" Target="https://www.healthcarevaluehub.org/advocate-resources/publications/health-insurance-rate-review" TargetMode="External"/><Relationship Id="rId30" Type="http://schemas.openxmlformats.org/officeDocument/2006/relationships/hyperlink" Target="https://familiesusa.org/resources/how-states-can-use-new-revenue-to-lower-consumer-costs-for-individual-health-insurance/"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consumerhealth@mainecahc.org" TargetMode="External"/><Relationship Id="rId2" Type="http://schemas.openxmlformats.org/officeDocument/2006/relationships/hyperlink" Target="http://www.mainecahc.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b0628e9-cf43-4b2d-b723-e18c3e644dfe">
      <Terms xmlns="http://schemas.microsoft.com/office/infopath/2007/PartnerControls"/>
    </lcf76f155ced4ddcb4097134ff3c332f>
    <IconOverlay xmlns="http://schemas.microsoft.com/sharepoint/v4" xsi:nil="true"/>
    <_ip_UnifiedCompliancePolicyProperties xmlns="http://schemas.microsoft.com/sharepoint/v3" xsi:nil="true"/>
    <TaxCatchAll xmlns="49e4676a-85d5-4400-8790-b51fef049578" xsi:nil="true"/>
    <_DCDateCreated xmlns="http://schemas.microsoft.com/sharepoint/v3/fields" xsi:nil="true"/>
    <_dlc_DocId xmlns="49e4676a-85d5-4400-8790-b51fef049578">76T3K4KFZW6X-1005989432-131088</_dlc_DocId>
    <_dlc_DocIdUrl xmlns="49e4676a-85d5-4400-8790-b51fef049578">
      <Url>https://mainecahc1.sharepoint.com/sites/Shared/_layouts/15/DocIdRedir.aspx?ID=76T3K4KFZW6X-1005989432-131088</Url>
      <Description>76T3K4KFZW6X-1005989432-131088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CD8D8C42CEC6479A67ACDFEE5481F0" ma:contentTypeVersion="24" ma:contentTypeDescription="Create a new document." ma:contentTypeScope="" ma:versionID="14ab487243b0eb3e1788b6408a66c228">
  <xsd:schema xmlns:xsd="http://www.w3.org/2001/XMLSchema" xmlns:xs="http://www.w3.org/2001/XMLSchema" xmlns:p="http://schemas.microsoft.com/office/2006/metadata/properties" xmlns:ns1="http://schemas.microsoft.com/sharepoint/v3" xmlns:ns2="49e4676a-85d5-4400-8790-b51fef049578" xmlns:ns3="http://schemas.microsoft.com/sharepoint/v3/fields" xmlns:ns4="http://schemas.microsoft.com/sharepoint/v4" xmlns:ns5="ab0628e9-cf43-4b2d-b723-e18c3e644dfe" targetNamespace="http://schemas.microsoft.com/office/2006/metadata/properties" ma:root="true" ma:fieldsID="11bd8812add89f31ca8eb43945391908" ns1:_="" ns2:_="" ns3:_="" ns4:_="" ns5:_="">
    <xsd:import namespace="http://schemas.microsoft.com/sharepoint/v3"/>
    <xsd:import namespace="49e4676a-85d5-4400-8790-b51fef049578"/>
    <xsd:import namespace="http://schemas.microsoft.com/sharepoint/v3/fields"/>
    <xsd:import namespace="http://schemas.microsoft.com/sharepoint/v4"/>
    <xsd:import namespace="ab0628e9-cf43-4b2d-b723-e18c3e644df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2:LastSharedByUser" minOccurs="0"/>
                <xsd:element ref="ns2:LastSharedByTime" minOccurs="0"/>
                <xsd:element ref="ns3:_DCDateCreated" minOccurs="0"/>
                <xsd:element ref="ns4:IconOverlay" minOccurs="0"/>
                <xsd:element ref="ns5:MediaServiceMetadata" minOccurs="0"/>
                <xsd:element ref="ns5:MediaServiceFastMetadata" minOccurs="0"/>
                <xsd:element ref="ns5:MediaServiceAutoTags" minOccurs="0"/>
                <xsd:element ref="ns5:MediaServiceDateTaken" minOccurs="0"/>
                <xsd:element ref="ns5:MediaServiceLocation" minOccurs="0"/>
                <xsd:element ref="ns5:MediaServiceOCR" minOccurs="0"/>
                <xsd:element ref="ns5:MediaServiceEventHashCode" minOccurs="0"/>
                <xsd:element ref="ns5:MediaServiceGenerationTime" minOccurs="0"/>
                <xsd:element ref="ns5:MediaServiceAutoKeyPoints" minOccurs="0"/>
                <xsd:element ref="ns5:MediaServiceKeyPoints" minOccurs="0"/>
                <xsd:element ref="ns1:_ip_UnifiedCompliancePolicyProperties" minOccurs="0"/>
                <xsd:element ref="ns1:_ip_UnifiedCompliancePolicyUIAction" minOccurs="0"/>
                <xsd:element ref="ns5:MediaLengthInSeconds" minOccurs="0"/>
                <xsd:element ref="ns5:lcf76f155ced4ddcb4097134ff3c332f" minOccurs="0"/>
                <xsd:element ref="ns2:TaxCatchAll" minOccurs="0"/>
                <xsd:element ref="ns5:MediaServiceSearchPropertie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Unified Compliance Policy Properties" ma:hidden="true" ma:internalName="_ip_UnifiedCompliancePolicyProperties">
      <xsd:simpleType>
        <xsd:restriction base="dms:Note"/>
      </xsd:simpleType>
    </xsd:element>
    <xsd:element name="_ip_UnifiedCompliancePolicyUIAction" ma:index="2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e4676a-85d5-4400-8790-b51fef04957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element name="TaxCatchAll" ma:index="32" nillable="true" ma:displayName="Taxonomy Catch All Column" ma:hidden="true" ma:list="{14f76249-fb97-4c76-8b19-9cadbb4cd770}" ma:internalName="TaxCatchAll" ma:showField="CatchAllData" ma:web="49e4676a-85d5-4400-8790-b51fef04957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5" nillable="true" ma:displayName="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0628e9-cf43-4b2d-b723-e18c3e644dfe" elementFormDefault="qualified">
    <xsd:import namespace="http://schemas.microsoft.com/office/2006/documentManagement/types"/>
    <xsd:import namespace="http://schemas.microsoft.com/office/infopath/2007/PartnerControls"/>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AutoTags" ma:index="19" nillable="true" ma:displayName="MediaServiceAutoTags" ma:description="" ma:internalName="MediaServiceAutoTags" ma:readOnly="true">
      <xsd:simpleType>
        <xsd:restriction base="dms:Text"/>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Location" ma:index="21" nillable="true" ma:displayName="MediaServiceLocation" ma:description="" ma:internalName="MediaServiceLocation" ma:readOnly="true">
      <xsd:simpleType>
        <xsd:restriction base="dms:Text"/>
      </xsd:simpleType>
    </xsd:element>
    <xsd:element name="MediaServiceOCR" ma:index="22" nillable="true" ma:displayName="MediaServiceOCR" ma:internalName="MediaServiceOCR" ma:readOnly="true">
      <xsd:simpleType>
        <xsd:restriction base="dms:Note">
          <xsd:maxLength value="255"/>
        </xsd:restriction>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LengthInSeconds" ma:index="29" nillable="true" ma:displayName="Length (seconds)" ma:internalName="MediaLengthInSeconds" ma:readOnly="true">
      <xsd:simpleType>
        <xsd:restriction base="dms:Unknow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28325fa4-95aa-481a-893e-f1f257492647" ma:termSetId="09814cd3-568e-fe90-9814-8d621ff8fb84" ma:anchorId="fba54fb3-c3e1-fe81-a776-ca4b69148c4d" ma:open="true" ma:isKeyword="false">
      <xsd:complexType>
        <xsd:sequence>
          <xsd:element ref="pc:Terms" minOccurs="0" maxOccurs="1"/>
        </xsd:sequence>
      </xsd:complexType>
    </xsd:element>
    <xsd:element name="MediaServiceSearchProperties" ma:index="33" nillable="true" ma:displayName="MediaServiceSearchProperties" ma:hidden="true" ma:internalName="MediaServiceSearchProperties" ma:readOnly="true">
      <xsd:simpleType>
        <xsd:restriction base="dms:Note"/>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D8B51F2-4CEB-457E-B718-82D410E99191}">
  <ds:schemaRefs>
    <ds:schemaRef ds:uri="http://schemas.microsoft.com/office/2006/metadata/properties"/>
    <ds:schemaRef ds:uri="http://schemas.microsoft.com/office/infopath/2007/PartnerControls"/>
    <ds:schemaRef ds:uri="http://schemas.microsoft.com/sharepoint/v3"/>
    <ds:schemaRef ds:uri="ab0628e9-cf43-4b2d-b723-e18c3e644dfe"/>
    <ds:schemaRef ds:uri="http://schemas.microsoft.com/sharepoint/v4"/>
    <ds:schemaRef ds:uri="49e4676a-85d5-4400-8790-b51fef049578"/>
    <ds:schemaRef ds:uri="http://schemas.microsoft.com/sharepoint/v3/fields"/>
  </ds:schemaRefs>
</ds:datastoreItem>
</file>

<file path=customXml/itemProps2.xml><?xml version="1.0" encoding="utf-8"?>
<ds:datastoreItem xmlns:ds="http://schemas.openxmlformats.org/officeDocument/2006/customXml" ds:itemID="{A167E01E-1547-4330-B794-F992A33254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e4676a-85d5-4400-8790-b51fef049578"/>
    <ds:schemaRef ds:uri="http://schemas.microsoft.com/sharepoint/v3/fields"/>
    <ds:schemaRef ds:uri="http://schemas.microsoft.com/sharepoint/v4"/>
    <ds:schemaRef ds:uri="ab0628e9-cf43-4b2d-b723-e18c3e644d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70652D-94FE-4A6E-A016-2B581E462535}">
  <ds:schemaRefs>
    <ds:schemaRef ds:uri="http://schemas.microsoft.com/sharepoint/v3/contenttype/forms"/>
  </ds:schemaRefs>
</ds:datastoreItem>
</file>

<file path=customXml/itemProps4.xml><?xml version="1.0" encoding="utf-8"?>
<ds:datastoreItem xmlns:ds="http://schemas.openxmlformats.org/officeDocument/2006/customXml" ds:itemID="{44533238-2D1D-634B-8EA2-61ABF2013DB1}">
  <ds:schemaRefs>
    <ds:schemaRef ds:uri="http://schemas.openxmlformats.org/officeDocument/2006/bibliography"/>
  </ds:schemaRefs>
</ds:datastoreItem>
</file>

<file path=customXml/itemProps5.xml><?xml version="1.0" encoding="utf-8"?>
<ds:datastoreItem xmlns:ds="http://schemas.openxmlformats.org/officeDocument/2006/customXml" ds:itemID="{CC0A7258-A6A1-4EDF-A7C9-063357AF91F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5479</Words>
  <Characters>30468</Characters>
  <Application>Microsoft Office Word</Application>
  <DocSecurity>0</DocSecurity>
  <Lines>564</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35752</CharactersWithSpaces>
  <SharedDoc>false</SharedDoc>
  <HLinks>
    <vt:vector size="204" baseType="variant">
      <vt:variant>
        <vt:i4>8257645</vt:i4>
      </vt:variant>
      <vt:variant>
        <vt:i4>27</vt:i4>
      </vt:variant>
      <vt:variant>
        <vt:i4>0</vt:i4>
      </vt:variant>
      <vt:variant>
        <vt:i4>5</vt:i4>
      </vt:variant>
      <vt:variant>
        <vt:lpwstr>https://drive.google.com/file/d/1FHGriZRgQu7iiM0X5otSTNGL61-Ch69Q/view</vt:lpwstr>
      </vt:variant>
      <vt:variant>
        <vt:lpwstr/>
      </vt:variant>
      <vt:variant>
        <vt:i4>7929906</vt:i4>
      </vt:variant>
      <vt:variant>
        <vt:i4>24</vt:i4>
      </vt:variant>
      <vt:variant>
        <vt:i4>0</vt:i4>
      </vt:variant>
      <vt:variant>
        <vt:i4>5</vt:i4>
      </vt:variant>
      <vt:variant>
        <vt:lpwstr>https://chirblog.org/colorado-announces-premium-rate-reduction-targets-public-option-plans/</vt:lpwstr>
      </vt:variant>
      <vt:variant>
        <vt:lpwstr/>
      </vt:variant>
      <vt:variant>
        <vt:i4>131173</vt:i4>
      </vt:variant>
      <vt:variant>
        <vt:i4>21</vt:i4>
      </vt:variant>
      <vt:variant>
        <vt:i4>0</vt:i4>
      </vt:variant>
      <vt:variant>
        <vt:i4>5</vt:i4>
      </vt:variant>
      <vt:variant>
        <vt:lpwstr>http://chrome-extension//efaidnbmnnnibpcajpcglclefindmkaj/https://www.commonwealthfund.org/sites/default/files/2022-02/Hwang_health_care_cost_growth_strategy_06_review.pdf</vt:lpwstr>
      </vt:variant>
      <vt:variant>
        <vt:lpwstr/>
      </vt:variant>
      <vt:variant>
        <vt:i4>3604521</vt:i4>
      </vt:variant>
      <vt:variant>
        <vt:i4>18</vt:i4>
      </vt:variant>
      <vt:variant>
        <vt:i4>0</vt:i4>
      </vt:variant>
      <vt:variant>
        <vt:i4>5</vt:i4>
      </vt:variant>
      <vt:variant>
        <vt:lpwstr>https://www.healthcarevaluehub.org/advocate-resources/publications/health-insurance-rate-review</vt:lpwstr>
      </vt:variant>
      <vt:variant>
        <vt:lpwstr/>
      </vt:variant>
      <vt:variant>
        <vt:i4>19</vt:i4>
      </vt:variant>
      <vt:variant>
        <vt:i4>15</vt:i4>
      </vt:variant>
      <vt:variant>
        <vt:i4>0</vt:i4>
      </vt:variant>
      <vt:variant>
        <vt:i4>5</vt:i4>
      </vt:variant>
      <vt:variant>
        <vt:lpwstr>https://nashp.org/insurance-rate-review-as-a-hospital-cost-containment-tool-rhode-islands-experience/</vt:lpwstr>
      </vt:variant>
      <vt:variant>
        <vt:lpwstr/>
      </vt:variant>
      <vt:variant>
        <vt:i4>1703966</vt:i4>
      </vt:variant>
      <vt:variant>
        <vt:i4>12</vt:i4>
      </vt:variant>
      <vt:variant>
        <vt:i4>0</vt:i4>
      </vt:variant>
      <vt:variant>
        <vt:i4>5</vt:i4>
      </vt:variant>
      <vt:variant>
        <vt:lpwstr>http://webserver.rilin.state.ri.us/Statutes/TITLE27/27-19/27-19-6.HTM</vt:lpwstr>
      </vt:variant>
      <vt:variant>
        <vt:lpwstr/>
      </vt:variant>
      <vt:variant>
        <vt:i4>1769496</vt:i4>
      </vt:variant>
      <vt:variant>
        <vt:i4>9</vt:i4>
      </vt:variant>
      <vt:variant>
        <vt:i4>0</vt:i4>
      </vt:variant>
      <vt:variant>
        <vt:i4>5</vt:i4>
      </vt:variant>
      <vt:variant>
        <vt:lpwstr>https://www.nashp.org/wp-content/uploads/2021/04/MT-Eval-Analysis-Final-4-2-2021.pdf</vt:lpwstr>
      </vt:variant>
      <vt:variant>
        <vt:lpwstr/>
      </vt:variant>
      <vt:variant>
        <vt:i4>262236</vt:i4>
      </vt:variant>
      <vt:variant>
        <vt:i4>6</vt:i4>
      </vt:variant>
      <vt:variant>
        <vt:i4>0</vt:i4>
      </vt:variant>
      <vt:variant>
        <vt:i4>5</vt:i4>
      </vt:variant>
      <vt:variant>
        <vt:lpwstr>https://nashp.org/independent-analysis-finds-montana-has-saved-millions-by-moving-hospital-rate-negotiations-to-reference-based-pricing/</vt:lpwstr>
      </vt:variant>
      <vt:variant>
        <vt:lpwstr/>
      </vt:variant>
      <vt:variant>
        <vt:i4>7929961</vt:i4>
      </vt:variant>
      <vt:variant>
        <vt:i4>3</vt:i4>
      </vt:variant>
      <vt:variant>
        <vt:i4>0</vt:i4>
      </vt:variant>
      <vt:variant>
        <vt:i4>5</vt:i4>
      </vt:variant>
      <vt:variant>
        <vt:lpwstr>https://www.mtcounties.org/risk-sharing/health-care-trust/reference-based-pricing/</vt:lpwstr>
      </vt:variant>
      <vt:variant>
        <vt:lpwstr/>
      </vt:variant>
      <vt:variant>
        <vt:i4>7012461</vt:i4>
      </vt:variant>
      <vt:variant>
        <vt:i4>0</vt:i4>
      </vt:variant>
      <vt:variant>
        <vt:i4>0</vt:i4>
      </vt:variant>
      <vt:variant>
        <vt:i4>5</vt:i4>
      </vt:variant>
      <vt:variant>
        <vt:lpwstr>https://www.mainecahc.org/wp-content/uploads/2023/05/Polling-Views-of-Maine-Voters-On-Health-Care-Affordability.pdf</vt:lpwstr>
      </vt:variant>
      <vt:variant>
        <vt:lpwstr/>
      </vt:variant>
      <vt:variant>
        <vt:i4>65619</vt:i4>
      </vt:variant>
      <vt:variant>
        <vt:i4>66</vt:i4>
      </vt:variant>
      <vt:variant>
        <vt:i4>0</vt:i4>
      </vt:variant>
      <vt:variant>
        <vt:i4>5</vt:i4>
      </vt:variant>
      <vt:variant>
        <vt:lpwstr>https://www.commonwealthfund.org/blog/2023/states-move-forward-public-option-programs-insurance-carriers</vt:lpwstr>
      </vt:variant>
      <vt:variant>
        <vt:lpwstr/>
      </vt:variant>
      <vt:variant>
        <vt:i4>5242881</vt:i4>
      </vt:variant>
      <vt:variant>
        <vt:i4>63</vt:i4>
      </vt:variant>
      <vt:variant>
        <vt:i4>0</vt:i4>
      </vt:variant>
      <vt:variant>
        <vt:i4>5</vt:i4>
      </vt:variant>
      <vt:variant>
        <vt:lpwstr>https://familiesusa.org/resources/how-states-can-use-new-revenue-to-lower-consumer-costs-for-individual-health-insurance/</vt:lpwstr>
      </vt:variant>
      <vt:variant>
        <vt:lpwstr/>
      </vt:variant>
      <vt:variant>
        <vt:i4>3342434</vt:i4>
      </vt:variant>
      <vt:variant>
        <vt:i4>60</vt:i4>
      </vt:variant>
      <vt:variant>
        <vt:i4>0</vt:i4>
      </vt:variant>
      <vt:variant>
        <vt:i4>5</vt:i4>
      </vt:variant>
      <vt:variant>
        <vt:lpwstr>https://www.cthealth.org/wp-content/uploads/2020/11/CT-Health-Closing-the-Affordability-Gap.pdf</vt:lpwstr>
      </vt:variant>
      <vt:variant>
        <vt:lpwstr/>
      </vt:variant>
      <vt:variant>
        <vt:i4>262166</vt:i4>
      </vt:variant>
      <vt:variant>
        <vt:i4>57</vt:i4>
      </vt:variant>
      <vt:variant>
        <vt:i4>0</vt:i4>
      </vt:variant>
      <vt:variant>
        <vt:i4>5</vt:i4>
      </vt:variant>
      <vt:variant>
        <vt:lpwstr>https://familiesusa.org/wpcontent/uploads/2019/09/NCCI_State-Coverage-Policy-Options-Report_Report.pdf</vt:lpwstr>
      </vt:variant>
      <vt:variant>
        <vt:lpwstr/>
      </vt:variant>
      <vt:variant>
        <vt:i4>3604521</vt:i4>
      </vt:variant>
      <vt:variant>
        <vt:i4>54</vt:i4>
      </vt:variant>
      <vt:variant>
        <vt:i4>0</vt:i4>
      </vt:variant>
      <vt:variant>
        <vt:i4>5</vt:i4>
      </vt:variant>
      <vt:variant>
        <vt:lpwstr>https://www.healthcarevaluehub.org/advocate-resources/publications/health-insurance-rate-review</vt:lpwstr>
      </vt:variant>
      <vt:variant>
        <vt:lpwstr/>
      </vt:variant>
      <vt:variant>
        <vt:i4>2687014</vt:i4>
      </vt:variant>
      <vt:variant>
        <vt:i4>51</vt:i4>
      </vt:variant>
      <vt:variant>
        <vt:i4>0</vt:i4>
      </vt:variant>
      <vt:variant>
        <vt:i4>5</vt:i4>
      </vt:variant>
      <vt:variant>
        <vt:lpwstr>https://familiesusa.org/resources/misalignment-between-premiums-and-coverage-generosity-imposes-heavy-cost-burdens-on-consumers-in-health-insurance-exchanges/</vt:lpwstr>
      </vt:variant>
      <vt:variant>
        <vt:lpwstr/>
      </vt:variant>
      <vt:variant>
        <vt:i4>4980791</vt:i4>
      </vt:variant>
      <vt:variant>
        <vt:i4>48</vt:i4>
      </vt:variant>
      <vt:variant>
        <vt:i4>0</vt:i4>
      </vt:variant>
      <vt:variant>
        <vt:i4>5</vt:i4>
      </vt:variant>
      <vt:variant>
        <vt:lpwstr>https://familiesusa.org/wp-content/uploads/2021/04/COV-2021-31_Gold-and-Silver-Report_4-9-21-002.final_.pdf</vt:lpwstr>
      </vt:variant>
      <vt:variant>
        <vt:lpwstr/>
      </vt:variant>
      <vt:variant>
        <vt:i4>6029344</vt:i4>
      </vt:variant>
      <vt:variant>
        <vt:i4>45</vt:i4>
      </vt:variant>
      <vt:variant>
        <vt:i4>0</vt:i4>
      </vt:variant>
      <vt:variant>
        <vt:i4>5</vt:i4>
      </vt:variant>
      <vt:variant>
        <vt:lpwstr>https://www.milbank.org/wp-content/uploads/2021/09/Mitigating-the-Price-Impacts-of-Health-Care-Provider-Consolidation_2.pdf</vt:lpwstr>
      </vt:variant>
      <vt:variant>
        <vt:lpwstr/>
      </vt:variant>
      <vt:variant>
        <vt:i4>7733351</vt:i4>
      </vt:variant>
      <vt:variant>
        <vt:i4>42</vt:i4>
      </vt:variant>
      <vt:variant>
        <vt:i4>0</vt:i4>
      </vt:variant>
      <vt:variant>
        <vt:i4>5</vt:i4>
      </vt:variant>
      <vt:variant>
        <vt:lpwstr>https://ctmirror.org/2022/03/16/lawmakers-weigh-anti-competitive-practices-in-health-care/</vt:lpwstr>
      </vt:variant>
      <vt:variant>
        <vt:lpwstr/>
      </vt:variant>
      <vt:variant>
        <vt:i4>7209081</vt:i4>
      </vt:variant>
      <vt:variant>
        <vt:i4>39</vt:i4>
      </vt:variant>
      <vt:variant>
        <vt:i4>0</vt:i4>
      </vt:variant>
      <vt:variant>
        <vt:i4>5</vt:i4>
      </vt:variant>
      <vt:variant>
        <vt:lpwstr>https://nashp.org/nashp-model-prohibiting-anticompetitive-contract-terms-application-to-employer-plans/</vt:lpwstr>
      </vt:variant>
      <vt:variant>
        <vt:lpwstr>:~:text=NASHP's%20model%20legislation%20prohibiting%20anticompetitive%20contract%20terms%20prevents%20health%20care,contract%20that%20contains%20anticompetitive%20terms</vt:lpwstr>
      </vt:variant>
      <vt:variant>
        <vt:i4>196696</vt:i4>
      </vt:variant>
      <vt:variant>
        <vt:i4>36</vt:i4>
      </vt:variant>
      <vt:variant>
        <vt:i4>0</vt:i4>
      </vt:variant>
      <vt:variant>
        <vt:i4>5</vt:i4>
      </vt:variant>
      <vt:variant>
        <vt:lpwstr>https://www.ncsl.org/health/prices-policies-how-states-are-tackling-health-care-costs</vt:lpwstr>
      </vt:variant>
      <vt:variant>
        <vt:lpwstr/>
      </vt:variant>
      <vt:variant>
        <vt:i4>6422629</vt:i4>
      </vt:variant>
      <vt:variant>
        <vt:i4>33</vt:i4>
      </vt:variant>
      <vt:variant>
        <vt:i4>0</vt:i4>
      </vt:variant>
      <vt:variant>
        <vt:i4>5</vt:i4>
      </vt:variant>
      <vt:variant>
        <vt:lpwstr>https://mhdo.maine.gov/tableau/prescriptionReports.html</vt:lpwstr>
      </vt:variant>
      <vt:variant>
        <vt:lpwstr/>
      </vt:variant>
      <vt:variant>
        <vt:i4>3473504</vt:i4>
      </vt:variant>
      <vt:variant>
        <vt:i4>30</vt:i4>
      </vt:variant>
      <vt:variant>
        <vt:i4>0</vt:i4>
      </vt:variant>
      <vt:variant>
        <vt:i4>5</vt:i4>
      </vt:variant>
      <vt:variant>
        <vt:lpwstr>https://www.cms.gov/files/document/fact-sheet-medicare-drug-price-negotiation-program-initial-guidance.pdf</vt:lpwstr>
      </vt:variant>
      <vt:variant>
        <vt:lpwstr/>
      </vt:variant>
      <vt:variant>
        <vt:i4>2621509</vt:i4>
      </vt:variant>
      <vt:variant>
        <vt:i4>27</vt:i4>
      </vt:variant>
      <vt:variant>
        <vt:i4>0</vt:i4>
      </vt:variant>
      <vt:variant>
        <vt:i4>5</vt:i4>
      </vt:variant>
      <vt:variant>
        <vt:lpwstr>https://advocacy.consumerreports.org/press_release/consumer-reports-calls-on-cfpb-to-enact-stronger-consumer-protections-for-medical-credit-cards/</vt:lpwstr>
      </vt:variant>
      <vt:variant>
        <vt:lpwstr/>
      </vt:variant>
      <vt:variant>
        <vt:i4>3407908</vt:i4>
      </vt:variant>
      <vt:variant>
        <vt:i4>24</vt:i4>
      </vt:variant>
      <vt:variant>
        <vt:i4>0</vt:i4>
      </vt:variant>
      <vt:variant>
        <vt:i4>5</vt:i4>
      </vt:variant>
      <vt:variant>
        <vt:lpwstr>https://ccf.georgetown.edu/2023/05/01/expedited-cms-approvals-in-washington-and-oregon-can-further-minimize-coverage-disruptions-aid-unwinding/</vt:lpwstr>
      </vt:variant>
      <vt:variant>
        <vt:lpwstr/>
      </vt:variant>
      <vt:variant>
        <vt:i4>2818086</vt:i4>
      </vt:variant>
      <vt:variant>
        <vt:i4>21</vt:i4>
      </vt:variant>
      <vt:variant>
        <vt:i4>0</vt:i4>
      </vt:variant>
      <vt:variant>
        <vt:i4>5</vt:i4>
      </vt:variant>
      <vt:variant>
        <vt:lpwstr>http://www.rand.org/topics/childrens-access-to-health-care.html</vt:lpwstr>
      </vt:variant>
      <vt:variant>
        <vt:lpwstr/>
      </vt:variant>
      <vt:variant>
        <vt:i4>2883701</vt:i4>
      </vt:variant>
      <vt:variant>
        <vt:i4>18</vt:i4>
      </vt:variant>
      <vt:variant>
        <vt:i4>0</vt:i4>
      </vt:variant>
      <vt:variant>
        <vt:i4>5</vt:i4>
      </vt:variant>
      <vt:variant>
        <vt:lpwstr>http://www.medscape.com/viewarticle/854656</vt:lpwstr>
      </vt:variant>
      <vt:variant>
        <vt:lpwstr/>
      </vt:variant>
      <vt:variant>
        <vt:i4>7012461</vt:i4>
      </vt:variant>
      <vt:variant>
        <vt:i4>15</vt:i4>
      </vt:variant>
      <vt:variant>
        <vt:i4>0</vt:i4>
      </vt:variant>
      <vt:variant>
        <vt:i4>5</vt:i4>
      </vt:variant>
      <vt:variant>
        <vt:lpwstr>https://www.mainecahc.org/wp-content/uploads/2023/05/Polling-Views-of-Maine-Voters-On-Health-Care-Affordability.pdf</vt:lpwstr>
      </vt:variant>
      <vt:variant>
        <vt:lpwstr/>
      </vt:variant>
      <vt:variant>
        <vt:i4>7012461</vt:i4>
      </vt:variant>
      <vt:variant>
        <vt:i4>12</vt:i4>
      </vt:variant>
      <vt:variant>
        <vt:i4>0</vt:i4>
      </vt:variant>
      <vt:variant>
        <vt:i4>5</vt:i4>
      </vt:variant>
      <vt:variant>
        <vt:lpwstr>https://www.mainecahc.org/wp-content/uploads/2023/05/Polling-Views-of-Maine-Voters-On-Health-Care-Affordability.pdf</vt:lpwstr>
      </vt:variant>
      <vt:variant>
        <vt:lpwstr/>
      </vt:variant>
      <vt:variant>
        <vt:i4>6422629</vt:i4>
      </vt:variant>
      <vt:variant>
        <vt:i4>9</vt:i4>
      </vt:variant>
      <vt:variant>
        <vt:i4>0</vt:i4>
      </vt:variant>
      <vt:variant>
        <vt:i4>5</vt:i4>
      </vt:variant>
      <vt:variant>
        <vt:lpwstr>https://mhdo.maine.gov/tableau/prescriptionReports.html</vt:lpwstr>
      </vt:variant>
      <vt:variant>
        <vt:lpwstr/>
      </vt:variant>
      <vt:variant>
        <vt:i4>7012461</vt:i4>
      </vt:variant>
      <vt:variant>
        <vt:i4>6</vt:i4>
      </vt:variant>
      <vt:variant>
        <vt:i4>0</vt:i4>
      </vt:variant>
      <vt:variant>
        <vt:i4>5</vt:i4>
      </vt:variant>
      <vt:variant>
        <vt:lpwstr>https://www.mainecahc.org/wp-content/uploads/2023/05/Polling-Views-of-Maine-Voters-On-Health-Care-Affordability.pdf</vt:lpwstr>
      </vt:variant>
      <vt:variant>
        <vt:lpwstr/>
      </vt:variant>
      <vt:variant>
        <vt:i4>7012461</vt:i4>
      </vt:variant>
      <vt:variant>
        <vt:i4>3</vt:i4>
      </vt:variant>
      <vt:variant>
        <vt:i4>0</vt:i4>
      </vt:variant>
      <vt:variant>
        <vt:i4>5</vt:i4>
      </vt:variant>
      <vt:variant>
        <vt:lpwstr>https://www.mainecahc.org/wp-content/uploads/2023/05/Polling-Views-of-Maine-Voters-On-Health-Care-Affordability.pdf</vt:lpwstr>
      </vt:variant>
      <vt:variant>
        <vt:lpwstr/>
      </vt:variant>
      <vt:variant>
        <vt:i4>6684719</vt:i4>
      </vt:variant>
      <vt:variant>
        <vt:i4>0</vt:i4>
      </vt:variant>
      <vt:variant>
        <vt:i4>0</vt:i4>
      </vt:variant>
      <vt:variant>
        <vt:i4>5</vt:i4>
      </vt:variant>
      <vt:variant>
        <vt:lpwstr>https://www.ncbi.nlm.nih.gov/pmc/articles/PMC1361081/</vt:lpwstr>
      </vt:variant>
      <vt:variant>
        <vt:lpwstr>:~:text=The%20Personal%20Responsibility%20and%20Work,Work%20Opportunity%20Reconciliation%20Act%20of</vt:lpwstr>
      </vt:variant>
      <vt:variant>
        <vt:i4>4194312</vt:i4>
      </vt:variant>
      <vt:variant>
        <vt:i4>0</vt:i4>
      </vt:variant>
      <vt:variant>
        <vt:i4>0</vt:i4>
      </vt:variant>
      <vt:variant>
        <vt:i4>5</vt:i4>
      </vt:variant>
      <vt:variant>
        <vt:lpwstr>http://www.mainecahc.org/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Ende</dc:creator>
  <cp:keywords/>
  <dc:description/>
  <cp:lastModifiedBy>Kate Ende</cp:lastModifiedBy>
  <cp:revision>5</cp:revision>
  <cp:lastPrinted>2023-09-13T01:17:00Z</cp:lastPrinted>
  <dcterms:created xsi:type="dcterms:W3CDTF">2023-10-09T21:03:00Z</dcterms:created>
  <dcterms:modified xsi:type="dcterms:W3CDTF">2023-10-09T21:21:00Z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0x010100AECD8D8C42CEC6479A67ACDFEE5481F0</vt:lpwstr>
  </property>
  <property fmtid="{D5CDD505-2E9C-101B-9397-08002B2CF9AE}" pid="3" name="_dlc_DocIdItemGuid">
    <vt:lpwstr>37a394db-3ef2-44f7-883a-db485d27eb0d</vt:lpwstr>
  </property>
  <property fmtid="{D5CDD505-2E9C-101B-9397-08002B2CF9AE}" pid="4" name="MediaServiceImageTags">
    <vt:lpwstr/>
  </property>
</Properties>
</file>