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F6" w:rsidRDefault="00B306F6" w:rsidP="00B306F6">
      <w:pPr>
        <w:pStyle w:val="NoSpacing"/>
      </w:pPr>
    </w:p>
    <w:p w:rsidR="005B5738" w:rsidRPr="00B20E69" w:rsidRDefault="003672F5" w:rsidP="00B306F6">
      <w:pPr>
        <w:pStyle w:val="NoSpacing"/>
      </w:pPr>
      <w:r w:rsidRPr="00B20E69">
        <w:t>Customer Disclosure Statement</w:t>
      </w:r>
      <w:r w:rsidRPr="00B20E69">
        <w:br/>
      </w:r>
    </w:p>
    <w:tbl>
      <w:tblPr>
        <w:tblStyle w:val="TableGrid"/>
        <w:tblW w:w="0" w:type="auto"/>
        <w:tblLook w:val="04A0" w:firstRow="1" w:lastRow="0" w:firstColumn="1" w:lastColumn="0" w:noHBand="0" w:noVBand="1"/>
      </w:tblPr>
      <w:tblGrid>
        <w:gridCol w:w="3708"/>
        <w:gridCol w:w="6930"/>
      </w:tblGrid>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Type of plan</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Variable Rate (Indexed)</w:t>
            </w:r>
          </w:p>
        </w:tc>
      </w:tr>
      <w:tr w:rsidR="003672F5" w:rsidTr="00B306F6">
        <w:trPr>
          <w:trHeight w:val="576"/>
        </w:trPr>
        <w:tc>
          <w:tcPr>
            <w:tcW w:w="3708" w:type="dxa"/>
            <w:vAlign w:val="bottom"/>
          </w:tcPr>
          <w:p w:rsidR="00B306F6" w:rsidRDefault="00B306F6" w:rsidP="00B306F6">
            <w:pPr>
              <w:pStyle w:val="NoSpacing"/>
              <w:rPr>
                <w:rFonts w:asciiTheme="minorHAnsi" w:eastAsia="Times New Roman" w:hAnsiTheme="minorHAnsi" w:cstheme="minorHAnsi"/>
                <w:sz w:val="22"/>
                <w:szCs w:val="22"/>
              </w:rPr>
            </w:pPr>
          </w:p>
          <w:p w:rsidR="003672F5" w:rsidRPr="000F3173" w:rsidRDefault="003672F5" w:rsidP="00B306F6">
            <w:pPr>
              <w:pStyle w:val="NoSpacing"/>
              <w:rPr>
                <w:rFonts w:asciiTheme="minorHAnsi" w:eastAsia="Times New Roman" w:hAnsiTheme="minorHAnsi" w:cstheme="minorHAnsi"/>
                <w:sz w:val="22"/>
                <w:szCs w:val="22"/>
              </w:rPr>
            </w:pPr>
            <w:r w:rsidRPr="00987B01">
              <w:rPr>
                <w:rFonts w:asciiTheme="minorHAnsi" w:eastAsia="Times New Roman" w:hAnsiTheme="minorHAnsi" w:cstheme="minorHAnsi"/>
                <w:sz w:val="22"/>
                <w:szCs w:val="22"/>
              </w:rPr>
              <w:t>Highest and lowest price</w:t>
            </w:r>
            <w:r>
              <w:rPr>
                <w:rFonts w:asciiTheme="minorHAnsi" w:eastAsia="Times New Roman" w:hAnsiTheme="minorHAnsi" w:cstheme="minorHAnsi"/>
                <w:sz w:val="22"/>
                <w:szCs w:val="22"/>
              </w:rPr>
              <w:t xml:space="preserve"> over prior 12 months</w:t>
            </w:r>
          </w:p>
        </w:tc>
        <w:tc>
          <w:tcPr>
            <w:tcW w:w="6930" w:type="dxa"/>
            <w:vAlign w:val="bottom"/>
          </w:tcPr>
          <w:p w:rsidR="003672F5" w:rsidRPr="000F3173" w:rsidRDefault="003672F5" w:rsidP="00B306F6">
            <w:pPr>
              <w:pStyle w:val="NoSpacing"/>
              <w:rPr>
                <w:rFonts w:asciiTheme="minorHAnsi" w:eastAsia="Times New Roman" w:hAnsiTheme="minorHAnsi" w:cstheme="minorHAnsi"/>
                <w:sz w:val="22"/>
                <w:szCs w:val="22"/>
              </w:rPr>
            </w:pP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xml:space="preserve">Formula </w:t>
            </w:r>
            <w:r>
              <w:rPr>
                <w:rFonts w:asciiTheme="minorHAnsi" w:eastAsia="Times New Roman" w:hAnsiTheme="minorHAnsi" w:cstheme="minorHAnsi"/>
                <w:sz w:val="22"/>
                <w:szCs w:val="22"/>
              </w:rPr>
              <w:t>or Market I</w:t>
            </w:r>
            <w:r w:rsidRPr="00BC3A32">
              <w:rPr>
                <w:rFonts w:asciiTheme="minorHAnsi" w:eastAsia="Times New Roman" w:hAnsiTheme="minorHAnsi" w:cstheme="minorHAnsi"/>
                <w:sz w:val="22"/>
                <w:szCs w:val="22"/>
              </w:rPr>
              <w:t xml:space="preserve">ndex </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Length of plan</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Frequency of rate change</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Limit on price level</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Late payment fee (if any)</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Deposit requirement (if any)</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Early termination fee</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N</w:t>
            </w:r>
            <w:r w:rsidR="00847D1F">
              <w:rPr>
                <w:rFonts w:asciiTheme="minorHAnsi" w:eastAsia="Times New Roman" w:hAnsiTheme="minorHAnsi" w:cstheme="minorHAnsi"/>
                <w:sz w:val="22"/>
                <w:szCs w:val="22"/>
              </w:rPr>
              <w:t>/</w:t>
            </w:r>
            <w:r w:rsidRPr="00BC3A32">
              <w:rPr>
                <w:rFonts w:asciiTheme="minorHAnsi" w:eastAsia="Times New Roman" w:hAnsiTheme="minorHAnsi" w:cstheme="minorHAnsi"/>
                <w:sz w:val="22"/>
                <w:szCs w:val="22"/>
              </w:rPr>
              <w:t>A</w:t>
            </w:r>
          </w:p>
        </w:tc>
      </w:tr>
      <w:tr w:rsidR="003672F5" w:rsidTr="00B306F6">
        <w:trPr>
          <w:trHeight w:val="576"/>
        </w:trPr>
        <w:tc>
          <w:tcPr>
            <w:tcW w:w="3708"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Other features</w:t>
            </w:r>
            <w:r w:rsidR="00D624D2">
              <w:rPr>
                <w:rFonts w:asciiTheme="minorHAnsi" w:eastAsia="Times New Roman" w:hAnsiTheme="minorHAnsi" w:cstheme="minorHAnsi"/>
                <w:sz w:val="22"/>
                <w:szCs w:val="22"/>
              </w:rPr>
              <w:t xml:space="preserve"> (if any)</w:t>
            </w:r>
          </w:p>
        </w:tc>
        <w:tc>
          <w:tcPr>
            <w:tcW w:w="6930" w:type="dxa"/>
            <w:vAlign w:val="bottom"/>
          </w:tcPr>
          <w:p w:rsidR="003672F5" w:rsidRPr="00BC3A32" w:rsidRDefault="003672F5" w:rsidP="00B306F6">
            <w:pPr>
              <w:pStyle w:val="NoSpacing"/>
              <w:rPr>
                <w:rFonts w:asciiTheme="minorHAnsi" w:eastAsia="Times New Roman" w:hAnsiTheme="minorHAnsi" w:cstheme="minorHAnsi"/>
                <w:sz w:val="22"/>
                <w:szCs w:val="22"/>
              </w:rPr>
            </w:pPr>
            <w:r w:rsidRPr="00BC3A32">
              <w:rPr>
                <w:rFonts w:asciiTheme="minorHAnsi" w:eastAsia="Times New Roman" w:hAnsiTheme="minorHAnsi" w:cstheme="minorHAnsi"/>
                <w:sz w:val="22"/>
                <w:szCs w:val="22"/>
              </w:rPr>
              <w:t> </w:t>
            </w:r>
          </w:p>
        </w:tc>
      </w:tr>
      <w:tr w:rsidR="003672F5" w:rsidTr="00B306F6">
        <w:trPr>
          <w:trHeight w:val="576"/>
        </w:trPr>
        <w:tc>
          <w:tcPr>
            <w:tcW w:w="3708" w:type="dxa"/>
          </w:tcPr>
          <w:p w:rsidR="00B306F6" w:rsidRDefault="00B306F6" w:rsidP="00B306F6">
            <w:pPr>
              <w:pStyle w:val="NoSpacing"/>
              <w:rPr>
                <w:rFonts w:asciiTheme="minorHAnsi" w:hAnsiTheme="minorHAnsi" w:cstheme="minorHAnsi"/>
                <w:sz w:val="22"/>
                <w:szCs w:val="22"/>
              </w:rPr>
            </w:pPr>
          </w:p>
          <w:p w:rsidR="003672F5" w:rsidRPr="006B6C0D" w:rsidRDefault="003672F5" w:rsidP="00B306F6">
            <w:pPr>
              <w:pStyle w:val="NoSpacing"/>
              <w:rPr>
                <w:rFonts w:asciiTheme="minorHAnsi" w:hAnsiTheme="minorHAnsi" w:cstheme="minorHAnsi"/>
                <w:sz w:val="22"/>
                <w:szCs w:val="22"/>
              </w:rPr>
            </w:pPr>
            <w:r w:rsidRPr="006B6C0D">
              <w:rPr>
                <w:rFonts w:asciiTheme="minorHAnsi" w:hAnsiTheme="minorHAnsi" w:cstheme="minorHAnsi"/>
                <w:sz w:val="22"/>
                <w:szCs w:val="22"/>
              </w:rPr>
              <w:t>Right of Rescission:</w:t>
            </w:r>
          </w:p>
        </w:tc>
        <w:tc>
          <w:tcPr>
            <w:tcW w:w="6930" w:type="dxa"/>
          </w:tcPr>
          <w:p w:rsidR="00B306F6" w:rsidRDefault="00B306F6" w:rsidP="00B306F6">
            <w:pPr>
              <w:pStyle w:val="NoSpacing"/>
              <w:rPr>
                <w:rFonts w:asciiTheme="minorHAnsi" w:hAnsiTheme="minorHAnsi" w:cstheme="minorHAnsi"/>
                <w:sz w:val="22"/>
                <w:szCs w:val="22"/>
              </w:rPr>
            </w:pPr>
          </w:p>
          <w:p w:rsidR="003672F5" w:rsidRPr="006B6C0D" w:rsidRDefault="003672F5" w:rsidP="00B306F6">
            <w:pPr>
              <w:pStyle w:val="NoSpacing"/>
              <w:rPr>
                <w:rFonts w:asciiTheme="minorHAnsi" w:hAnsiTheme="minorHAnsi" w:cstheme="minorHAnsi"/>
                <w:sz w:val="22"/>
                <w:szCs w:val="22"/>
              </w:rPr>
            </w:pPr>
            <w:r w:rsidRPr="006B6C0D">
              <w:rPr>
                <w:rFonts w:asciiTheme="minorHAnsi" w:hAnsiTheme="minorHAnsi" w:cstheme="minorHAnsi"/>
                <w:sz w:val="22"/>
                <w:szCs w:val="22"/>
              </w:rPr>
              <w:t>After you sign up, you will have X days to reverse or "rescind" your decision. You can rescind orally by calling CEP NAME at CEP TELNUMBER; by email to CEP EMAIL or in writing by mail to CEP MAILINGADDRESS</w:t>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p>
        </w:tc>
      </w:tr>
      <w:tr w:rsidR="003672F5" w:rsidTr="00B306F6">
        <w:trPr>
          <w:trHeight w:val="576"/>
        </w:trPr>
        <w:tc>
          <w:tcPr>
            <w:tcW w:w="3708" w:type="dxa"/>
          </w:tcPr>
          <w:p w:rsidR="00B306F6" w:rsidRDefault="00B306F6" w:rsidP="00B306F6">
            <w:pPr>
              <w:pStyle w:val="NoSpacing"/>
              <w:rPr>
                <w:rFonts w:asciiTheme="minorHAnsi" w:hAnsiTheme="minorHAnsi" w:cstheme="minorHAnsi"/>
                <w:sz w:val="22"/>
                <w:szCs w:val="22"/>
              </w:rPr>
            </w:pPr>
          </w:p>
          <w:p w:rsidR="003672F5" w:rsidRPr="006B6C0D" w:rsidRDefault="003672F5" w:rsidP="00B306F6">
            <w:pPr>
              <w:pStyle w:val="NoSpacing"/>
              <w:rPr>
                <w:rFonts w:asciiTheme="minorHAnsi" w:hAnsiTheme="minorHAnsi" w:cstheme="minorHAnsi"/>
                <w:sz w:val="22"/>
                <w:szCs w:val="22"/>
              </w:rPr>
            </w:pPr>
            <w:r w:rsidRPr="006B6C0D">
              <w:rPr>
                <w:rFonts w:asciiTheme="minorHAnsi" w:hAnsiTheme="minorHAnsi" w:cstheme="minorHAnsi"/>
                <w:sz w:val="22"/>
                <w:szCs w:val="22"/>
              </w:rPr>
              <w:t>Toll-free number:</w:t>
            </w:r>
          </w:p>
        </w:tc>
        <w:tc>
          <w:tcPr>
            <w:tcW w:w="6930" w:type="dxa"/>
          </w:tcPr>
          <w:p w:rsidR="00B306F6" w:rsidRDefault="00B306F6" w:rsidP="00B306F6">
            <w:pPr>
              <w:pStyle w:val="NoSpacing"/>
              <w:rPr>
                <w:rFonts w:asciiTheme="minorHAnsi" w:hAnsiTheme="minorHAnsi" w:cstheme="minorHAnsi"/>
                <w:sz w:val="22"/>
                <w:szCs w:val="22"/>
              </w:rPr>
            </w:pPr>
          </w:p>
          <w:p w:rsidR="003672F5" w:rsidRPr="006B6C0D" w:rsidRDefault="003672F5" w:rsidP="00B306F6">
            <w:pPr>
              <w:pStyle w:val="NoSpacing"/>
              <w:rPr>
                <w:rFonts w:asciiTheme="minorHAnsi" w:hAnsiTheme="minorHAnsi" w:cstheme="minorHAnsi"/>
                <w:sz w:val="22"/>
                <w:szCs w:val="22"/>
              </w:rPr>
            </w:pPr>
            <w:r w:rsidRPr="006B6C0D">
              <w:rPr>
                <w:rFonts w:asciiTheme="minorHAnsi" w:hAnsiTheme="minorHAnsi" w:cstheme="minorHAnsi"/>
                <w:sz w:val="22"/>
                <w:szCs w:val="22"/>
              </w:rPr>
              <w:t>You can contact CEP NAME with questions or complaints CEP BUSINESS HOURS at CEP TELNUMBER.</w:t>
            </w:r>
          </w:p>
        </w:tc>
      </w:tr>
      <w:tr w:rsidR="003672F5" w:rsidTr="00B306F6">
        <w:trPr>
          <w:trHeight w:val="576"/>
        </w:trPr>
        <w:tc>
          <w:tcPr>
            <w:tcW w:w="3708" w:type="dxa"/>
          </w:tcPr>
          <w:p w:rsidR="00B306F6" w:rsidRDefault="00B306F6" w:rsidP="00B306F6">
            <w:pPr>
              <w:pStyle w:val="NoSpacing"/>
              <w:rPr>
                <w:rFonts w:asciiTheme="minorHAnsi" w:hAnsiTheme="minorHAnsi" w:cstheme="minorHAnsi"/>
                <w:bCs/>
                <w:sz w:val="22"/>
                <w:szCs w:val="22"/>
              </w:rPr>
            </w:pPr>
          </w:p>
          <w:p w:rsidR="003672F5" w:rsidRDefault="003672F5" w:rsidP="00B306F6">
            <w:pPr>
              <w:pStyle w:val="NoSpacing"/>
            </w:pPr>
            <w:r w:rsidRPr="006B6C0D">
              <w:rPr>
                <w:rFonts w:asciiTheme="minorHAnsi" w:hAnsiTheme="minorHAnsi" w:cstheme="minorHAnsi"/>
                <w:bCs/>
                <w:sz w:val="22"/>
                <w:szCs w:val="22"/>
              </w:rPr>
              <w:t>PUC Consumer Assistance:</w:t>
            </w:r>
          </w:p>
        </w:tc>
        <w:tc>
          <w:tcPr>
            <w:tcW w:w="6930" w:type="dxa"/>
          </w:tcPr>
          <w:p w:rsidR="00B306F6" w:rsidRDefault="00B306F6" w:rsidP="00B306F6">
            <w:pPr>
              <w:pStyle w:val="NoSpacing"/>
            </w:pPr>
          </w:p>
          <w:p w:rsidR="003672F5" w:rsidRPr="00B306F6" w:rsidRDefault="003672F5" w:rsidP="00B306F6">
            <w:pPr>
              <w:pStyle w:val="NoSpacing"/>
            </w:pPr>
            <w:r w:rsidRPr="006B6C0D">
              <w:t xml:space="preserve">You may also contact the State of Maine Public Utilities Commission </w:t>
            </w:r>
            <w:r>
              <w:t xml:space="preserve">(PUC) </w:t>
            </w:r>
            <w:r w:rsidRPr="006B6C0D">
              <w:t xml:space="preserve">with complaints or questions at </w:t>
            </w:r>
            <w:r w:rsidR="003E7B6D">
              <w:rPr>
                <w:rFonts w:asciiTheme="minorHAnsi" w:hAnsiTheme="minorHAnsi" w:cstheme="minorHAnsi"/>
                <w:sz w:val="22"/>
                <w:szCs w:val="22"/>
              </w:rPr>
              <w:t>1-800-452-4699.</w:t>
            </w:r>
            <w:bookmarkStart w:id="0" w:name="_GoBack"/>
            <w:bookmarkEnd w:id="0"/>
          </w:p>
        </w:tc>
      </w:tr>
      <w:tr w:rsidR="003672F5" w:rsidTr="00B306F6">
        <w:trPr>
          <w:trHeight w:val="576"/>
        </w:trPr>
        <w:tc>
          <w:tcPr>
            <w:tcW w:w="3708" w:type="dxa"/>
          </w:tcPr>
          <w:p w:rsidR="00B306F6" w:rsidRDefault="00B306F6" w:rsidP="00B306F6">
            <w:pPr>
              <w:pStyle w:val="NoSpacing"/>
              <w:rPr>
                <w:rFonts w:asciiTheme="minorHAnsi" w:hAnsiTheme="minorHAnsi" w:cstheme="minorHAnsi"/>
                <w:bCs/>
                <w:sz w:val="22"/>
                <w:szCs w:val="22"/>
              </w:rPr>
            </w:pPr>
          </w:p>
          <w:p w:rsidR="003672F5" w:rsidRDefault="003672F5" w:rsidP="00B306F6">
            <w:pPr>
              <w:pStyle w:val="NoSpacing"/>
              <w:rPr>
                <w:rFonts w:asciiTheme="minorHAnsi" w:hAnsiTheme="minorHAnsi" w:cstheme="minorHAnsi"/>
                <w:bCs/>
                <w:sz w:val="22"/>
                <w:szCs w:val="22"/>
              </w:rPr>
            </w:pPr>
            <w:r>
              <w:rPr>
                <w:rFonts w:asciiTheme="minorHAnsi" w:hAnsiTheme="minorHAnsi" w:cstheme="minorHAnsi"/>
                <w:bCs/>
                <w:sz w:val="22"/>
                <w:szCs w:val="22"/>
              </w:rPr>
              <w:t>Cancellation of Service:</w:t>
            </w:r>
          </w:p>
          <w:p w:rsidR="003672F5" w:rsidRDefault="003672F5" w:rsidP="00B306F6">
            <w:pPr>
              <w:pStyle w:val="NoSpacing"/>
            </w:pPr>
          </w:p>
        </w:tc>
        <w:tc>
          <w:tcPr>
            <w:tcW w:w="6930" w:type="dxa"/>
          </w:tcPr>
          <w:p w:rsidR="00B306F6" w:rsidRDefault="00B306F6" w:rsidP="00B306F6">
            <w:pPr>
              <w:pStyle w:val="NoSpacing"/>
              <w:rPr>
                <w:rFonts w:asciiTheme="minorHAnsi" w:hAnsiTheme="minorHAnsi" w:cstheme="minorHAnsi"/>
                <w:sz w:val="22"/>
                <w:szCs w:val="22"/>
              </w:rPr>
            </w:pPr>
          </w:p>
          <w:p w:rsidR="003672F5" w:rsidRPr="006B6C0D" w:rsidRDefault="003672F5" w:rsidP="00B306F6">
            <w:pPr>
              <w:pStyle w:val="NoSpacing"/>
              <w:rPr>
                <w:rFonts w:asciiTheme="minorHAnsi" w:hAnsiTheme="minorHAnsi" w:cstheme="minorHAnsi"/>
                <w:sz w:val="22"/>
                <w:szCs w:val="22"/>
              </w:rPr>
            </w:pPr>
            <w:r>
              <w:rPr>
                <w:rFonts w:asciiTheme="minorHAnsi" w:hAnsiTheme="minorHAnsi" w:cstheme="minorHAnsi"/>
                <w:sz w:val="22"/>
                <w:szCs w:val="22"/>
              </w:rPr>
              <w:t xml:space="preserve">You have the right to cancel your service with CEP NAME at any time.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7776DD" w:rsidRPr="007776DD">
              <w:rPr>
                <w:rFonts w:asciiTheme="minorHAnsi" w:hAnsiTheme="minorHAnsi" w:cstheme="minorHAnsi"/>
                <w:sz w:val="22"/>
                <w:szCs w:val="22"/>
              </w:rPr>
              <w:t xml:space="preserve">Current standard offer prices and other information about switching your supplier may be found at </w:t>
            </w:r>
            <w:hyperlink r:id="rId7" w:history="1">
              <w:r w:rsidR="007776DD" w:rsidRPr="008837D5">
                <w:rPr>
                  <w:rStyle w:val="Hyperlink"/>
                  <w:rFonts w:asciiTheme="minorHAnsi" w:hAnsiTheme="minorHAnsi" w:cstheme="minorHAnsi"/>
                  <w:sz w:val="22"/>
                  <w:szCs w:val="22"/>
                </w:rPr>
                <w:t>www.maine.gov/mpuc/electricity/cep</w:t>
              </w:r>
            </w:hyperlink>
            <w:r w:rsidR="007776DD">
              <w:rPr>
                <w:rFonts w:asciiTheme="minorHAnsi" w:hAnsiTheme="minorHAnsi" w:cstheme="minorHAnsi"/>
                <w:sz w:val="22"/>
                <w:szCs w:val="22"/>
              </w:rPr>
              <w:t xml:space="preserve">. </w:t>
            </w:r>
          </w:p>
        </w:tc>
      </w:tr>
    </w:tbl>
    <w:p w:rsidR="003672F5" w:rsidRDefault="003672F5" w:rsidP="00B306F6">
      <w:pPr>
        <w:pStyle w:val="NoSpacing"/>
      </w:pPr>
    </w:p>
    <w:p w:rsidR="003672F5" w:rsidRPr="0020263B" w:rsidRDefault="003672F5" w:rsidP="00B306F6">
      <w:pPr>
        <w:pStyle w:val="NoSpacing"/>
        <w:rPr>
          <w:sz w:val="22"/>
          <w:szCs w:val="22"/>
        </w:rPr>
      </w:pPr>
      <w:r w:rsidRPr="0020263B">
        <w:rPr>
          <w:sz w:val="22"/>
          <w:szCs w:val="22"/>
        </w:rPr>
        <w:t>You will receive a contract renewal notice prior to the end of the term of this contract. You will have the option to reject renewal and instead receive standard offer service or service from another supplier.</w:t>
      </w:r>
    </w:p>
    <w:p w:rsidR="003672F5" w:rsidRPr="003672F5" w:rsidRDefault="003672F5" w:rsidP="00B306F6">
      <w:pPr>
        <w:pStyle w:val="NoSpacing"/>
      </w:pPr>
    </w:p>
    <w:sectPr w:rsidR="003672F5" w:rsidRPr="003672F5" w:rsidSect="00B306F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F6" w:rsidRDefault="00B306F6" w:rsidP="00B306F6">
      <w:r>
        <w:separator/>
      </w:r>
    </w:p>
  </w:endnote>
  <w:endnote w:type="continuationSeparator" w:id="0">
    <w:p w:rsidR="00B306F6" w:rsidRDefault="00B306F6" w:rsidP="00B3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F6" w:rsidRDefault="00B306F6" w:rsidP="00B306F6">
      <w:r>
        <w:separator/>
      </w:r>
    </w:p>
  </w:footnote>
  <w:footnote w:type="continuationSeparator" w:id="0">
    <w:p w:rsidR="00B306F6" w:rsidRDefault="00B306F6" w:rsidP="00B3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F6" w:rsidRPr="00304B8B" w:rsidRDefault="00D44FFC">
    <w:pPr>
      <w:pStyle w:val="Header"/>
      <w:rPr>
        <w:b/>
      </w:rPr>
    </w:pPr>
    <w:r>
      <w:rPr>
        <w:b/>
      </w:rPr>
      <w:t xml:space="preserve">TERMS OF SERVICE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103C91"/>
    <w:rsid w:val="00105773"/>
    <w:rsid w:val="001660BB"/>
    <w:rsid w:val="001C766D"/>
    <w:rsid w:val="001E2ACF"/>
    <w:rsid w:val="0020263B"/>
    <w:rsid w:val="002615B6"/>
    <w:rsid w:val="00304B8B"/>
    <w:rsid w:val="00325DED"/>
    <w:rsid w:val="0036490E"/>
    <w:rsid w:val="003672F5"/>
    <w:rsid w:val="003E7B6D"/>
    <w:rsid w:val="005B5738"/>
    <w:rsid w:val="006A5695"/>
    <w:rsid w:val="007776DD"/>
    <w:rsid w:val="00847D1F"/>
    <w:rsid w:val="00A46BD6"/>
    <w:rsid w:val="00AB633F"/>
    <w:rsid w:val="00B20E69"/>
    <w:rsid w:val="00B306F6"/>
    <w:rsid w:val="00BD7E0F"/>
    <w:rsid w:val="00C35B51"/>
    <w:rsid w:val="00D42DAC"/>
    <w:rsid w:val="00D44FFC"/>
    <w:rsid w:val="00D624D2"/>
    <w:rsid w:val="00D9246B"/>
    <w:rsid w:val="00E7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46B"/>
    <w:rPr>
      <w:rFonts w:ascii="Tahoma" w:hAnsi="Tahoma" w:cs="Tahoma"/>
      <w:sz w:val="16"/>
      <w:szCs w:val="16"/>
    </w:rPr>
  </w:style>
  <w:style w:type="character" w:customStyle="1" w:styleId="BalloonTextChar">
    <w:name w:val="Balloon Text Char"/>
    <w:basedOn w:val="DefaultParagraphFont"/>
    <w:link w:val="BalloonText"/>
    <w:uiPriority w:val="99"/>
    <w:semiHidden/>
    <w:rsid w:val="00D9246B"/>
    <w:rPr>
      <w:rFonts w:ascii="Tahoma" w:hAnsi="Tahoma" w:cs="Tahoma"/>
      <w:sz w:val="16"/>
      <w:szCs w:val="16"/>
    </w:rPr>
  </w:style>
  <w:style w:type="paragraph" w:styleId="Header">
    <w:name w:val="header"/>
    <w:basedOn w:val="Normal"/>
    <w:link w:val="HeaderChar"/>
    <w:uiPriority w:val="99"/>
    <w:unhideWhenUsed/>
    <w:rsid w:val="00B306F6"/>
    <w:pPr>
      <w:tabs>
        <w:tab w:val="center" w:pos="4680"/>
        <w:tab w:val="right" w:pos="9360"/>
      </w:tabs>
    </w:pPr>
  </w:style>
  <w:style w:type="character" w:customStyle="1" w:styleId="HeaderChar">
    <w:name w:val="Header Char"/>
    <w:basedOn w:val="DefaultParagraphFont"/>
    <w:link w:val="Header"/>
    <w:uiPriority w:val="99"/>
    <w:rsid w:val="00B306F6"/>
  </w:style>
  <w:style w:type="paragraph" w:styleId="Footer">
    <w:name w:val="footer"/>
    <w:basedOn w:val="Normal"/>
    <w:link w:val="FooterChar"/>
    <w:uiPriority w:val="99"/>
    <w:unhideWhenUsed/>
    <w:rsid w:val="00B306F6"/>
    <w:pPr>
      <w:tabs>
        <w:tab w:val="center" w:pos="4680"/>
        <w:tab w:val="right" w:pos="9360"/>
      </w:tabs>
    </w:pPr>
  </w:style>
  <w:style w:type="character" w:customStyle="1" w:styleId="FooterChar">
    <w:name w:val="Footer Char"/>
    <w:basedOn w:val="DefaultParagraphFont"/>
    <w:link w:val="Footer"/>
    <w:uiPriority w:val="99"/>
    <w:rsid w:val="00B306F6"/>
  </w:style>
  <w:style w:type="character" w:styleId="Hyperlink">
    <w:name w:val="Hyperlink"/>
    <w:basedOn w:val="DefaultParagraphFont"/>
    <w:uiPriority w:val="99"/>
    <w:unhideWhenUsed/>
    <w:rsid w:val="00A46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46B"/>
    <w:rPr>
      <w:rFonts w:ascii="Tahoma" w:hAnsi="Tahoma" w:cs="Tahoma"/>
      <w:sz w:val="16"/>
      <w:szCs w:val="16"/>
    </w:rPr>
  </w:style>
  <w:style w:type="character" w:customStyle="1" w:styleId="BalloonTextChar">
    <w:name w:val="Balloon Text Char"/>
    <w:basedOn w:val="DefaultParagraphFont"/>
    <w:link w:val="BalloonText"/>
    <w:uiPriority w:val="99"/>
    <w:semiHidden/>
    <w:rsid w:val="00D9246B"/>
    <w:rPr>
      <w:rFonts w:ascii="Tahoma" w:hAnsi="Tahoma" w:cs="Tahoma"/>
      <w:sz w:val="16"/>
      <w:szCs w:val="16"/>
    </w:rPr>
  </w:style>
  <w:style w:type="paragraph" w:styleId="Header">
    <w:name w:val="header"/>
    <w:basedOn w:val="Normal"/>
    <w:link w:val="HeaderChar"/>
    <w:uiPriority w:val="99"/>
    <w:unhideWhenUsed/>
    <w:rsid w:val="00B306F6"/>
    <w:pPr>
      <w:tabs>
        <w:tab w:val="center" w:pos="4680"/>
        <w:tab w:val="right" w:pos="9360"/>
      </w:tabs>
    </w:pPr>
  </w:style>
  <w:style w:type="character" w:customStyle="1" w:styleId="HeaderChar">
    <w:name w:val="Header Char"/>
    <w:basedOn w:val="DefaultParagraphFont"/>
    <w:link w:val="Header"/>
    <w:uiPriority w:val="99"/>
    <w:rsid w:val="00B306F6"/>
  </w:style>
  <w:style w:type="paragraph" w:styleId="Footer">
    <w:name w:val="footer"/>
    <w:basedOn w:val="Normal"/>
    <w:link w:val="FooterChar"/>
    <w:uiPriority w:val="99"/>
    <w:unhideWhenUsed/>
    <w:rsid w:val="00B306F6"/>
    <w:pPr>
      <w:tabs>
        <w:tab w:val="center" w:pos="4680"/>
        <w:tab w:val="right" w:pos="9360"/>
      </w:tabs>
    </w:pPr>
  </w:style>
  <w:style w:type="character" w:customStyle="1" w:styleId="FooterChar">
    <w:name w:val="Footer Char"/>
    <w:basedOn w:val="DefaultParagraphFont"/>
    <w:link w:val="Footer"/>
    <w:uiPriority w:val="99"/>
    <w:rsid w:val="00B306F6"/>
  </w:style>
  <w:style w:type="character" w:styleId="Hyperlink">
    <w:name w:val="Hyperlink"/>
    <w:basedOn w:val="DefaultParagraphFont"/>
    <w:uiPriority w:val="99"/>
    <w:unhideWhenUsed/>
    <w:rsid w:val="00A46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mpuc/electricity/ce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17</cp:revision>
  <dcterms:created xsi:type="dcterms:W3CDTF">2015-03-26T18:38:00Z</dcterms:created>
  <dcterms:modified xsi:type="dcterms:W3CDTF">2015-04-22T17:57:00Z</dcterms:modified>
</cp:coreProperties>
</file>