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D4" w:rsidRPr="00057BD3" w:rsidRDefault="00D958D4" w:rsidP="00D958D4">
      <w:pPr>
        <w:spacing w:after="280"/>
        <w:jc w:val="center"/>
        <w:rPr>
          <w:b/>
          <w:sz w:val="36"/>
          <w:szCs w:val="36"/>
        </w:rPr>
      </w:pPr>
      <w:bookmarkStart w:id="0" w:name="_Toc324075702"/>
      <w:r w:rsidRPr="00057BD3">
        <w:rPr>
          <w:b/>
          <w:sz w:val="36"/>
          <w:szCs w:val="36"/>
        </w:rPr>
        <w:t xml:space="preserve">How </w:t>
      </w:r>
      <w:r w:rsidR="00570CE4" w:rsidRPr="00057BD3">
        <w:rPr>
          <w:b/>
          <w:sz w:val="36"/>
          <w:szCs w:val="36"/>
        </w:rPr>
        <w:t>to</w:t>
      </w:r>
      <w:r w:rsidRPr="00057BD3">
        <w:rPr>
          <w:b/>
          <w:sz w:val="36"/>
          <w:szCs w:val="36"/>
        </w:rPr>
        <w:t xml:space="preserve"> Training</w:t>
      </w:r>
    </w:p>
    <w:p w:rsidR="00D958D4" w:rsidRPr="00057BD3" w:rsidRDefault="00570CE4" w:rsidP="00D958D4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EE546A" w:rsidRPr="00D958D4" w:rsidRDefault="00E82FB4" w:rsidP="00EE546A">
      <w:pPr>
        <w:spacing w:after="2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Annual Report</w:t>
      </w:r>
      <w:r w:rsidR="0030544F">
        <w:rPr>
          <w:b/>
          <w:sz w:val="36"/>
          <w:szCs w:val="36"/>
        </w:rPr>
        <w:t xml:space="preserve"> </w:t>
      </w:r>
      <w:r w:rsidR="00E53650">
        <w:rPr>
          <w:b/>
          <w:sz w:val="36"/>
          <w:szCs w:val="36"/>
        </w:rPr>
        <w:t>Search</w:t>
      </w:r>
    </w:p>
    <w:bookmarkEnd w:id="0"/>
    <w:p w:rsidR="00EE546A" w:rsidRPr="0047198E" w:rsidRDefault="008B1637" w:rsidP="00EE546A">
      <w:pPr>
        <w:rPr>
          <w:b/>
        </w:rPr>
      </w:pPr>
      <w:r>
        <w:t xml:space="preserve">The </w:t>
      </w:r>
      <w:r w:rsidR="0039648E">
        <w:t>E</w:t>
      </w:r>
      <w:r>
        <w:t xml:space="preserve">xternal </w:t>
      </w:r>
      <w:r w:rsidR="0039648E">
        <w:t>R</w:t>
      </w:r>
      <w:r>
        <w:t xml:space="preserve">egistered </w:t>
      </w:r>
      <w:r w:rsidR="0039648E">
        <w:t>U</w:t>
      </w:r>
      <w:r>
        <w:t>ser</w:t>
      </w:r>
      <w:r w:rsidR="0039648E">
        <w:t>, I</w:t>
      </w:r>
      <w:r>
        <w:t xml:space="preserve">nternal </w:t>
      </w:r>
      <w:r w:rsidR="0039648E">
        <w:t>S</w:t>
      </w:r>
      <w:r w:rsidR="006D3B21">
        <w:t>taff</w:t>
      </w:r>
      <w:r>
        <w:t xml:space="preserve"> </w:t>
      </w:r>
      <w:r w:rsidR="00BE482A">
        <w:t xml:space="preserve">or </w:t>
      </w:r>
      <w:r w:rsidR="0039648E">
        <w:t>P</w:t>
      </w:r>
      <w:r w:rsidR="00BE482A">
        <w:t xml:space="preserve">ublic </w:t>
      </w:r>
      <w:r w:rsidR="0039648E">
        <w:t>U</w:t>
      </w:r>
      <w:r w:rsidR="00BE482A">
        <w:t>ser can search</w:t>
      </w:r>
      <w:r w:rsidR="008901D3">
        <w:t xml:space="preserve"> and view</w:t>
      </w:r>
      <w:r w:rsidR="00BE482A">
        <w:t xml:space="preserve"> the annual report</w:t>
      </w:r>
      <w:r w:rsidR="00BD4C93">
        <w:t>s</w:t>
      </w:r>
      <w:r w:rsidR="005E577C" w:rsidRPr="00503CEE">
        <w:t>.</w:t>
      </w:r>
      <w:r w:rsidR="00A145CD">
        <w:t xml:space="preserve"> </w:t>
      </w:r>
      <w:r w:rsidR="00EE546A" w:rsidRPr="001670CF">
        <w:t xml:space="preserve">To access the </w:t>
      </w:r>
      <w:r w:rsidR="00415629">
        <w:t>Annual Report</w:t>
      </w:r>
      <w:r w:rsidR="00AA7E17">
        <w:t xml:space="preserve"> </w:t>
      </w:r>
      <w:r w:rsidR="00924F1D">
        <w:t>search</w:t>
      </w:r>
      <w:r w:rsidR="00AA7E17">
        <w:t xml:space="preserve"> screen,</w:t>
      </w:r>
      <w:r w:rsidR="00EE546A" w:rsidRPr="001670CF">
        <w:t xml:space="preserve"> </w:t>
      </w:r>
      <w:r w:rsidR="00EE546A">
        <w:t xml:space="preserve">authorized </w:t>
      </w:r>
      <w:r w:rsidR="00EE546A" w:rsidRPr="001670CF">
        <w:t xml:space="preserve">users </w:t>
      </w:r>
      <w:r w:rsidR="00EE546A">
        <w:t>should</w:t>
      </w:r>
      <w:r w:rsidR="00EE546A" w:rsidRPr="001670CF">
        <w:t xml:space="preserve"> click on the </w:t>
      </w:r>
      <w:r w:rsidR="00B20362">
        <w:t>Annual Report File</w:t>
      </w:r>
      <w:r w:rsidR="00EE546A" w:rsidRPr="001670CF">
        <w:t xml:space="preserve"> link on th</w:t>
      </w:r>
      <w:r w:rsidR="00AF2941">
        <w:t>e Access Menu</w:t>
      </w:r>
      <w:r w:rsidR="0039648E">
        <w:t>. P</w:t>
      </w:r>
      <w:r w:rsidR="00AF2941">
        <w:t xml:space="preserve">ublic </w:t>
      </w:r>
      <w:r w:rsidR="0039648E">
        <w:t>U</w:t>
      </w:r>
      <w:r w:rsidR="00AF2941">
        <w:t>sers click on View Annual Report</w:t>
      </w:r>
      <w:r w:rsidR="0039648E">
        <w:t>s</w:t>
      </w:r>
      <w:r w:rsidR="00AF2941">
        <w:t xml:space="preserve"> on the </w:t>
      </w:r>
      <w:r w:rsidR="0039648E">
        <w:t>H</w:t>
      </w:r>
      <w:r w:rsidR="00AF2941">
        <w:t xml:space="preserve">ome </w:t>
      </w:r>
      <w:r w:rsidR="0039648E">
        <w:t>P</w:t>
      </w:r>
      <w:r w:rsidR="00AF2941">
        <w:t>age.</w:t>
      </w:r>
    </w:p>
    <w:p w:rsidR="00EE546A" w:rsidRDefault="00EE546A" w:rsidP="00EE546A"/>
    <w:p w:rsidR="00EE546A" w:rsidRDefault="00EE546A" w:rsidP="00EE546A">
      <w:r>
        <w:t xml:space="preserve">The user should enter the </w:t>
      </w:r>
      <w:r w:rsidR="002C2BD5">
        <w:t>desired search criteria</w:t>
      </w:r>
      <w:r w:rsidR="002824FB">
        <w:t xml:space="preserve"> for </w:t>
      </w:r>
      <w:r w:rsidR="002C2BD5">
        <w:t>searching</w:t>
      </w:r>
      <w:r w:rsidR="002824FB">
        <w:t xml:space="preserve"> the annual report</w:t>
      </w:r>
      <w:r>
        <w:t>.  Some of the fields on this screen are mandatory entry fields as denoted by the red (</w:t>
      </w:r>
      <w:r w:rsidRPr="00CD0680">
        <w:rPr>
          <w:b/>
          <w:color w:val="FF0000"/>
          <w:szCs w:val="24"/>
        </w:rPr>
        <w:t>*</w:t>
      </w:r>
      <w:r>
        <w:t>) asterisk; others fields are optional.</w:t>
      </w:r>
    </w:p>
    <w:p w:rsidR="00EE546A" w:rsidRDefault="00EE546A" w:rsidP="00EE546A"/>
    <w:p w:rsidR="00EE546A" w:rsidRDefault="00FE4207" w:rsidP="006E41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00750" cy="338137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149" r="2564" b="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81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47" w:rsidRDefault="00967847" w:rsidP="006E4109">
      <w:pPr>
        <w:jc w:val="center"/>
        <w:rPr>
          <w:b/>
        </w:rPr>
      </w:pPr>
    </w:p>
    <w:p w:rsidR="00D7071B" w:rsidRDefault="00D7071B" w:rsidP="00E73BB4">
      <w:pPr>
        <w:pStyle w:val="Caption"/>
      </w:pPr>
    </w:p>
    <w:p w:rsidR="00EE546A" w:rsidRPr="0039146D" w:rsidRDefault="00EE546A" w:rsidP="00EE546A">
      <w:pPr>
        <w:keepNext/>
        <w:keepLines/>
        <w:rPr>
          <w:b/>
          <w:szCs w:val="24"/>
        </w:rPr>
      </w:pPr>
      <w:r w:rsidRPr="001670CF">
        <w:rPr>
          <w:b/>
        </w:rPr>
        <w:lastRenderedPageBreak/>
        <w:t>Objective:</w:t>
      </w:r>
    </w:p>
    <w:p w:rsidR="00EE546A" w:rsidRPr="0039146D" w:rsidRDefault="00EE546A" w:rsidP="00EE546A">
      <w:pPr>
        <w:keepNext/>
        <w:keepLines/>
        <w:rPr>
          <w:b/>
          <w:szCs w:val="24"/>
        </w:rPr>
      </w:pPr>
    </w:p>
    <w:p w:rsidR="00EE546A" w:rsidRDefault="009A5C93" w:rsidP="006462E5">
      <w:pPr>
        <w:pStyle w:val="ListParagraph"/>
        <w:keepNext/>
        <w:keepLines/>
        <w:numPr>
          <w:ilvl w:val="0"/>
          <w:numId w:val="6"/>
        </w:numPr>
      </w:pPr>
      <w:r>
        <w:t>Search</w:t>
      </w:r>
      <w:r w:rsidR="00EE546A">
        <w:t xml:space="preserve"> a </w:t>
      </w:r>
      <w:r w:rsidR="00154060">
        <w:t>Annual Report</w:t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EE546A" w:rsidRPr="00640340" w:rsidTr="00D42433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EE546A" w:rsidRPr="00D515E9" w:rsidRDefault="00EE546A" w:rsidP="00D42433">
            <w:pPr>
              <w:rPr>
                <w:rFonts w:cs="Arial"/>
                <w:b/>
                <w:szCs w:val="24"/>
              </w:rPr>
            </w:pPr>
            <w:r w:rsidRPr="00D515E9">
              <w:rPr>
                <w:rFonts w:cs="Arial"/>
                <w:b/>
                <w:szCs w:val="24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EE546A" w:rsidRPr="00D515E9" w:rsidRDefault="00EE546A" w:rsidP="00D42433">
            <w:pPr>
              <w:rPr>
                <w:rFonts w:cs="Arial"/>
                <w:szCs w:val="24"/>
              </w:rPr>
            </w:pPr>
            <w:r w:rsidRPr="00D515E9">
              <w:rPr>
                <w:rFonts w:cs="Arial"/>
                <w:szCs w:val="24"/>
              </w:rPr>
              <w:t>Action</w:t>
            </w:r>
          </w:p>
        </w:tc>
      </w:tr>
      <w:tr w:rsidR="00EE546A" w:rsidRPr="009B4B92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D42433">
            <w:pPr>
              <w:rPr>
                <w:rFonts w:cs="Arial"/>
                <w:b w:val="0"/>
                <w:sz w:val="22"/>
                <w:szCs w:val="22"/>
              </w:rPr>
            </w:pPr>
            <w:r w:rsidRPr="009B4B92">
              <w:rPr>
                <w:rFonts w:cs="Arial"/>
                <w:b w:val="0"/>
                <w:sz w:val="22"/>
                <w:szCs w:val="22"/>
              </w:rPr>
              <w:t xml:space="preserve">From the </w:t>
            </w:r>
            <w:r w:rsidRPr="004974B7">
              <w:rPr>
                <w:rFonts w:cs="Arial"/>
                <w:i/>
                <w:sz w:val="22"/>
                <w:szCs w:val="22"/>
              </w:rPr>
              <w:t>Home</w:t>
            </w:r>
            <w:r w:rsidRPr="004974B7">
              <w:rPr>
                <w:rFonts w:cs="Arial"/>
                <w:sz w:val="22"/>
                <w:szCs w:val="22"/>
              </w:rPr>
              <w:t xml:space="preserve"> Page</w:t>
            </w:r>
            <w:r w:rsidRPr="009B4B92">
              <w:rPr>
                <w:rFonts w:cs="Arial"/>
                <w:b w:val="0"/>
                <w:sz w:val="22"/>
                <w:szCs w:val="22"/>
              </w:rPr>
              <w:t xml:space="preserve">, </w:t>
            </w:r>
            <w:r w:rsidR="0039648E">
              <w:rPr>
                <w:rFonts w:cs="Arial"/>
                <w:b w:val="0"/>
                <w:sz w:val="22"/>
                <w:szCs w:val="22"/>
              </w:rPr>
              <w:t xml:space="preserve">from </w:t>
            </w:r>
            <w:r w:rsidR="0039648E" w:rsidRPr="0039648E">
              <w:rPr>
                <w:rFonts w:cs="Arial"/>
                <w:sz w:val="22"/>
                <w:szCs w:val="22"/>
              </w:rPr>
              <w:t xml:space="preserve">Access Menu </w:t>
            </w:r>
            <w:r w:rsidRPr="009B4B92">
              <w:rPr>
                <w:rFonts w:cs="Arial"/>
                <w:b w:val="0"/>
                <w:sz w:val="22"/>
                <w:szCs w:val="22"/>
              </w:rPr>
              <w:t xml:space="preserve">click on </w:t>
            </w:r>
            <w:r w:rsidR="00797375">
              <w:rPr>
                <w:rFonts w:cs="Arial"/>
                <w:sz w:val="22"/>
                <w:szCs w:val="22"/>
              </w:rPr>
              <w:t>Annual Report File</w:t>
            </w:r>
            <w:r w:rsidRPr="009B4B92">
              <w:rPr>
                <w:rFonts w:cs="Arial"/>
                <w:sz w:val="22"/>
                <w:szCs w:val="22"/>
              </w:rPr>
              <w:t xml:space="preserve"> </w:t>
            </w:r>
            <w:r w:rsidRPr="009B4B92">
              <w:rPr>
                <w:rFonts w:cs="Arial"/>
                <w:b w:val="0"/>
                <w:bCs w:val="0"/>
                <w:sz w:val="22"/>
                <w:szCs w:val="22"/>
              </w:rPr>
              <w:sym w:font="Wingdings" w:char="F0E0"/>
            </w:r>
            <w:r w:rsidRPr="009B4B92">
              <w:rPr>
                <w:rFonts w:cs="Arial"/>
                <w:sz w:val="22"/>
                <w:szCs w:val="22"/>
              </w:rPr>
              <w:t xml:space="preserve"> </w:t>
            </w:r>
            <w:r w:rsidR="00380FB0">
              <w:rPr>
                <w:rFonts w:cs="Arial"/>
                <w:sz w:val="22"/>
                <w:szCs w:val="22"/>
              </w:rPr>
              <w:t>View/Search</w:t>
            </w:r>
            <w:r w:rsidR="00797375">
              <w:rPr>
                <w:rFonts w:cs="Arial"/>
                <w:sz w:val="22"/>
                <w:szCs w:val="22"/>
              </w:rPr>
              <w:t xml:space="preserve"> Annual Report</w:t>
            </w:r>
            <w:r w:rsidR="006056C5">
              <w:rPr>
                <w:rFonts w:cs="Arial"/>
                <w:sz w:val="22"/>
                <w:szCs w:val="22"/>
              </w:rPr>
              <w:t>s</w:t>
            </w:r>
          </w:p>
          <w:p w:rsidR="00EE546A" w:rsidRPr="009B4B92" w:rsidRDefault="00EE546A" w:rsidP="00D42433">
            <w:pPr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EE546A" w:rsidRPr="009B4B92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39648E" w:rsidRDefault="00EE546A" w:rsidP="00D42433">
            <w:pPr>
              <w:rPr>
                <w:rFonts w:cs="Arial"/>
                <w:b w:val="0"/>
                <w:sz w:val="22"/>
                <w:szCs w:val="22"/>
              </w:rPr>
            </w:pPr>
            <w:r w:rsidRPr="0039648E">
              <w:rPr>
                <w:rFonts w:cs="Arial"/>
                <w:b w:val="0"/>
                <w:sz w:val="22"/>
                <w:szCs w:val="22"/>
              </w:rPr>
              <w:t xml:space="preserve">In the </w:t>
            </w:r>
            <w:r w:rsidR="00B94168" w:rsidRPr="0039648E">
              <w:rPr>
                <w:rFonts w:cs="Arial"/>
                <w:b w:val="0"/>
                <w:sz w:val="22"/>
                <w:szCs w:val="22"/>
              </w:rPr>
              <w:t xml:space="preserve">Annual Report Search </w:t>
            </w:r>
            <w:r w:rsidRPr="0039648E">
              <w:rPr>
                <w:rFonts w:cs="Arial"/>
                <w:b w:val="0"/>
                <w:sz w:val="22"/>
                <w:szCs w:val="22"/>
              </w:rPr>
              <w:t>section</w:t>
            </w:r>
          </w:p>
          <w:p w:rsidR="00675554" w:rsidRPr="0039648E" w:rsidRDefault="00675554" w:rsidP="00D42433">
            <w:pPr>
              <w:rPr>
                <w:rFonts w:cs="Arial"/>
                <w:b w:val="0"/>
                <w:sz w:val="22"/>
                <w:szCs w:val="22"/>
              </w:rPr>
            </w:pPr>
          </w:p>
          <w:p w:rsidR="008305D4" w:rsidRDefault="00631955" w:rsidP="005D2EA7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2"/>
              </w:rPr>
            </w:pPr>
            <w:r w:rsidRPr="00FF28D1">
              <w:rPr>
                <w:rFonts w:cs="Arial"/>
                <w:b w:val="0"/>
                <w:sz w:val="22"/>
                <w:szCs w:val="22"/>
              </w:rPr>
              <w:t xml:space="preserve">Enter the known search criteria and click on </w:t>
            </w:r>
            <w:r w:rsidRPr="002D6E79">
              <w:rPr>
                <w:rFonts w:cs="Arial"/>
                <w:sz w:val="22"/>
                <w:szCs w:val="22"/>
              </w:rPr>
              <w:t>Search</w:t>
            </w:r>
            <w:r w:rsidRPr="00FF28D1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39648E" w:rsidRPr="0039648E">
              <w:rPr>
                <w:rFonts w:cs="Arial"/>
                <w:sz w:val="22"/>
                <w:szCs w:val="22"/>
              </w:rPr>
              <w:t>B</w:t>
            </w:r>
            <w:r w:rsidRPr="0039648E">
              <w:rPr>
                <w:rFonts w:cs="Arial"/>
                <w:sz w:val="22"/>
                <w:szCs w:val="22"/>
              </w:rPr>
              <w:t>utton</w:t>
            </w:r>
          </w:p>
          <w:p w:rsidR="00D009AF" w:rsidRDefault="00D009AF" w:rsidP="0021409B">
            <w:pPr>
              <w:pStyle w:val="ListParagraph"/>
              <w:rPr>
                <w:rFonts w:cs="Arial"/>
                <w:b w:val="0"/>
                <w:sz w:val="22"/>
                <w:szCs w:val="22"/>
              </w:rPr>
            </w:pPr>
          </w:p>
          <w:p w:rsidR="00D009AF" w:rsidRDefault="00D009AF" w:rsidP="005D2EA7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Result gets displayed according to the search criteria.</w:t>
            </w:r>
          </w:p>
          <w:p w:rsidR="00D009AF" w:rsidRDefault="00D009AF" w:rsidP="0021409B">
            <w:pPr>
              <w:pStyle w:val="ListParagraph"/>
              <w:rPr>
                <w:rFonts w:cs="Arial"/>
                <w:b w:val="0"/>
                <w:sz w:val="22"/>
                <w:szCs w:val="22"/>
              </w:rPr>
            </w:pPr>
          </w:p>
          <w:p w:rsidR="00D009AF" w:rsidRPr="00FF28D1" w:rsidRDefault="00D009AF" w:rsidP="0039648E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For another search, click on </w:t>
            </w:r>
            <w:r>
              <w:rPr>
                <w:rFonts w:cs="Arial"/>
                <w:sz w:val="22"/>
                <w:szCs w:val="22"/>
              </w:rPr>
              <w:t xml:space="preserve">Reset </w:t>
            </w:r>
            <w:r w:rsidR="0039648E" w:rsidRPr="0039648E">
              <w:rPr>
                <w:rFonts w:cs="Arial"/>
                <w:sz w:val="22"/>
                <w:szCs w:val="22"/>
              </w:rPr>
              <w:t>B</w:t>
            </w:r>
            <w:r w:rsidRPr="0039648E">
              <w:rPr>
                <w:rFonts w:cs="Arial"/>
                <w:sz w:val="22"/>
                <w:szCs w:val="22"/>
              </w:rPr>
              <w:t>utton</w:t>
            </w:r>
            <w:r>
              <w:rPr>
                <w:rFonts w:cs="Arial"/>
                <w:b w:val="0"/>
                <w:sz w:val="22"/>
                <w:szCs w:val="22"/>
              </w:rPr>
              <w:t xml:space="preserve"> and re-enter the known search criteria to get the results.</w:t>
            </w:r>
          </w:p>
        </w:tc>
      </w:tr>
      <w:tr w:rsidR="00EE546A" w:rsidRPr="009B4B92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39648E" w:rsidRDefault="00CD5C6F" w:rsidP="00D42433">
            <w:pPr>
              <w:ind w:left="30"/>
              <w:rPr>
                <w:rFonts w:cs="Arial"/>
                <w:b w:val="0"/>
                <w:sz w:val="22"/>
                <w:szCs w:val="22"/>
              </w:rPr>
            </w:pPr>
            <w:r w:rsidRPr="0039648E">
              <w:rPr>
                <w:rFonts w:cs="Arial"/>
                <w:b w:val="0"/>
                <w:sz w:val="22"/>
                <w:szCs w:val="22"/>
              </w:rPr>
              <w:t xml:space="preserve">How to </w:t>
            </w:r>
            <w:r w:rsidR="0039648E">
              <w:rPr>
                <w:rFonts w:cs="Arial"/>
                <w:b w:val="0"/>
                <w:sz w:val="22"/>
                <w:szCs w:val="22"/>
              </w:rPr>
              <w:t>view</w:t>
            </w:r>
            <w:r w:rsidRPr="0039648E">
              <w:rPr>
                <w:rFonts w:cs="Arial"/>
                <w:b w:val="0"/>
                <w:sz w:val="22"/>
                <w:szCs w:val="22"/>
              </w:rPr>
              <w:t xml:space="preserve"> the Annual Report Details</w:t>
            </w:r>
          </w:p>
          <w:p w:rsidR="009C4A4F" w:rsidRDefault="009C4A4F" w:rsidP="00D42433">
            <w:pPr>
              <w:ind w:left="30"/>
              <w:rPr>
                <w:rFonts w:cs="Arial"/>
                <w:b w:val="0"/>
                <w:sz w:val="22"/>
                <w:szCs w:val="22"/>
              </w:rPr>
            </w:pPr>
          </w:p>
          <w:p w:rsidR="009C4A4F" w:rsidRPr="00E36511" w:rsidRDefault="00E36511" w:rsidP="00E36511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</w:rPr>
            </w:pPr>
            <w:r>
              <w:rPr>
                <w:rFonts w:cs="Arial"/>
                <w:b w:val="0"/>
                <w:sz w:val="22"/>
              </w:rPr>
              <w:t xml:space="preserve">Click on the </w:t>
            </w:r>
            <w:r>
              <w:rPr>
                <w:rFonts w:cs="Arial"/>
                <w:sz w:val="22"/>
              </w:rPr>
              <w:t xml:space="preserve">Tracking Number </w:t>
            </w:r>
            <w:r>
              <w:rPr>
                <w:rFonts w:cs="Arial"/>
                <w:b w:val="0"/>
                <w:sz w:val="22"/>
              </w:rPr>
              <w:t>against the record in grid being displayed.</w:t>
            </w:r>
          </w:p>
          <w:p w:rsidR="00E36511" w:rsidRPr="00E36511" w:rsidRDefault="00E36511" w:rsidP="00E36511">
            <w:pPr>
              <w:pStyle w:val="ListParagraph"/>
              <w:ind w:left="750"/>
              <w:rPr>
                <w:rFonts w:cs="Arial"/>
                <w:sz w:val="22"/>
              </w:rPr>
            </w:pPr>
          </w:p>
          <w:p w:rsidR="00E36511" w:rsidRPr="00E36511" w:rsidRDefault="00E36511" w:rsidP="00E36511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2"/>
              </w:rPr>
            </w:pPr>
            <w:r>
              <w:rPr>
                <w:rFonts w:cs="Arial"/>
                <w:b w:val="0"/>
                <w:sz w:val="22"/>
              </w:rPr>
              <w:t>A pop</w:t>
            </w:r>
            <w:r w:rsidR="0039648E">
              <w:rPr>
                <w:rFonts w:cs="Arial"/>
                <w:b w:val="0"/>
                <w:sz w:val="22"/>
              </w:rPr>
              <w:t>-</w:t>
            </w:r>
            <w:r>
              <w:rPr>
                <w:rFonts w:cs="Arial"/>
                <w:b w:val="0"/>
                <w:sz w:val="22"/>
              </w:rPr>
              <w:t xml:space="preserve">up </w:t>
            </w:r>
            <w:r w:rsidR="0039648E">
              <w:rPr>
                <w:rFonts w:cs="Arial"/>
                <w:b w:val="0"/>
                <w:sz w:val="22"/>
              </w:rPr>
              <w:t xml:space="preserve">window </w:t>
            </w:r>
            <w:r>
              <w:rPr>
                <w:rFonts w:cs="Arial"/>
                <w:b w:val="0"/>
                <w:sz w:val="22"/>
              </w:rPr>
              <w:t>will open containing the document details for</w:t>
            </w:r>
            <w:r w:rsidR="0039648E">
              <w:rPr>
                <w:rFonts w:cs="Arial"/>
                <w:b w:val="0"/>
                <w:sz w:val="22"/>
              </w:rPr>
              <w:t xml:space="preserve"> selected </w:t>
            </w:r>
            <w:r>
              <w:rPr>
                <w:rFonts w:cs="Arial"/>
                <w:b w:val="0"/>
                <w:sz w:val="22"/>
              </w:rPr>
              <w:t>Annual Report</w:t>
            </w:r>
          </w:p>
          <w:p w:rsidR="00E36511" w:rsidRPr="00E36511" w:rsidRDefault="004B2FCB" w:rsidP="00E36511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2"/>
              </w:rPr>
              <w:pict>
                <v:oval id="_x0000_s1026" style="position:absolute;margin-left:6pt;margin-top:96pt;width:50.25pt;height:22.5pt;z-index:251658240" strokecolor="red">
                  <v:fill opacity="0"/>
                </v:oval>
              </w:pict>
            </w:r>
            <w:r w:rsidR="00E36511">
              <w:rPr>
                <w:rFonts w:cs="Arial"/>
                <w:noProof/>
                <w:sz w:val="22"/>
              </w:rPr>
              <w:drawing>
                <wp:inline distT="0" distB="0" distL="0" distR="0">
                  <wp:extent cx="4714875" cy="2305050"/>
                  <wp:effectExtent l="19050" t="19050" r="28575" b="190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4781" r="2174" b="46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46A" w:rsidRDefault="00EE546A" w:rsidP="00D42433">
            <w:pPr>
              <w:ind w:left="30"/>
              <w:rPr>
                <w:rFonts w:cs="Arial"/>
                <w:sz w:val="22"/>
                <w:szCs w:val="22"/>
              </w:rPr>
            </w:pPr>
          </w:p>
          <w:p w:rsidR="001C27F4" w:rsidRDefault="00434FD1" w:rsidP="00D42433">
            <w:pPr>
              <w:ind w:left="3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</w:rPr>
              <w:lastRenderedPageBreak/>
              <w:drawing>
                <wp:inline distT="0" distB="0" distL="0" distR="0">
                  <wp:extent cx="4838700" cy="1514475"/>
                  <wp:effectExtent l="19050" t="19050" r="19050" b="285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1581" b="48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FD1" w:rsidRDefault="00434FD1" w:rsidP="00D42433">
            <w:pPr>
              <w:ind w:left="30"/>
              <w:rPr>
                <w:rFonts w:cs="Arial"/>
                <w:sz w:val="22"/>
                <w:szCs w:val="22"/>
              </w:rPr>
            </w:pPr>
          </w:p>
          <w:p w:rsidR="000907F7" w:rsidRPr="005436FB" w:rsidRDefault="005436FB" w:rsidP="005436FB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b w:val="0"/>
                <w:sz w:val="22"/>
              </w:rPr>
              <w:t xml:space="preserve">The </w:t>
            </w:r>
            <w:r w:rsidR="0039648E">
              <w:rPr>
                <w:rFonts w:cs="Arial"/>
                <w:b w:val="0"/>
                <w:sz w:val="22"/>
              </w:rPr>
              <w:t>Internal S</w:t>
            </w:r>
            <w:r>
              <w:rPr>
                <w:rFonts w:cs="Arial"/>
                <w:b w:val="0"/>
                <w:sz w:val="22"/>
              </w:rPr>
              <w:t xml:space="preserve">taff can view all the documents associated with the Annual Report by clicking on the </w:t>
            </w:r>
            <w:r>
              <w:rPr>
                <w:rFonts w:cs="Arial"/>
                <w:sz w:val="22"/>
              </w:rPr>
              <w:t xml:space="preserve">File Name </w:t>
            </w:r>
            <w:r>
              <w:rPr>
                <w:rFonts w:cs="Arial"/>
                <w:b w:val="0"/>
                <w:sz w:val="22"/>
              </w:rPr>
              <w:t>hyperlink.</w:t>
            </w:r>
          </w:p>
          <w:p w:rsidR="005436FB" w:rsidRPr="005436FB" w:rsidRDefault="005436FB" w:rsidP="009C3FF7">
            <w:pPr>
              <w:pStyle w:val="ListParagraph"/>
              <w:ind w:left="750"/>
              <w:rPr>
                <w:rFonts w:cs="Arial"/>
                <w:sz w:val="22"/>
              </w:rPr>
            </w:pPr>
          </w:p>
          <w:p w:rsidR="005436FB" w:rsidRPr="00434C09" w:rsidRDefault="005436FB" w:rsidP="005436FB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b w:val="0"/>
                <w:sz w:val="22"/>
              </w:rPr>
              <w:t xml:space="preserve">The </w:t>
            </w:r>
            <w:r w:rsidR="0039648E">
              <w:rPr>
                <w:rFonts w:cs="Arial"/>
                <w:b w:val="0"/>
                <w:sz w:val="22"/>
              </w:rPr>
              <w:t>External R</w:t>
            </w:r>
            <w:r>
              <w:rPr>
                <w:rFonts w:cs="Arial"/>
                <w:b w:val="0"/>
                <w:sz w:val="22"/>
              </w:rPr>
              <w:t xml:space="preserve">egistered </w:t>
            </w:r>
            <w:r w:rsidR="0039648E">
              <w:rPr>
                <w:rFonts w:cs="Arial"/>
                <w:b w:val="0"/>
                <w:sz w:val="22"/>
              </w:rPr>
              <w:t>U</w:t>
            </w:r>
            <w:r>
              <w:rPr>
                <w:rFonts w:cs="Arial"/>
                <w:b w:val="0"/>
                <w:sz w:val="22"/>
              </w:rPr>
              <w:t xml:space="preserve">ser can view all the public documents, but for the </w:t>
            </w:r>
            <w:r w:rsidRPr="0039486B">
              <w:rPr>
                <w:rFonts w:cs="Arial"/>
                <w:sz w:val="22"/>
              </w:rPr>
              <w:t>Confidential document</w:t>
            </w:r>
            <w:r>
              <w:rPr>
                <w:rFonts w:cs="Arial"/>
                <w:b w:val="0"/>
                <w:sz w:val="22"/>
              </w:rPr>
              <w:t>, he/she can view only those documents on which</w:t>
            </w:r>
            <w:r w:rsidR="00DE3D42">
              <w:rPr>
                <w:rFonts w:cs="Arial"/>
                <w:b w:val="0"/>
                <w:sz w:val="22"/>
              </w:rPr>
              <w:t xml:space="preserve"> </w:t>
            </w:r>
            <w:r w:rsidR="00DE3D42" w:rsidRPr="0039486B">
              <w:rPr>
                <w:rFonts w:cs="Arial"/>
                <w:sz w:val="22"/>
              </w:rPr>
              <w:t>protective order</w:t>
            </w:r>
            <w:r>
              <w:rPr>
                <w:rFonts w:cs="Arial"/>
                <w:b w:val="0"/>
                <w:sz w:val="22"/>
              </w:rPr>
              <w:t xml:space="preserve"> he/she has the access rights</w:t>
            </w:r>
          </w:p>
          <w:p w:rsidR="00434C09" w:rsidRPr="00434C09" w:rsidRDefault="00434C09" w:rsidP="009C3FF7">
            <w:pPr>
              <w:pStyle w:val="ListParagraph"/>
              <w:ind w:left="750"/>
              <w:rPr>
                <w:rFonts w:cs="Arial"/>
                <w:sz w:val="22"/>
              </w:rPr>
            </w:pPr>
          </w:p>
          <w:p w:rsidR="00434C09" w:rsidRPr="005436FB" w:rsidRDefault="00434C09" w:rsidP="0039648E">
            <w:pPr>
              <w:pStyle w:val="ListParagraph"/>
              <w:numPr>
                <w:ilvl w:val="0"/>
                <w:numId w:val="28"/>
              </w:numPr>
              <w:rPr>
                <w:rFonts w:cs="Arial"/>
                <w:sz w:val="22"/>
              </w:rPr>
            </w:pPr>
            <w:r>
              <w:rPr>
                <w:rFonts w:cs="Arial"/>
                <w:b w:val="0"/>
                <w:sz w:val="22"/>
              </w:rPr>
              <w:t xml:space="preserve">The </w:t>
            </w:r>
            <w:r w:rsidR="0039648E">
              <w:rPr>
                <w:rFonts w:cs="Arial"/>
                <w:b w:val="0"/>
                <w:sz w:val="22"/>
              </w:rPr>
              <w:t>P</w:t>
            </w:r>
            <w:r>
              <w:rPr>
                <w:rFonts w:cs="Arial"/>
                <w:b w:val="0"/>
                <w:sz w:val="22"/>
              </w:rPr>
              <w:t xml:space="preserve">ublic </w:t>
            </w:r>
            <w:r w:rsidR="0039648E">
              <w:rPr>
                <w:rFonts w:cs="Arial"/>
                <w:b w:val="0"/>
                <w:sz w:val="22"/>
              </w:rPr>
              <w:t>U</w:t>
            </w:r>
            <w:r>
              <w:rPr>
                <w:rFonts w:cs="Arial"/>
                <w:b w:val="0"/>
                <w:sz w:val="22"/>
              </w:rPr>
              <w:t xml:space="preserve">ser </w:t>
            </w:r>
            <w:r w:rsidR="0039648E">
              <w:rPr>
                <w:rFonts w:cs="Arial"/>
                <w:b w:val="0"/>
                <w:sz w:val="22"/>
              </w:rPr>
              <w:t>(</w:t>
            </w:r>
            <w:r>
              <w:rPr>
                <w:rFonts w:cs="Arial"/>
                <w:b w:val="0"/>
                <w:sz w:val="22"/>
              </w:rPr>
              <w:t>non registered external user</w:t>
            </w:r>
            <w:r w:rsidR="0039648E">
              <w:rPr>
                <w:rFonts w:cs="Arial"/>
                <w:b w:val="0"/>
                <w:sz w:val="22"/>
              </w:rPr>
              <w:t>)</w:t>
            </w:r>
            <w:r>
              <w:rPr>
                <w:rFonts w:cs="Arial"/>
                <w:b w:val="0"/>
                <w:sz w:val="22"/>
              </w:rPr>
              <w:t xml:space="preserve"> can only view the </w:t>
            </w:r>
            <w:r w:rsidRPr="0039486B">
              <w:rPr>
                <w:rFonts w:cs="Arial"/>
                <w:sz w:val="22"/>
              </w:rPr>
              <w:t>public documents</w:t>
            </w:r>
            <w:r>
              <w:rPr>
                <w:rFonts w:cs="Arial"/>
                <w:b w:val="0"/>
                <w:sz w:val="22"/>
              </w:rPr>
              <w:t>. They do not have access rights to view the confidential document.</w:t>
            </w:r>
          </w:p>
        </w:tc>
      </w:tr>
      <w:tr w:rsidR="00EE546A" w:rsidRPr="009B4B92" w:rsidTr="00D42433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BB6FD6" w:rsidP="00D42433">
            <w:pPr>
              <w:ind w:left="3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Click</w:t>
            </w:r>
            <w:r w:rsidR="00EE546A" w:rsidRPr="009B4B92">
              <w:rPr>
                <w:rFonts w:cs="Arial"/>
                <w:b w:val="0"/>
                <w:sz w:val="22"/>
                <w:szCs w:val="22"/>
              </w:rPr>
              <w:t xml:space="preserve"> on </w:t>
            </w:r>
            <w:r w:rsidR="00EE546A" w:rsidRPr="0039648E">
              <w:rPr>
                <w:rFonts w:cs="Arial"/>
                <w:b w:val="0"/>
                <w:sz w:val="22"/>
                <w:szCs w:val="22"/>
              </w:rPr>
              <w:t>Home hyperlink</w:t>
            </w:r>
            <w:r w:rsidR="00EE546A" w:rsidRPr="009B4B92">
              <w:rPr>
                <w:rFonts w:cs="Arial"/>
                <w:sz w:val="22"/>
                <w:szCs w:val="22"/>
              </w:rPr>
              <w:t xml:space="preserve"> </w:t>
            </w:r>
            <w:r w:rsidR="00EE546A" w:rsidRPr="009B4B92">
              <w:rPr>
                <w:rFonts w:cs="Arial"/>
                <w:b w:val="0"/>
                <w:sz w:val="22"/>
                <w:szCs w:val="22"/>
              </w:rPr>
              <w:t xml:space="preserve">to return to the </w:t>
            </w:r>
            <w:r w:rsidR="00EE546A" w:rsidRPr="009B4B92">
              <w:rPr>
                <w:rFonts w:cs="Arial"/>
                <w:sz w:val="22"/>
                <w:szCs w:val="22"/>
              </w:rPr>
              <w:t>Home Page</w:t>
            </w:r>
          </w:p>
          <w:p w:rsidR="00EE546A" w:rsidRPr="009B4B92" w:rsidRDefault="00EE546A" w:rsidP="00D42433">
            <w:pPr>
              <w:ind w:left="3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782240" w:rsidRDefault="00782240" w:rsidP="00782240">
      <w:pPr>
        <w:pStyle w:val="ListParagraph"/>
        <w:spacing w:after="280"/>
        <w:contextualSpacing w:val="0"/>
        <w:jc w:val="center"/>
        <w:rPr>
          <w:b/>
        </w:rPr>
      </w:pPr>
    </w:p>
    <w:p w:rsidR="005F04A9" w:rsidRPr="00EE546A" w:rsidRDefault="005F04A9" w:rsidP="00EE546A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EE546A" w:rsidSect="00840C91">
      <w:headerReference w:type="default" r:id="rId11"/>
      <w:footerReference w:type="default" r:id="rId12"/>
      <w:footerReference w:type="first" r:id="rId13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A8" w:rsidRDefault="00A929A8" w:rsidP="00426CDC">
      <w:r>
        <w:separator/>
      </w:r>
    </w:p>
  </w:endnote>
  <w:endnote w:type="continuationSeparator" w:id="0">
    <w:p w:rsidR="00A929A8" w:rsidRDefault="00A929A8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8752F0" w:rsidRPr="00B46FAA" w:rsidRDefault="008752F0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4B2FCB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4B2FCB" w:rsidRPr="00B46FAA">
              <w:rPr>
                <w:sz w:val="20"/>
                <w:szCs w:val="20"/>
              </w:rPr>
              <w:fldChar w:fldCharType="separate"/>
            </w:r>
            <w:r w:rsidR="00E73BB4">
              <w:rPr>
                <w:noProof/>
                <w:sz w:val="20"/>
                <w:szCs w:val="20"/>
              </w:rPr>
              <w:t>1</w:t>
            </w:r>
            <w:r w:rsidR="004B2FCB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752F0" w:rsidRPr="00B46FAA" w:rsidRDefault="008752F0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E73BB4">
          <w:rPr>
            <w:sz w:val="20"/>
            <w:szCs w:val="20"/>
          </w:rPr>
          <w:t>Annual Report Search</w:t>
        </w:r>
      </w:p>
      <w:p w:rsidR="008752F0" w:rsidRDefault="004B2FCB">
        <w:pPr>
          <w:pStyle w:val="Footer"/>
          <w:jc w:val="right"/>
        </w:pPr>
      </w:p>
    </w:sdtContent>
  </w:sdt>
  <w:p w:rsidR="008752F0" w:rsidRDefault="008752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B" w:rsidRPr="00C032B4" w:rsidRDefault="00B4492B" w:rsidP="005619A8">
    <w:pPr>
      <w:pStyle w:val="Footer"/>
      <w:jc w:val="right"/>
    </w:pPr>
    <w:r w:rsidRPr="00C032B4">
      <w:t xml:space="preserve">Page </w:t>
    </w:r>
    <w:r w:rsidR="004B2FCB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4B2FCB" w:rsidRPr="00C032B4">
      <w:rPr>
        <w:rStyle w:val="PageNumber"/>
      </w:rPr>
      <w:fldChar w:fldCharType="separate"/>
    </w:r>
    <w:r w:rsidR="005E2477">
      <w:rPr>
        <w:rStyle w:val="PageNumber"/>
        <w:noProof/>
      </w:rPr>
      <w:t>28</w:t>
    </w:r>
    <w:r w:rsidR="004B2FCB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4B2FCB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4B2FCB" w:rsidRPr="00C032B4">
      <w:rPr>
        <w:rStyle w:val="PageNumber"/>
      </w:rPr>
      <w:fldChar w:fldCharType="separate"/>
    </w:r>
    <w:r w:rsidR="005E2477">
      <w:rPr>
        <w:rStyle w:val="PageNumber"/>
        <w:noProof/>
      </w:rPr>
      <w:t>56</w:t>
    </w:r>
    <w:r w:rsidR="004B2FCB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A8" w:rsidRDefault="00A929A8" w:rsidP="00426CDC">
      <w:r>
        <w:separator/>
      </w:r>
    </w:p>
  </w:footnote>
  <w:footnote w:type="continuationSeparator" w:id="0">
    <w:p w:rsidR="00A929A8" w:rsidRDefault="00A929A8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6" w:rsidRDefault="0004264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46" w:rsidRDefault="00042646">
    <w:pPr>
      <w:pStyle w:val="Header"/>
    </w:pPr>
  </w:p>
  <w:p w:rsidR="00042646" w:rsidRDefault="00042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877"/>
    <w:multiLevelType w:val="hybridMultilevel"/>
    <w:tmpl w:val="9C8061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7118E6"/>
    <w:multiLevelType w:val="hybridMultilevel"/>
    <w:tmpl w:val="EA52D7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AF3A19"/>
    <w:multiLevelType w:val="hybridMultilevel"/>
    <w:tmpl w:val="1ABC20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001E"/>
    <w:multiLevelType w:val="hybridMultilevel"/>
    <w:tmpl w:val="708E7504"/>
    <w:lvl w:ilvl="0" w:tplc="FFFFFFFF"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15906"/>
    <w:multiLevelType w:val="hybridMultilevel"/>
    <w:tmpl w:val="FAFC354C"/>
    <w:lvl w:ilvl="0" w:tplc="FFFFFFFF">
      <w:numFmt w:val="bullet"/>
      <w:lvlText w:val=""/>
      <w:lvlJc w:val="left"/>
      <w:pPr>
        <w:ind w:left="7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51FA5"/>
    <w:multiLevelType w:val="hybridMultilevel"/>
    <w:tmpl w:val="6C5C70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D55040B"/>
    <w:multiLevelType w:val="hybridMultilevel"/>
    <w:tmpl w:val="9FF059FE"/>
    <w:lvl w:ilvl="0" w:tplc="FFFFFFFF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E1620A"/>
    <w:multiLevelType w:val="hybridMultilevel"/>
    <w:tmpl w:val="652A5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C1237D"/>
    <w:multiLevelType w:val="hybridMultilevel"/>
    <w:tmpl w:val="6810BF86"/>
    <w:lvl w:ilvl="0" w:tplc="FFFFFFFF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AD0ADF"/>
    <w:multiLevelType w:val="hybridMultilevel"/>
    <w:tmpl w:val="94146A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A00EA0"/>
    <w:multiLevelType w:val="hybridMultilevel"/>
    <w:tmpl w:val="F5184732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17087"/>
    <w:multiLevelType w:val="hybridMultilevel"/>
    <w:tmpl w:val="6432516C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D65C8"/>
    <w:multiLevelType w:val="hybridMultilevel"/>
    <w:tmpl w:val="E6C6C3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C573F1"/>
    <w:multiLevelType w:val="hybridMultilevel"/>
    <w:tmpl w:val="6D56E7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6C014DC"/>
    <w:multiLevelType w:val="hybridMultilevel"/>
    <w:tmpl w:val="3EF0EB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B07D8D"/>
    <w:multiLevelType w:val="hybridMultilevel"/>
    <w:tmpl w:val="09FC5C90"/>
    <w:lvl w:ilvl="0" w:tplc="FFFFFFFF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F14363"/>
    <w:multiLevelType w:val="hybridMultilevel"/>
    <w:tmpl w:val="EE5493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1226A7D"/>
    <w:multiLevelType w:val="hybridMultilevel"/>
    <w:tmpl w:val="F10A9C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DA75F1"/>
    <w:multiLevelType w:val="hybridMultilevel"/>
    <w:tmpl w:val="3D5415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3001D45"/>
    <w:multiLevelType w:val="hybridMultilevel"/>
    <w:tmpl w:val="6EA41C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86919BE"/>
    <w:multiLevelType w:val="hybridMultilevel"/>
    <w:tmpl w:val="89447542"/>
    <w:lvl w:ilvl="0" w:tplc="FFFFFFFF">
      <w:numFmt w:val="bullet"/>
      <w:lvlText w:val=""/>
      <w:lvlJc w:val="left"/>
      <w:pPr>
        <w:ind w:left="7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AED3A22"/>
    <w:multiLevelType w:val="hybridMultilevel"/>
    <w:tmpl w:val="BEDEE604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4"/>
  </w:num>
  <w:num w:numId="5">
    <w:abstractNumId w:val="2"/>
  </w:num>
  <w:num w:numId="6">
    <w:abstractNumId w:val="8"/>
  </w:num>
  <w:num w:numId="7">
    <w:abstractNumId w:val="21"/>
  </w:num>
  <w:num w:numId="8">
    <w:abstractNumId w:val="6"/>
  </w:num>
  <w:num w:numId="9">
    <w:abstractNumId w:val="14"/>
  </w:num>
  <w:num w:numId="10">
    <w:abstractNumId w:val="18"/>
  </w:num>
  <w:num w:numId="11">
    <w:abstractNumId w:val="25"/>
  </w:num>
  <w:num w:numId="12">
    <w:abstractNumId w:val="17"/>
  </w:num>
  <w:num w:numId="13">
    <w:abstractNumId w:val="23"/>
  </w:num>
  <w:num w:numId="14">
    <w:abstractNumId w:val="0"/>
  </w:num>
  <w:num w:numId="15">
    <w:abstractNumId w:val="9"/>
  </w:num>
  <w:num w:numId="16">
    <w:abstractNumId w:val="16"/>
  </w:num>
  <w:num w:numId="17">
    <w:abstractNumId w:val="3"/>
  </w:num>
  <w:num w:numId="18">
    <w:abstractNumId w:val="13"/>
  </w:num>
  <w:num w:numId="19">
    <w:abstractNumId w:val="10"/>
  </w:num>
  <w:num w:numId="20">
    <w:abstractNumId w:val="5"/>
  </w:num>
  <w:num w:numId="21">
    <w:abstractNumId w:val="11"/>
  </w:num>
  <w:num w:numId="22">
    <w:abstractNumId w:val="27"/>
  </w:num>
  <w:num w:numId="23">
    <w:abstractNumId w:val="1"/>
  </w:num>
  <w:num w:numId="24">
    <w:abstractNumId w:val="15"/>
  </w:num>
  <w:num w:numId="25">
    <w:abstractNumId w:val="20"/>
  </w:num>
  <w:num w:numId="26">
    <w:abstractNumId w:val="12"/>
  </w:num>
  <w:num w:numId="27">
    <w:abstractNumId w:val="26"/>
  </w:num>
  <w:num w:numId="28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164D"/>
    <w:rsid w:val="00001F35"/>
    <w:rsid w:val="00002725"/>
    <w:rsid w:val="00002D9D"/>
    <w:rsid w:val="00006438"/>
    <w:rsid w:val="00007B85"/>
    <w:rsid w:val="0001241A"/>
    <w:rsid w:val="0001380B"/>
    <w:rsid w:val="0001744A"/>
    <w:rsid w:val="00024DB2"/>
    <w:rsid w:val="0003067F"/>
    <w:rsid w:val="0003114A"/>
    <w:rsid w:val="0003180A"/>
    <w:rsid w:val="00031946"/>
    <w:rsid w:val="00035B97"/>
    <w:rsid w:val="00040D97"/>
    <w:rsid w:val="00041170"/>
    <w:rsid w:val="00042646"/>
    <w:rsid w:val="000429B9"/>
    <w:rsid w:val="00043467"/>
    <w:rsid w:val="00051861"/>
    <w:rsid w:val="00052076"/>
    <w:rsid w:val="0005529D"/>
    <w:rsid w:val="00062163"/>
    <w:rsid w:val="000657EF"/>
    <w:rsid w:val="000661FA"/>
    <w:rsid w:val="00081CFC"/>
    <w:rsid w:val="000907F7"/>
    <w:rsid w:val="000A65EF"/>
    <w:rsid w:val="000B2030"/>
    <w:rsid w:val="000B6D60"/>
    <w:rsid w:val="000C049C"/>
    <w:rsid w:val="000C4836"/>
    <w:rsid w:val="000C4AC9"/>
    <w:rsid w:val="000E0D30"/>
    <w:rsid w:val="000E1222"/>
    <w:rsid w:val="000E2A00"/>
    <w:rsid w:val="001004FE"/>
    <w:rsid w:val="001010D4"/>
    <w:rsid w:val="00115880"/>
    <w:rsid w:val="001169B3"/>
    <w:rsid w:val="00121354"/>
    <w:rsid w:val="0012386A"/>
    <w:rsid w:val="001268E2"/>
    <w:rsid w:val="00134B8A"/>
    <w:rsid w:val="00136746"/>
    <w:rsid w:val="0014319A"/>
    <w:rsid w:val="00143AEA"/>
    <w:rsid w:val="0015289E"/>
    <w:rsid w:val="00152C4F"/>
    <w:rsid w:val="00154060"/>
    <w:rsid w:val="00155FE4"/>
    <w:rsid w:val="0015728C"/>
    <w:rsid w:val="0016238E"/>
    <w:rsid w:val="00166014"/>
    <w:rsid w:val="001670CF"/>
    <w:rsid w:val="00177CF6"/>
    <w:rsid w:val="00181CE3"/>
    <w:rsid w:val="00186428"/>
    <w:rsid w:val="00186BAC"/>
    <w:rsid w:val="00186D90"/>
    <w:rsid w:val="00193C79"/>
    <w:rsid w:val="00194AAA"/>
    <w:rsid w:val="00195D57"/>
    <w:rsid w:val="001A14C2"/>
    <w:rsid w:val="001B02FB"/>
    <w:rsid w:val="001B2C80"/>
    <w:rsid w:val="001B2E3A"/>
    <w:rsid w:val="001C1251"/>
    <w:rsid w:val="001C22B0"/>
    <w:rsid w:val="001C27F4"/>
    <w:rsid w:val="001C54EA"/>
    <w:rsid w:val="001C56F8"/>
    <w:rsid w:val="001C639A"/>
    <w:rsid w:val="001D5CAB"/>
    <w:rsid w:val="001E0F23"/>
    <w:rsid w:val="001E271E"/>
    <w:rsid w:val="001F793E"/>
    <w:rsid w:val="00202648"/>
    <w:rsid w:val="0020481E"/>
    <w:rsid w:val="002063BC"/>
    <w:rsid w:val="0021409B"/>
    <w:rsid w:val="00215DDA"/>
    <w:rsid w:val="0022230B"/>
    <w:rsid w:val="0022353F"/>
    <w:rsid w:val="00232BEC"/>
    <w:rsid w:val="0024078C"/>
    <w:rsid w:val="002418BA"/>
    <w:rsid w:val="00243579"/>
    <w:rsid w:val="00244CF0"/>
    <w:rsid w:val="0024674C"/>
    <w:rsid w:val="00247BF4"/>
    <w:rsid w:val="00250668"/>
    <w:rsid w:val="00255802"/>
    <w:rsid w:val="002624C5"/>
    <w:rsid w:val="0026280D"/>
    <w:rsid w:val="0026323E"/>
    <w:rsid w:val="00271E39"/>
    <w:rsid w:val="00280FCD"/>
    <w:rsid w:val="002824FB"/>
    <w:rsid w:val="002876B7"/>
    <w:rsid w:val="002948C3"/>
    <w:rsid w:val="00295DC3"/>
    <w:rsid w:val="002A0F35"/>
    <w:rsid w:val="002A233F"/>
    <w:rsid w:val="002A2518"/>
    <w:rsid w:val="002A761F"/>
    <w:rsid w:val="002B104B"/>
    <w:rsid w:val="002B1AB8"/>
    <w:rsid w:val="002B2B48"/>
    <w:rsid w:val="002C2BD5"/>
    <w:rsid w:val="002C6459"/>
    <w:rsid w:val="002D636A"/>
    <w:rsid w:val="002D6E79"/>
    <w:rsid w:val="002E587A"/>
    <w:rsid w:val="002F44DC"/>
    <w:rsid w:val="002F593F"/>
    <w:rsid w:val="002F6952"/>
    <w:rsid w:val="0030544F"/>
    <w:rsid w:val="0030652C"/>
    <w:rsid w:val="0031768B"/>
    <w:rsid w:val="00320535"/>
    <w:rsid w:val="003265F8"/>
    <w:rsid w:val="00332A7A"/>
    <w:rsid w:val="00344193"/>
    <w:rsid w:val="00345EDE"/>
    <w:rsid w:val="0035354E"/>
    <w:rsid w:val="00363B33"/>
    <w:rsid w:val="0036448E"/>
    <w:rsid w:val="00367E6B"/>
    <w:rsid w:val="003729AE"/>
    <w:rsid w:val="00380FB0"/>
    <w:rsid w:val="0038437A"/>
    <w:rsid w:val="0039146D"/>
    <w:rsid w:val="00392205"/>
    <w:rsid w:val="0039486B"/>
    <w:rsid w:val="0039648E"/>
    <w:rsid w:val="003A3340"/>
    <w:rsid w:val="003A6E3B"/>
    <w:rsid w:val="003A6FCC"/>
    <w:rsid w:val="003B1104"/>
    <w:rsid w:val="003B225E"/>
    <w:rsid w:val="003B38EC"/>
    <w:rsid w:val="003B4074"/>
    <w:rsid w:val="003B41C3"/>
    <w:rsid w:val="003B62BE"/>
    <w:rsid w:val="003B79AA"/>
    <w:rsid w:val="003C2AED"/>
    <w:rsid w:val="003E4360"/>
    <w:rsid w:val="003E4454"/>
    <w:rsid w:val="003E7892"/>
    <w:rsid w:val="003E78E4"/>
    <w:rsid w:val="00402ACD"/>
    <w:rsid w:val="00415629"/>
    <w:rsid w:val="0042530B"/>
    <w:rsid w:val="00426CDC"/>
    <w:rsid w:val="00427EA1"/>
    <w:rsid w:val="00432860"/>
    <w:rsid w:val="00434C09"/>
    <w:rsid w:val="00434FD1"/>
    <w:rsid w:val="004408BD"/>
    <w:rsid w:val="004416AA"/>
    <w:rsid w:val="00446F54"/>
    <w:rsid w:val="00447A67"/>
    <w:rsid w:val="00451E16"/>
    <w:rsid w:val="00453F2C"/>
    <w:rsid w:val="00457A9F"/>
    <w:rsid w:val="0047198E"/>
    <w:rsid w:val="00474176"/>
    <w:rsid w:val="004829DB"/>
    <w:rsid w:val="0048518E"/>
    <w:rsid w:val="00491493"/>
    <w:rsid w:val="00492E8B"/>
    <w:rsid w:val="00493B1A"/>
    <w:rsid w:val="004974B7"/>
    <w:rsid w:val="00497BA3"/>
    <w:rsid w:val="004A2FB6"/>
    <w:rsid w:val="004B2FCB"/>
    <w:rsid w:val="004B7EE4"/>
    <w:rsid w:val="004C7337"/>
    <w:rsid w:val="004D08E6"/>
    <w:rsid w:val="004D64BD"/>
    <w:rsid w:val="004E3AA4"/>
    <w:rsid w:val="004E3D15"/>
    <w:rsid w:val="004E6941"/>
    <w:rsid w:val="004E7F33"/>
    <w:rsid w:val="004E7FEA"/>
    <w:rsid w:val="004F336E"/>
    <w:rsid w:val="00501582"/>
    <w:rsid w:val="005059AD"/>
    <w:rsid w:val="00515B85"/>
    <w:rsid w:val="0053201D"/>
    <w:rsid w:val="00542BD0"/>
    <w:rsid w:val="005436FB"/>
    <w:rsid w:val="00545E53"/>
    <w:rsid w:val="00551961"/>
    <w:rsid w:val="00552974"/>
    <w:rsid w:val="00560162"/>
    <w:rsid w:val="005619A8"/>
    <w:rsid w:val="005659D0"/>
    <w:rsid w:val="00570CE4"/>
    <w:rsid w:val="00583399"/>
    <w:rsid w:val="00583691"/>
    <w:rsid w:val="0058541B"/>
    <w:rsid w:val="00586F82"/>
    <w:rsid w:val="00594BBE"/>
    <w:rsid w:val="005A03F8"/>
    <w:rsid w:val="005A5757"/>
    <w:rsid w:val="005B156D"/>
    <w:rsid w:val="005B26D4"/>
    <w:rsid w:val="005B347F"/>
    <w:rsid w:val="005D01A0"/>
    <w:rsid w:val="005D1781"/>
    <w:rsid w:val="005D2EA7"/>
    <w:rsid w:val="005D5DDC"/>
    <w:rsid w:val="005D7971"/>
    <w:rsid w:val="005E2477"/>
    <w:rsid w:val="005E395F"/>
    <w:rsid w:val="005E4B9A"/>
    <w:rsid w:val="005E577C"/>
    <w:rsid w:val="005F04A9"/>
    <w:rsid w:val="005F1FD9"/>
    <w:rsid w:val="005F2856"/>
    <w:rsid w:val="005F3BEC"/>
    <w:rsid w:val="005F4922"/>
    <w:rsid w:val="005F673F"/>
    <w:rsid w:val="005F6E8E"/>
    <w:rsid w:val="006056C5"/>
    <w:rsid w:val="006206C1"/>
    <w:rsid w:val="00631955"/>
    <w:rsid w:val="00635D6B"/>
    <w:rsid w:val="00644EFF"/>
    <w:rsid w:val="00645012"/>
    <w:rsid w:val="006462E5"/>
    <w:rsid w:val="00647B86"/>
    <w:rsid w:val="006522A4"/>
    <w:rsid w:val="0066432D"/>
    <w:rsid w:val="00666785"/>
    <w:rsid w:val="006722F6"/>
    <w:rsid w:val="00675554"/>
    <w:rsid w:val="00677F11"/>
    <w:rsid w:val="00686B98"/>
    <w:rsid w:val="006A529B"/>
    <w:rsid w:val="006A70FC"/>
    <w:rsid w:val="006B2582"/>
    <w:rsid w:val="006B3ADD"/>
    <w:rsid w:val="006B5943"/>
    <w:rsid w:val="006C221E"/>
    <w:rsid w:val="006C77F5"/>
    <w:rsid w:val="006C7FD3"/>
    <w:rsid w:val="006D3B21"/>
    <w:rsid w:val="006D4943"/>
    <w:rsid w:val="006D6D1C"/>
    <w:rsid w:val="006E1736"/>
    <w:rsid w:val="006E2EF3"/>
    <w:rsid w:val="006E4109"/>
    <w:rsid w:val="006E655A"/>
    <w:rsid w:val="006F10E0"/>
    <w:rsid w:val="007000B2"/>
    <w:rsid w:val="0070341A"/>
    <w:rsid w:val="00711113"/>
    <w:rsid w:val="00717CC9"/>
    <w:rsid w:val="007403CC"/>
    <w:rsid w:val="00747EA3"/>
    <w:rsid w:val="00751AF8"/>
    <w:rsid w:val="00761D56"/>
    <w:rsid w:val="00762F04"/>
    <w:rsid w:val="007642A4"/>
    <w:rsid w:val="0077533C"/>
    <w:rsid w:val="00776E48"/>
    <w:rsid w:val="00782240"/>
    <w:rsid w:val="00784AF1"/>
    <w:rsid w:val="0078543A"/>
    <w:rsid w:val="00791DBD"/>
    <w:rsid w:val="00792550"/>
    <w:rsid w:val="00797375"/>
    <w:rsid w:val="007A2C26"/>
    <w:rsid w:val="007A7CF2"/>
    <w:rsid w:val="007B22C0"/>
    <w:rsid w:val="007B669A"/>
    <w:rsid w:val="007C00FE"/>
    <w:rsid w:val="007C338C"/>
    <w:rsid w:val="007D5A9B"/>
    <w:rsid w:val="007E3215"/>
    <w:rsid w:val="007E6440"/>
    <w:rsid w:val="007F31F4"/>
    <w:rsid w:val="007F5311"/>
    <w:rsid w:val="007F5CF7"/>
    <w:rsid w:val="008011A0"/>
    <w:rsid w:val="008021A8"/>
    <w:rsid w:val="008101D8"/>
    <w:rsid w:val="008104DF"/>
    <w:rsid w:val="008107DF"/>
    <w:rsid w:val="00811257"/>
    <w:rsid w:val="0081370A"/>
    <w:rsid w:val="00820CFF"/>
    <w:rsid w:val="00824C26"/>
    <w:rsid w:val="00825902"/>
    <w:rsid w:val="00827F48"/>
    <w:rsid w:val="008305D4"/>
    <w:rsid w:val="008326C9"/>
    <w:rsid w:val="0083351B"/>
    <w:rsid w:val="00836B24"/>
    <w:rsid w:val="00840C91"/>
    <w:rsid w:val="00841499"/>
    <w:rsid w:val="008524CD"/>
    <w:rsid w:val="0086259F"/>
    <w:rsid w:val="00867310"/>
    <w:rsid w:val="008673A5"/>
    <w:rsid w:val="008735C2"/>
    <w:rsid w:val="00873C6F"/>
    <w:rsid w:val="00874E93"/>
    <w:rsid w:val="00874F53"/>
    <w:rsid w:val="008752F0"/>
    <w:rsid w:val="00883B30"/>
    <w:rsid w:val="00884CA6"/>
    <w:rsid w:val="008853F7"/>
    <w:rsid w:val="0088767F"/>
    <w:rsid w:val="008901D3"/>
    <w:rsid w:val="00892358"/>
    <w:rsid w:val="00892B57"/>
    <w:rsid w:val="00893D82"/>
    <w:rsid w:val="008950D6"/>
    <w:rsid w:val="00895E74"/>
    <w:rsid w:val="008A370F"/>
    <w:rsid w:val="008A3DA8"/>
    <w:rsid w:val="008B1637"/>
    <w:rsid w:val="008E0078"/>
    <w:rsid w:val="008E21A8"/>
    <w:rsid w:val="008E398F"/>
    <w:rsid w:val="008E4A71"/>
    <w:rsid w:val="008E556A"/>
    <w:rsid w:val="008F2ACA"/>
    <w:rsid w:val="008F361E"/>
    <w:rsid w:val="008F630C"/>
    <w:rsid w:val="008F63CA"/>
    <w:rsid w:val="00901546"/>
    <w:rsid w:val="0091007A"/>
    <w:rsid w:val="0091114B"/>
    <w:rsid w:val="009111C9"/>
    <w:rsid w:val="00916373"/>
    <w:rsid w:val="00924F1D"/>
    <w:rsid w:val="00932B1C"/>
    <w:rsid w:val="0093735F"/>
    <w:rsid w:val="009430D1"/>
    <w:rsid w:val="009471EA"/>
    <w:rsid w:val="0095157E"/>
    <w:rsid w:val="00951A0F"/>
    <w:rsid w:val="009634EE"/>
    <w:rsid w:val="00964079"/>
    <w:rsid w:val="00967847"/>
    <w:rsid w:val="00971E3B"/>
    <w:rsid w:val="00976732"/>
    <w:rsid w:val="00995B45"/>
    <w:rsid w:val="009A11AA"/>
    <w:rsid w:val="009A1F29"/>
    <w:rsid w:val="009A5C0B"/>
    <w:rsid w:val="009A5C93"/>
    <w:rsid w:val="009B2932"/>
    <w:rsid w:val="009B4672"/>
    <w:rsid w:val="009B4B92"/>
    <w:rsid w:val="009B6A06"/>
    <w:rsid w:val="009C0C36"/>
    <w:rsid w:val="009C1681"/>
    <w:rsid w:val="009C3FF7"/>
    <w:rsid w:val="009C4A4F"/>
    <w:rsid w:val="009D09F7"/>
    <w:rsid w:val="009D225A"/>
    <w:rsid w:val="009E269D"/>
    <w:rsid w:val="009E2A51"/>
    <w:rsid w:val="009E3B9E"/>
    <w:rsid w:val="009E4622"/>
    <w:rsid w:val="009E6D58"/>
    <w:rsid w:val="009F0474"/>
    <w:rsid w:val="009F398A"/>
    <w:rsid w:val="00A009C2"/>
    <w:rsid w:val="00A01A6B"/>
    <w:rsid w:val="00A068DB"/>
    <w:rsid w:val="00A07156"/>
    <w:rsid w:val="00A145CD"/>
    <w:rsid w:val="00A2357D"/>
    <w:rsid w:val="00A43F76"/>
    <w:rsid w:val="00A5089D"/>
    <w:rsid w:val="00A52447"/>
    <w:rsid w:val="00A5491E"/>
    <w:rsid w:val="00A5599A"/>
    <w:rsid w:val="00A56562"/>
    <w:rsid w:val="00A60676"/>
    <w:rsid w:val="00A62669"/>
    <w:rsid w:val="00A63D60"/>
    <w:rsid w:val="00A67DAE"/>
    <w:rsid w:val="00A77D5A"/>
    <w:rsid w:val="00A848C9"/>
    <w:rsid w:val="00A929A8"/>
    <w:rsid w:val="00A93057"/>
    <w:rsid w:val="00AA214F"/>
    <w:rsid w:val="00AA52E6"/>
    <w:rsid w:val="00AA7E17"/>
    <w:rsid w:val="00AB069F"/>
    <w:rsid w:val="00AB37D6"/>
    <w:rsid w:val="00AC003B"/>
    <w:rsid w:val="00AC5732"/>
    <w:rsid w:val="00AC5A5D"/>
    <w:rsid w:val="00AC73BE"/>
    <w:rsid w:val="00AD5721"/>
    <w:rsid w:val="00AD65BF"/>
    <w:rsid w:val="00AE3706"/>
    <w:rsid w:val="00AF2941"/>
    <w:rsid w:val="00AF2968"/>
    <w:rsid w:val="00AF68E4"/>
    <w:rsid w:val="00B0033D"/>
    <w:rsid w:val="00B06B26"/>
    <w:rsid w:val="00B10742"/>
    <w:rsid w:val="00B12172"/>
    <w:rsid w:val="00B20362"/>
    <w:rsid w:val="00B21896"/>
    <w:rsid w:val="00B2395A"/>
    <w:rsid w:val="00B27146"/>
    <w:rsid w:val="00B41061"/>
    <w:rsid w:val="00B41AA4"/>
    <w:rsid w:val="00B4492B"/>
    <w:rsid w:val="00B46FAA"/>
    <w:rsid w:val="00B5139F"/>
    <w:rsid w:val="00B52C87"/>
    <w:rsid w:val="00B73FB5"/>
    <w:rsid w:val="00B8330B"/>
    <w:rsid w:val="00B83D62"/>
    <w:rsid w:val="00B87879"/>
    <w:rsid w:val="00B87FCE"/>
    <w:rsid w:val="00B94168"/>
    <w:rsid w:val="00BA21B0"/>
    <w:rsid w:val="00BA3AA1"/>
    <w:rsid w:val="00BA3AC2"/>
    <w:rsid w:val="00BA5DD4"/>
    <w:rsid w:val="00BA7BBE"/>
    <w:rsid w:val="00BB6FD6"/>
    <w:rsid w:val="00BC0783"/>
    <w:rsid w:val="00BC12C2"/>
    <w:rsid w:val="00BC55FD"/>
    <w:rsid w:val="00BC717F"/>
    <w:rsid w:val="00BD4C93"/>
    <w:rsid w:val="00BE00E7"/>
    <w:rsid w:val="00BE377A"/>
    <w:rsid w:val="00BE482A"/>
    <w:rsid w:val="00BF29B0"/>
    <w:rsid w:val="00BF3191"/>
    <w:rsid w:val="00C12136"/>
    <w:rsid w:val="00C148E8"/>
    <w:rsid w:val="00C26AEF"/>
    <w:rsid w:val="00C27201"/>
    <w:rsid w:val="00C3206C"/>
    <w:rsid w:val="00C34AC7"/>
    <w:rsid w:val="00C4776F"/>
    <w:rsid w:val="00C53404"/>
    <w:rsid w:val="00C54572"/>
    <w:rsid w:val="00C550C1"/>
    <w:rsid w:val="00C57B94"/>
    <w:rsid w:val="00C60A08"/>
    <w:rsid w:val="00C615A9"/>
    <w:rsid w:val="00C62737"/>
    <w:rsid w:val="00C628F1"/>
    <w:rsid w:val="00C81DAC"/>
    <w:rsid w:val="00C829CF"/>
    <w:rsid w:val="00CA4452"/>
    <w:rsid w:val="00CB089F"/>
    <w:rsid w:val="00CB4DFF"/>
    <w:rsid w:val="00CC2C1F"/>
    <w:rsid w:val="00CC314C"/>
    <w:rsid w:val="00CC3983"/>
    <w:rsid w:val="00CC7D5D"/>
    <w:rsid w:val="00CD0680"/>
    <w:rsid w:val="00CD3DB6"/>
    <w:rsid w:val="00CD5176"/>
    <w:rsid w:val="00CD5C6F"/>
    <w:rsid w:val="00CD62AE"/>
    <w:rsid w:val="00CE1552"/>
    <w:rsid w:val="00CE1648"/>
    <w:rsid w:val="00CE4C11"/>
    <w:rsid w:val="00D009AF"/>
    <w:rsid w:val="00D02635"/>
    <w:rsid w:val="00D10B34"/>
    <w:rsid w:val="00D11B0D"/>
    <w:rsid w:val="00D1611B"/>
    <w:rsid w:val="00D16DA0"/>
    <w:rsid w:val="00D2254D"/>
    <w:rsid w:val="00D2508D"/>
    <w:rsid w:val="00D25302"/>
    <w:rsid w:val="00D25C2B"/>
    <w:rsid w:val="00D325E7"/>
    <w:rsid w:val="00D3776F"/>
    <w:rsid w:val="00D4668E"/>
    <w:rsid w:val="00D46D29"/>
    <w:rsid w:val="00D4734F"/>
    <w:rsid w:val="00D503E2"/>
    <w:rsid w:val="00D515E9"/>
    <w:rsid w:val="00D5395E"/>
    <w:rsid w:val="00D7071B"/>
    <w:rsid w:val="00D727C2"/>
    <w:rsid w:val="00D74DDB"/>
    <w:rsid w:val="00D81095"/>
    <w:rsid w:val="00D84378"/>
    <w:rsid w:val="00D850D0"/>
    <w:rsid w:val="00D85C4F"/>
    <w:rsid w:val="00D90F30"/>
    <w:rsid w:val="00D92642"/>
    <w:rsid w:val="00D958D4"/>
    <w:rsid w:val="00DA3448"/>
    <w:rsid w:val="00DA526D"/>
    <w:rsid w:val="00DA54E5"/>
    <w:rsid w:val="00DA7FEC"/>
    <w:rsid w:val="00DB326F"/>
    <w:rsid w:val="00DB4FB2"/>
    <w:rsid w:val="00DB6582"/>
    <w:rsid w:val="00DC4F9B"/>
    <w:rsid w:val="00DC6453"/>
    <w:rsid w:val="00DC7FD5"/>
    <w:rsid w:val="00DD3F29"/>
    <w:rsid w:val="00DD5F46"/>
    <w:rsid w:val="00DD650D"/>
    <w:rsid w:val="00DD7932"/>
    <w:rsid w:val="00DE14E9"/>
    <w:rsid w:val="00DE1A17"/>
    <w:rsid w:val="00DE3D42"/>
    <w:rsid w:val="00DE502D"/>
    <w:rsid w:val="00DF05B7"/>
    <w:rsid w:val="00DF1C86"/>
    <w:rsid w:val="00DF2A6A"/>
    <w:rsid w:val="00E01FF1"/>
    <w:rsid w:val="00E031D6"/>
    <w:rsid w:val="00E035F4"/>
    <w:rsid w:val="00E05E87"/>
    <w:rsid w:val="00E121EE"/>
    <w:rsid w:val="00E225E7"/>
    <w:rsid w:val="00E34860"/>
    <w:rsid w:val="00E36511"/>
    <w:rsid w:val="00E37E27"/>
    <w:rsid w:val="00E40302"/>
    <w:rsid w:val="00E53650"/>
    <w:rsid w:val="00E542D6"/>
    <w:rsid w:val="00E61631"/>
    <w:rsid w:val="00E66631"/>
    <w:rsid w:val="00E66A05"/>
    <w:rsid w:val="00E7151F"/>
    <w:rsid w:val="00E73B38"/>
    <w:rsid w:val="00E73BB4"/>
    <w:rsid w:val="00E75F19"/>
    <w:rsid w:val="00E82FB4"/>
    <w:rsid w:val="00E85249"/>
    <w:rsid w:val="00E8731C"/>
    <w:rsid w:val="00E9491E"/>
    <w:rsid w:val="00E94D2D"/>
    <w:rsid w:val="00E97840"/>
    <w:rsid w:val="00EA2AC3"/>
    <w:rsid w:val="00EA3524"/>
    <w:rsid w:val="00EA48D4"/>
    <w:rsid w:val="00EA524C"/>
    <w:rsid w:val="00EB2070"/>
    <w:rsid w:val="00EB7655"/>
    <w:rsid w:val="00EC46A8"/>
    <w:rsid w:val="00EC49D0"/>
    <w:rsid w:val="00EC78DA"/>
    <w:rsid w:val="00ED05B1"/>
    <w:rsid w:val="00ED110F"/>
    <w:rsid w:val="00ED5A73"/>
    <w:rsid w:val="00ED61AF"/>
    <w:rsid w:val="00ED6C1C"/>
    <w:rsid w:val="00ED6F23"/>
    <w:rsid w:val="00EE0E42"/>
    <w:rsid w:val="00EE2CCD"/>
    <w:rsid w:val="00EE2E93"/>
    <w:rsid w:val="00EE546A"/>
    <w:rsid w:val="00EE5AB5"/>
    <w:rsid w:val="00EE76B0"/>
    <w:rsid w:val="00EE7C72"/>
    <w:rsid w:val="00EF0C55"/>
    <w:rsid w:val="00EF2081"/>
    <w:rsid w:val="00EF4C38"/>
    <w:rsid w:val="00EF6327"/>
    <w:rsid w:val="00EF6A6A"/>
    <w:rsid w:val="00EF6FAF"/>
    <w:rsid w:val="00F07A21"/>
    <w:rsid w:val="00F10ACF"/>
    <w:rsid w:val="00F10D3F"/>
    <w:rsid w:val="00F22FA1"/>
    <w:rsid w:val="00F41CD8"/>
    <w:rsid w:val="00F4489C"/>
    <w:rsid w:val="00F50656"/>
    <w:rsid w:val="00F51FC3"/>
    <w:rsid w:val="00F57AE7"/>
    <w:rsid w:val="00F6123A"/>
    <w:rsid w:val="00F6369C"/>
    <w:rsid w:val="00F672DB"/>
    <w:rsid w:val="00F71393"/>
    <w:rsid w:val="00F74433"/>
    <w:rsid w:val="00F758FF"/>
    <w:rsid w:val="00F76C3A"/>
    <w:rsid w:val="00F80955"/>
    <w:rsid w:val="00F83C86"/>
    <w:rsid w:val="00F87A85"/>
    <w:rsid w:val="00F95FC0"/>
    <w:rsid w:val="00FA139D"/>
    <w:rsid w:val="00FB1613"/>
    <w:rsid w:val="00FB1C35"/>
    <w:rsid w:val="00FB2958"/>
    <w:rsid w:val="00FB6901"/>
    <w:rsid w:val="00FC214B"/>
    <w:rsid w:val="00FC31B2"/>
    <w:rsid w:val="00FD2F2A"/>
    <w:rsid w:val="00FD3C13"/>
    <w:rsid w:val="00FD7271"/>
    <w:rsid w:val="00FE4207"/>
    <w:rsid w:val="00FE4E8B"/>
    <w:rsid w:val="00FF28D1"/>
    <w:rsid w:val="00FF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7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8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B837-F618-49DB-A936-6449F291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dcterms:created xsi:type="dcterms:W3CDTF">2012-05-23T03:12:00Z</dcterms:created>
  <dcterms:modified xsi:type="dcterms:W3CDTF">2012-05-23T03:20:00Z</dcterms:modified>
</cp:coreProperties>
</file>