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D7" w:rsidRDefault="009A4BD7" w:rsidP="00097146">
      <w:pPr>
        <w:rPr>
          <w:rFonts w:ascii="Arial" w:hAnsi="Arial" w:cs="Arial"/>
        </w:rPr>
      </w:pPr>
    </w:p>
    <w:p w:rsidR="009A4BD7" w:rsidRDefault="009A4BD7" w:rsidP="00097146">
      <w:pPr>
        <w:rPr>
          <w:rFonts w:ascii="Arial" w:hAnsi="Arial" w:cs="Arial"/>
        </w:rPr>
      </w:pPr>
    </w:p>
    <w:p w:rsidR="009A4BD7" w:rsidRPr="00E96D81" w:rsidRDefault="009A4BD7" w:rsidP="00097146">
      <w:pPr>
        <w:rPr>
          <w:rFonts w:ascii="Arial" w:hAnsi="Arial" w:cs="Arial"/>
        </w:rPr>
      </w:pPr>
      <w:r w:rsidRPr="00E96D81">
        <w:rPr>
          <w:rFonts w:ascii="Arial" w:hAnsi="Arial" w:cs="Arial"/>
        </w:rPr>
        <w:t xml:space="preserve">STATE OF </w:t>
      </w:r>
      <w:smartTag w:uri="urn:schemas-microsoft-com:office:smarttags" w:element="State">
        <w:smartTag w:uri="urn:schemas-microsoft-com:office:smarttags" w:element="place">
          <w:r w:rsidRPr="00E96D81">
            <w:rPr>
              <w:rFonts w:ascii="Arial" w:hAnsi="Arial" w:cs="Arial"/>
            </w:rPr>
            <w:t>MAINE</w:t>
          </w:r>
        </w:smartTag>
      </w:smartTag>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Docket No. 2012-230</w:t>
      </w:r>
    </w:p>
    <w:p w:rsidR="009A4BD7" w:rsidRPr="00E96D81" w:rsidRDefault="009A4BD7" w:rsidP="00097146">
      <w:pPr>
        <w:rPr>
          <w:rFonts w:ascii="Arial" w:hAnsi="Arial" w:cs="Arial"/>
        </w:rPr>
      </w:pPr>
      <w:r w:rsidRPr="00E96D81">
        <w:rPr>
          <w:rFonts w:ascii="Arial" w:hAnsi="Arial" w:cs="Arial"/>
        </w:rPr>
        <w:t>PUBLIC UTILITIES COMMISSION</w:t>
      </w:r>
    </w:p>
    <w:p w:rsidR="009A4BD7" w:rsidRPr="00E96D81" w:rsidRDefault="009A4BD7" w:rsidP="000971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October 9, 2012</w:t>
      </w:r>
    </w:p>
    <w:p w:rsidR="009A4BD7" w:rsidRPr="00E96D81" w:rsidRDefault="009A4BD7" w:rsidP="00097146">
      <w:pPr>
        <w:rPr>
          <w:rFonts w:ascii="Arial" w:hAnsi="Arial" w:cs="Arial"/>
        </w:rPr>
      </w:pPr>
    </w:p>
    <w:p w:rsidR="009A4BD7" w:rsidRPr="00E96D81" w:rsidRDefault="009A4BD7" w:rsidP="00097146">
      <w:pPr>
        <w:rPr>
          <w:rFonts w:ascii="Arial" w:hAnsi="Arial" w:cs="Arial"/>
        </w:rPr>
      </w:pPr>
      <w:r w:rsidRPr="00E96D81">
        <w:rPr>
          <w:rFonts w:ascii="Arial" w:hAnsi="Arial" w:cs="Arial"/>
        </w:rPr>
        <w:t xml:space="preserve">PUBLIC </w:t>
      </w:r>
      <w:r>
        <w:rPr>
          <w:rFonts w:ascii="Arial" w:hAnsi="Arial" w:cs="Arial"/>
        </w:rPr>
        <w:t>UTILITIES COMMISSION</w:t>
      </w:r>
      <w:r>
        <w:rPr>
          <w:rFonts w:ascii="Arial" w:hAnsi="Arial" w:cs="Arial"/>
        </w:rPr>
        <w:tab/>
      </w:r>
      <w:r>
        <w:rPr>
          <w:rFonts w:ascii="Arial" w:hAnsi="Arial" w:cs="Arial"/>
        </w:rPr>
        <w:tab/>
      </w:r>
      <w:r>
        <w:rPr>
          <w:rFonts w:ascii="Arial" w:hAnsi="Arial" w:cs="Arial"/>
        </w:rPr>
        <w:tab/>
        <w:t>ORDER</w:t>
      </w:r>
      <w:r w:rsidRPr="00E96D81">
        <w:rPr>
          <w:rFonts w:ascii="Arial" w:hAnsi="Arial" w:cs="Arial"/>
        </w:rPr>
        <w:t xml:space="preserve"> </w:t>
      </w:r>
      <w:r>
        <w:rPr>
          <w:rFonts w:ascii="Arial" w:hAnsi="Arial" w:cs="Arial"/>
        </w:rPr>
        <w:t>ADOPTING</w:t>
      </w:r>
    </w:p>
    <w:p w:rsidR="009A4BD7" w:rsidRDefault="009A4BD7" w:rsidP="00097146">
      <w:pPr>
        <w:ind w:left="5760" w:right="-144" w:hanging="5760"/>
        <w:rPr>
          <w:rFonts w:ascii="Arial" w:hAnsi="Arial" w:cs="Arial"/>
        </w:rPr>
      </w:pPr>
      <w:r>
        <w:rPr>
          <w:rFonts w:ascii="Arial" w:hAnsi="Arial" w:cs="Arial"/>
        </w:rPr>
        <w:t>Amendments to Filing Requirements</w:t>
      </w:r>
      <w:r>
        <w:rPr>
          <w:rFonts w:ascii="Arial" w:hAnsi="Arial" w:cs="Arial"/>
        </w:rPr>
        <w:tab/>
        <w:t xml:space="preserve">AMENDMENTS AND </w:t>
      </w:r>
    </w:p>
    <w:p w:rsidR="009A4BD7" w:rsidRDefault="009A4BD7" w:rsidP="00097146">
      <w:pPr>
        <w:ind w:left="5760" w:right="-144" w:hanging="5760"/>
        <w:rPr>
          <w:rFonts w:ascii="Arial" w:hAnsi="Arial" w:cs="Arial"/>
        </w:rPr>
      </w:pPr>
      <w:r>
        <w:rPr>
          <w:rFonts w:ascii="Arial" w:hAnsi="Arial" w:cs="Arial"/>
        </w:rPr>
        <w:t>for Petitions for Certificates of Public</w:t>
      </w:r>
      <w:r>
        <w:rPr>
          <w:rFonts w:ascii="Arial" w:hAnsi="Arial" w:cs="Arial"/>
        </w:rPr>
        <w:tab/>
        <w:t>STATEMENT OF FACTUAL</w:t>
      </w:r>
    </w:p>
    <w:p w:rsidR="009A4BD7" w:rsidRDefault="009A4BD7" w:rsidP="00097146">
      <w:pPr>
        <w:ind w:left="5760" w:right="-144" w:hanging="5760"/>
        <w:rPr>
          <w:rFonts w:ascii="Arial" w:hAnsi="Arial" w:cs="Arial"/>
        </w:rPr>
      </w:pPr>
      <w:r>
        <w:rPr>
          <w:rFonts w:ascii="Arial" w:hAnsi="Arial" w:cs="Arial"/>
        </w:rPr>
        <w:t>Convenience and Necessity for Electric</w:t>
      </w:r>
      <w:r>
        <w:rPr>
          <w:rFonts w:ascii="Arial" w:hAnsi="Arial" w:cs="Arial"/>
        </w:rPr>
        <w:tab/>
        <w:t>AND POLICY BASIS</w:t>
      </w:r>
    </w:p>
    <w:p w:rsidR="009A4BD7" w:rsidRDefault="009A4BD7" w:rsidP="00097146">
      <w:pPr>
        <w:ind w:left="5760" w:right="-144" w:hanging="5760"/>
        <w:rPr>
          <w:rFonts w:ascii="Arial" w:hAnsi="Arial" w:cs="Arial"/>
        </w:rPr>
      </w:pPr>
      <w:r>
        <w:rPr>
          <w:rFonts w:ascii="Arial" w:hAnsi="Arial" w:cs="Arial"/>
        </w:rPr>
        <w:t>Transmission Facilities (Chapter 330)</w:t>
      </w:r>
    </w:p>
    <w:p w:rsidR="009A4BD7" w:rsidRDefault="009A4BD7" w:rsidP="00097146">
      <w:pPr>
        <w:ind w:left="5760" w:right="-144" w:hanging="5760"/>
        <w:rPr>
          <w:rFonts w:ascii="Arial" w:hAnsi="Arial" w:cs="Arial"/>
        </w:rPr>
      </w:pPr>
    </w:p>
    <w:p w:rsidR="009A4BD7" w:rsidRPr="001E5CEC" w:rsidRDefault="009A4BD7" w:rsidP="001E5CEC">
      <w:pPr>
        <w:pBdr>
          <w:bottom w:val="single" w:sz="12" w:space="1" w:color="auto"/>
        </w:pBdr>
        <w:jc w:val="center"/>
        <w:rPr>
          <w:rFonts w:ascii="Arial" w:hAnsi="Arial" w:cs="Arial"/>
        </w:rPr>
      </w:pPr>
      <w:r w:rsidRPr="001E5CEC">
        <w:rPr>
          <w:rFonts w:ascii="Arial" w:hAnsi="Arial" w:cs="Arial"/>
        </w:rPr>
        <w:t>WELCH, Chairman; LITTELL and VANNOY, Commissioners</w:t>
      </w:r>
    </w:p>
    <w:p w:rsidR="009A4BD7" w:rsidRPr="00E96D81" w:rsidRDefault="009A4BD7" w:rsidP="00097146">
      <w:pPr>
        <w:ind w:left="5760" w:right="-144" w:hanging="5760"/>
        <w:rPr>
          <w:rFonts w:ascii="Arial" w:hAnsi="Arial" w:cs="Arial"/>
        </w:rPr>
      </w:pPr>
      <w:r w:rsidRPr="00E96D81">
        <w:rPr>
          <w:rFonts w:ascii="Arial" w:hAnsi="Arial" w:cs="Arial"/>
        </w:rPr>
        <w:tab/>
        <w:t xml:space="preserve"> </w:t>
      </w:r>
      <w:r w:rsidRPr="00E96D81">
        <w:rPr>
          <w:rFonts w:ascii="Arial" w:hAnsi="Arial" w:cs="Arial"/>
        </w:rPr>
        <w:tab/>
      </w:r>
      <w:r w:rsidRPr="00E96D81">
        <w:rPr>
          <w:rFonts w:ascii="Arial" w:hAnsi="Arial" w:cs="Arial"/>
        </w:rPr>
        <w:tab/>
      </w:r>
      <w:r w:rsidRPr="00E96D81">
        <w:rPr>
          <w:rFonts w:ascii="Arial" w:hAnsi="Arial" w:cs="Arial"/>
        </w:rPr>
        <w:tab/>
      </w:r>
      <w:r w:rsidRPr="00E96D81">
        <w:rPr>
          <w:rFonts w:ascii="Arial" w:hAnsi="Arial" w:cs="Arial"/>
        </w:rPr>
        <w:tab/>
      </w:r>
      <w:r w:rsidRPr="00E96D81">
        <w:rPr>
          <w:rFonts w:ascii="Arial" w:hAnsi="Arial" w:cs="Arial"/>
        </w:rPr>
        <w:tab/>
      </w:r>
      <w:r w:rsidRPr="00E96D81">
        <w:rPr>
          <w:rFonts w:ascii="Arial" w:hAnsi="Arial" w:cs="Arial"/>
        </w:rPr>
        <w:tab/>
      </w:r>
      <w:r w:rsidRPr="00E96D81">
        <w:rPr>
          <w:rFonts w:ascii="Arial" w:hAnsi="Arial" w:cs="Arial"/>
        </w:rPr>
        <w:tab/>
      </w:r>
      <w:r w:rsidRPr="00E96D81">
        <w:rPr>
          <w:rFonts w:ascii="Arial" w:hAnsi="Arial" w:cs="Arial"/>
        </w:rPr>
        <w:tab/>
      </w:r>
    </w:p>
    <w:p w:rsidR="009A4BD7" w:rsidRDefault="009A4BD7" w:rsidP="00097146">
      <w:pPr>
        <w:numPr>
          <w:ilvl w:val="0"/>
          <w:numId w:val="4"/>
        </w:numPr>
        <w:rPr>
          <w:rFonts w:ascii="Arial" w:hAnsi="Arial" w:cs="Arial"/>
          <w:b/>
        </w:rPr>
      </w:pPr>
      <w:r w:rsidRPr="00E96D81">
        <w:rPr>
          <w:rFonts w:ascii="Arial" w:hAnsi="Arial" w:cs="Arial"/>
          <w:b/>
        </w:rPr>
        <w:t xml:space="preserve">SUMMARY </w:t>
      </w:r>
    </w:p>
    <w:p w:rsidR="009A4BD7" w:rsidRPr="00E96D81" w:rsidRDefault="009A4BD7" w:rsidP="00097146">
      <w:pPr>
        <w:rPr>
          <w:rFonts w:ascii="Arial" w:hAnsi="Arial" w:cs="Arial"/>
        </w:rPr>
      </w:pPr>
    </w:p>
    <w:p w:rsidR="009A4BD7" w:rsidRDefault="009A4BD7" w:rsidP="00097146">
      <w:pPr>
        <w:ind w:firstLine="1080"/>
        <w:rPr>
          <w:rFonts w:ascii="Arial" w:hAnsi="Arial" w:cs="Arial"/>
        </w:rPr>
      </w:pPr>
      <w:r w:rsidRPr="00E96D81">
        <w:rPr>
          <w:rFonts w:ascii="Arial" w:hAnsi="Arial" w:cs="Arial"/>
        </w:rPr>
        <w:t xml:space="preserve">Through this </w:t>
      </w:r>
      <w:r>
        <w:rPr>
          <w:rFonts w:ascii="Arial" w:hAnsi="Arial" w:cs="Arial"/>
        </w:rPr>
        <w:t>Order, we adopt amendments to our rule regarding the requirements for petitions for certificates of public convenience and necessity (CPCNs) for electric transmission facilities (Chapter 330), so that the rule is consistent with current statutes.</w:t>
      </w:r>
    </w:p>
    <w:p w:rsidR="009A4BD7" w:rsidRDefault="009A4BD7" w:rsidP="00097146">
      <w:pPr>
        <w:rPr>
          <w:rFonts w:ascii="Arial" w:hAnsi="Arial" w:cs="Arial"/>
          <w:b/>
        </w:rPr>
      </w:pPr>
    </w:p>
    <w:p w:rsidR="009A4BD7" w:rsidRPr="00E96D81" w:rsidRDefault="009A4BD7" w:rsidP="00097146">
      <w:pPr>
        <w:numPr>
          <w:ilvl w:val="0"/>
          <w:numId w:val="3"/>
        </w:numPr>
        <w:rPr>
          <w:rFonts w:ascii="Arial" w:hAnsi="Arial" w:cs="Arial"/>
          <w:b/>
        </w:rPr>
      </w:pPr>
      <w:r w:rsidRPr="00E96D81">
        <w:rPr>
          <w:rFonts w:ascii="Arial" w:hAnsi="Arial" w:cs="Arial"/>
          <w:b/>
        </w:rPr>
        <w:t xml:space="preserve">BACKGROUND </w:t>
      </w:r>
    </w:p>
    <w:p w:rsidR="009A4BD7" w:rsidRPr="00E96D81" w:rsidRDefault="009A4BD7" w:rsidP="00097146">
      <w:pPr>
        <w:ind w:firstLine="720"/>
        <w:rPr>
          <w:rFonts w:ascii="Arial" w:hAnsi="Arial" w:cs="Arial"/>
        </w:rPr>
      </w:pPr>
    </w:p>
    <w:p w:rsidR="009A4BD7" w:rsidRDefault="009A4BD7" w:rsidP="00097146">
      <w:pPr>
        <w:ind w:firstLine="1080"/>
        <w:rPr>
          <w:rFonts w:ascii="Arial" w:hAnsi="Arial" w:cs="Arial"/>
        </w:rPr>
      </w:pPr>
      <w:r>
        <w:rPr>
          <w:rFonts w:ascii="Arial" w:hAnsi="Arial" w:cs="Arial"/>
        </w:rPr>
        <w:t xml:space="preserve">Chapter 330 was last amended in 2005 through a rulemaking proceeding in Docket No. 2004-572.  In </w:t>
      </w:r>
      <w:r w:rsidRPr="00E96D81">
        <w:rPr>
          <w:rFonts w:ascii="Arial" w:hAnsi="Arial" w:cs="Arial"/>
        </w:rPr>
        <w:t>200</w:t>
      </w:r>
      <w:r>
        <w:rPr>
          <w:rFonts w:ascii="Arial" w:hAnsi="Arial" w:cs="Arial"/>
        </w:rPr>
        <w:t>7, 2009, and 2011,</w:t>
      </w:r>
      <w:r w:rsidRPr="00E96D81">
        <w:rPr>
          <w:rFonts w:ascii="Arial" w:hAnsi="Arial" w:cs="Arial"/>
        </w:rPr>
        <w:t xml:space="preserve"> the Maine Legislature amended 35-A M.R.S.A. </w:t>
      </w:r>
      <w:r>
        <w:rPr>
          <w:rFonts w:ascii="Arial" w:hAnsi="Arial" w:cs="Arial"/>
        </w:rPr>
        <w:t>§</w:t>
      </w:r>
      <w:r w:rsidRPr="00E96D81">
        <w:rPr>
          <w:rFonts w:ascii="Arial" w:hAnsi="Arial" w:cs="Arial"/>
        </w:rPr>
        <w:t>§</w:t>
      </w:r>
      <w:r>
        <w:rPr>
          <w:rFonts w:ascii="Arial" w:hAnsi="Arial" w:cs="Arial"/>
        </w:rPr>
        <w:t xml:space="preserve"> 3131 and 3132, which are the statutory sections governing approval by the Commission of transmission line construction.  Section 3132 of the statute describes the filing requirements and standards required to petition and receive a CPCN from the Commission when constructing, rebuilding or relocating a transmission line.  Section 3131 defines terms used throughout section 3132.</w:t>
      </w:r>
    </w:p>
    <w:p w:rsidR="009A4BD7" w:rsidRDefault="009A4BD7" w:rsidP="00097146">
      <w:pPr>
        <w:ind w:firstLine="720"/>
        <w:rPr>
          <w:rFonts w:ascii="Arial" w:hAnsi="Arial" w:cs="Arial"/>
        </w:rPr>
      </w:pPr>
    </w:p>
    <w:p w:rsidR="009A4BD7" w:rsidRDefault="009A4BD7" w:rsidP="00FE2D67">
      <w:pPr>
        <w:ind w:firstLine="1080"/>
        <w:rPr>
          <w:rFonts w:ascii="Arial" w:hAnsi="Arial" w:cs="Arial"/>
        </w:rPr>
      </w:pPr>
      <w:r>
        <w:rPr>
          <w:rFonts w:ascii="Arial" w:hAnsi="Arial" w:cs="Arial"/>
        </w:rPr>
        <w:t>The most substantial amendment necessitated by the recent statutory changes is the voltage level of a transmission line at which the need for a CPCN is triggered.  The current statute requires a CPCN for a transmission line capable of operating at 69kV or higher, whereas the prior requirement was for 100 kV or higher.  The rule has also been amended in minor ways for the sake of clarity and conformance with the statute.  While previously the rule had only referred to a utility petitioning for a CPCN, the statute now requires the replacement of “utility” with the more inclusive “person,” since both utilities and non-utilities may be required to petition for a CPCN.</w:t>
      </w:r>
    </w:p>
    <w:p w:rsidR="009A4BD7" w:rsidRDefault="009A4BD7" w:rsidP="00097146">
      <w:pPr>
        <w:rPr>
          <w:rFonts w:ascii="Arial" w:hAnsi="Arial" w:cs="Arial"/>
          <w:b/>
        </w:rPr>
      </w:pPr>
    </w:p>
    <w:p w:rsidR="009A4BD7" w:rsidRDefault="009A4BD7" w:rsidP="00097146">
      <w:pPr>
        <w:numPr>
          <w:ilvl w:val="0"/>
          <w:numId w:val="2"/>
        </w:numPr>
        <w:rPr>
          <w:rFonts w:ascii="Arial" w:hAnsi="Arial" w:cs="Arial"/>
          <w:b/>
        </w:rPr>
      </w:pPr>
      <w:r>
        <w:rPr>
          <w:rFonts w:ascii="Arial" w:hAnsi="Arial" w:cs="Arial"/>
          <w:b/>
        </w:rPr>
        <w:t>RULEMAKING PROCESS</w:t>
      </w:r>
    </w:p>
    <w:p w:rsidR="009A4BD7" w:rsidRPr="00546E09" w:rsidRDefault="009A4BD7" w:rsidP="00546E09">
      <w:pPr>
        <w:ind w:left="1080"/>
        <w:rPr>
          <w:rFonts w:ascii="Arial" w:hAnsi="Arial" w:cs="Arial"/>
        </w:rPr>
      </w:pPr>
    </w:p>
    <w:p w:rsidR="009A4BD7" w:rsidRPr="001F5461" w:rsidRDefault="009A4BD7" w:rsidP="00546E09">
      <w:pPr>
        <w:ind w:left="1080"/>
        <w:rPr>
          <w:rFonts w:ascii="Arial" w:hAnsi="Arial" w:cs="Arial"/>
        </w:rPr>
      </w:pPr>
      <w:r w:rsidRPr="001F5461">
        <w:rPr>
          <w:rFonts w:ascii="Arial" w:hAnsi="Arial" w:cs="Arial"/>
        </w:rPr>
        <w:t>On June 27, 2012, the Commission issued a Notice of Rulemaking</w:t>
      </w:r>
    </w:p>
    <w:p w:rsidR="009A4BD7" w:rsidRPr="0015270F" w:rsidRDefault="009A4BD7" w:rsidP="001F5461">
      <w:pPr>
        <w:rPr>
          <w:rFonts w:ascii="Arial" w:hAnsi="Arial" w:cs="Arial"/>
        </w:rPr>
      </w:pPr>
      <w:r w:rsidRPr="001F5461">
        <w:rPr>
          <w:rFonts w:ascii="Arial" w:hAnsi="Arial" w:cs="Arial"/>
        </w:rPr>
        <w:t>(NO</w:t>
      </w:r>
      <w:r>
        <w:rPr>
          <w:rFonts w:ascii="Arial" w:hAnsi="Arial" w:cs="Arial"/>
        </w:rPr>
        <w:t>R</w:t>
      </w:r>
      <w:r w:rsidRPr="001F5461">
        <w:rPr>
          <w:rFonts w:ascii="Arial" w:hAnsi="Arial" w:cs="Arial"/>
        </w:rPr>
        <w:t xml:space="preserve">) </w:t>
      </w:r>
      <w:r w:rsidRPr="0015270F">
        <w:rPr>
          <w:rFonts w:ascii="Arial" w:hAnsi="Arial" w:cs="Arial"/>
        </w:rPr>
        <w:t>and proposed amendments to Chapter 33</w:t>
      </w:r>
      <w:r>
        <w:rPr>
          <w:rFonts w:ascii="Arial" w:hAnsi="Arial" w:cs="Arial"/>
        </w:rPr>
        <w:t xml:space="preserve">0.  </w:t>
      </w:r>
      <w:r w:rsidRPr="0015270F">
        <w:rPr>
          <w:rFonts w:ascii="Arial" w:hAnsi="Arial" w:cs="Arial"/>
        </w:rPr>
        <w:t xml:space="preserve">The Commission did not schedule a public hearing on this matter, but pursuant to rulemaking procedures, provided an opportunity for interested persons to request such a hearing.  The deadline for requesting a public hearing was July 20, 2012.  No public hearing requests were received.  Additionally, we provided interested persons with an opportunity to provide written comments on the proposed rule.  The deadline for submitting such comments was August 10, 2012.  Central Maine Power Company (CMP) and the Office of the Public Advocate (OPA) provided comments.  </w:t>
      </w:r>
    </w:p>
    <w:p w:rsidR="009A4BD7" w:rsidRPr="001F5461" w:rsidRDefault="009A4BD7" w:rsidP="00C97D1F">
      <w:pPr>
        <w:rPr>
          <w:rFonts w:ascii="Arial" w:hAnsi="Arial" w:cs="Arial"/>
        </w:rPr>
      </w:pPr>
    </w:p>
    <w:p w:rsidR="009A4BD7" w:rsidRPr="00546E09" w:rsidRDefault="009A4BD7" w:rsidP="00546E09">
      <w:pPr>
        <w:ind w:left="1080"/>
        <w:rPr>
          <w:rFonts w:ascii="Arial" w:hAnsi="Arial" w:cs="Arial"/>
          <w:b/>
        </w:rPr>
      </w:pPr>
    </w:p>
    <w:p w:rsidR="009A4BD7" w:rsidRDefault="009A4BD7" w:rsidP="00097146">
      <w:pPr>
        <w:tabs>
          <w:tab w:val="left" w:pos="720"/>
        </w:tabs>
        <w:ind w:left="360"/>
        <w:rPr>
          <w:rFonts w:ascii="Arial" w:hAnsi="Arial" w:cs="Arial"/>
          <w:b/>
        </w:rPr>
      </w:pPr>
      <w:r>
        <w:rPr>
          <w:rFonts w:ascii="Arial" w:hAnsi="Arial" w:cs="Arial"/>
          <w:b/>
        </w:rPr>
        <w:t xml:space="preserve">AMENDED RULE PROVISIONS </w:t>
      </w:r>
    </w:p>
    <w:p w:rsidR="009A4BD7" w:rsidRDefault="009A4BD7" w:rsidP="00097146">
      <w:pPr>
        <w:tabs>
          <w:tab w:val="left" w:pos="720"/>
        </w:tabs>
        <w:ind w:left="360"/>
        <w:rPr>
          <w:rFonts w:ascii="Arial" w:hAnsi="Arial" w:cs="Arial"/>
          <w:b/>
        </w:rPr>
      </w:pPr>
    </w:p>
    <w:p w:rsidR="009A4BD7" w:rsidRDefault="009A4BD7" w:rsidP="00097146">
      <w:pPr>
        <w:tabs>
          <w:tab w:val="left" w:pos="720"/>
        </w:tabs>
        <w:ind w:left="360"/>
        <w:rPr>
          <w:rFonts w:ascii="Arial" w:hAnsi="Arial" w:cs="Arial"/>
          <w:u w:val="single"/>
        </w:rPr>
      </w:pPr>
      <w:r w:rsidRPr="004C79AB">
        <w:rPr>
          <w:rFonts w:ascii="Arial" w:hAnsi="Arial" w:cs="Arial"/>
        </w:rPr>
        <w:tab/>
        <w:t>A.</w:t>
      </w:r>
      <w:r w:rsidRPr="004C79AB">
        <w:rPr>
          <w:rFonts w:ascii="Arial" w:hAnsi="Arial" w:cs="Arial"/>
        </w:rPr>
        <w:tab/>
      </w:r>
      <w:r>
        <w:rPr>
          <w:rFonts w:ascii="Arial" w:hAnsi="Arial" w:cs="Arial"/>
          <w:u w:val="single"/>
        </w:rPr>
        <w:t>Purpose (Section 1)</w:t>
      </w:r>
    </w:p>
    <w:p w:rsidR="009A4BD7" w:rsidRDefault="009A4BD7" w:rsidP="00097146">
      <w:pPr>
        <w:tabs>
          <w:tab w:val="left" w:pos="720"/>
        </w:tabs>
        <w:ind w:left="360"/>
        <w:rPr>
          <w:rFonts w:ascii="Arial" w:hAnsi="Arial" w:cs="Arial"/>
        </w:rPr>
      </w:pPr>
      <w:r>
        <w:rPr>
          <w:rFonts w:ascii="Arial" w:hAnsi="Arial" w:cs="Arial"/>
        </w:rPr>
        <w:tab/>
      </w:r>
      <w:r>
        <w:rPr>
          <w:rFonts w:ascii="Arial" w:hAnsi="Arial" w:cs="Arial"/>
        </w:rPr>
        <w:tab/>
      </w:r>
    </w:p>
    <w:p w:rsidR="009A4BD7" w:rsidRPr="004155E8" w:rsidRDefault="009A4BD7" w:rsidP="00097146">
      <w:pPr>
        <w:tabs>
          <w:tab w:val="left" w:pos="720"/>
        </w:tabs>
        <w:ind w:firstLine="1440"/>
        <w:rPr>
          <w:rFonts w:ascii="Arial" w:hAnsi="Arial" w:cs="Arial"/>
        </w:rPr>
      </w:pPr>
      <w:r>
        <w:rPr>
          <w:rFonts w:ascii="Arial" w:hAnsi="Arial" w:cs="Arial"/>
        </w:rPr>
        <w:t xml:space="preserve">This section was added for clarification and conformity with the structure of other Commission rules.  </w:t>
      </w:r>
      <w:r w:rsidRPr="004155E8">
        <w:rPr>
          <w:rFonts w:ascii="Arial" w:hAnsi="Arial" w:cs="Arial"/>
        </w:rPr>
        <w:t xml:space="preserve">The purpose of this </w:t>
      </w:r>
      <w:r>
        <w:rPr>
          <w:rFonts w:ascii="Arial" w:hAnsi="Arial" w:cs="Arial"/>
        </w:rPr>
        <w:t>C</w:t>
      </w:r>
      <w:r w:rsidRPr="004155E8">
        <w:rPr>
          <w:rFonts w:ascii="Arial" w:hAnsi="Arial" w:cs="Arial"/>
        </w:rPr>
        <w:t xml:space="preserve">hapter is to </w:t>
      </w:r>
      <w:r>
        <w:rPr>
          <w:rFonts w:ascii="Arial" w:hAnsi="Arial" w:cs="Arial"/>
        </w:rPr>
        <w:t>establish filing requirements and standards for the review and issuance of CPCNs</w:t>
      </w:r>
      <w:r w:rsidRPr="004155E8">
        <w:rPr>
          <w:rFonts w:ascii="Arial" w:hAnsi="Arial" w:cs="Arial"/>
        </w:rPr>
        <w:t xml:space="preserve">.  </w:t>
      </w:r>
      <w:r w:rsidRPr="00CC0415">
        <w:rPr>
          <w:rFonts w:ascii="Arial" w:hAnsi="Arial" w:cs="Arial"/>
          <w:bCs/>
        </w:rPr>
        <w:t xml:space="preserve">No one commented on this </w:t>
      </w:r>
      <w:r>
        <w:rPr>
          <w:rFonts w:ascii="Arial" w:hAnsi="Arial" w:cs="Arial"/>
          <w:bCs/>
        </w:rPr>
        <w:t xml:space="preserve">new </w:t>
      </w:r>
      <w:r w:rsidRPr="00CC0415">
        <w:rPr>
          <w:rFonts w:ascii="Arial" w:hAnsi="Arial" w:cs="Arial"/>
          <w:bCs/>
        </w:rPr>
        <w:t>provision and it is unchanged from the proposed rule.</w:t>
      </w:r>
    </w:p>
    <w:p w:rsidR="009A4BD7" w:rsidRPr="004155E8" w:rsidRDefault="009A4BD7" w:rsidP="00097146">
      <w:pPr>
        <w:tabs>
          <w:tab w:val="left" w:pos="720"/>
        </w:tabs>
        <w:ind w:left="360"/>
        <w:rPr>
          <w:rFonts w:ascii="Arial" w:hAnsi="Arial" w:cs="Arial"/>
        </w:rPr>
      </w:pPr>
    </w:p>
    <w:p w:rsidR="009A4BD7" w:rsidRDefault="009A4BD7" w:rsidP="00097146">
      <w:pPr>
        <w:tabs>
          <w:tab w:val="left" w:pos="720"/>
        </w:tabs>
        <w:rPr>
          <w:rFonts w:ascii="Arial" w:hAnsi="Arial" w:cs="Arial"/>
        </w:rPr>
      </w:pPr>
      <w:r w:rsidRPr="00B51D87">
        <w:rPr>
          <w:rFonts w:ascii="Arial" w:hAnsi="Arial" w:cs="Arial"/>
        </w:rPr>
        <w:tab/>
        <w:t>B.</w:t>
      </w:r>
      <w:r w:rsidRPr="00B51D87">
        <w:rPr>
          <w:rFonts w:ascii="Arial" w:hAnsi="Arial" w:cs="Arial"/>
        </w:rPr>
        <w:tab/>
      </w:r>
      <w:r>
        <w:rPr>
          <w:rFonts w:ascii="Arial" w:hAnsi="Arial" w:cs="Arial"/>
          <w:u w:val="single"/>
        </w:rPr>
        <w:t>Definitions (Section 2)</w:t>
      </w:r>
    </w:p>
    <w:p w:rsidR="009A4BD7" w:rsidRDefault="009A4BD7" w:rsidP="00097146">
      <w:pPr>
        <w:tabs>
          <w:tab w:val="left" w:pos="720"/>
        </w:tabs>
        <w:rPr>
          <w:rFonts w:ascii="Arial" w:hAnsi="Arial" w:cs="Arial"/>
        </w:rPr>
      </w:pPr>
      <w:r>
        <w:rPr>
          <w:rFonts w:ascii="Arial" w:hAnsi="Arial" w:cs="Arial"/>
        </w:rPr>
        <w:tab/>
      </w:r>
    </w:p>
    <w:p w:rsidR="009A4BD7" w:rsidRDefault="009A4BD7" w:rsidP="00097146">
      <w:pPr>
        <w:tabs>
          <w:tab w:val="left" w:pos="720"/>
        </w:tabs>
        <w:ind w:firstLine="1440"/>
        <w:rPr>
          <w:rFonts w:ascii="Arial" w:hAnsi="Arial" w:cs="Arial"/>
        </w:rPr>
      </w:pPr>
      <w:r>
        <w:rPr>
          <w:rFonts w:ascii="Arial" w:hAnsi="Arial" w:cs="Arial"/>
        </w:rPr>
        <w:t xml:space="preserve">This section was added for clarification and conformity with the structure of other Commission rules.  Section 2 contains definitions of terms used throughout the rule based on their statutory definitions.  The definition for “generator interconnection transmission facility” is defined in section 3132(1-B).  “Minor transmission line construction project” is defined in section 3132(3-A) and “high-impact electric transmission line” is defined in section 3131(4-A).  “Person” is defined in 35-A M.R.S.A. § 102(11).  These terms were not previously defined in this rule.  </w:t>
      </w:r>
    </w:p>
    <w:p w:rsidR="009A4BD7" w:rsidRDefault="009A4BD7" w:rsidP="00097146">
      <w:pPr>
        <w:tabs>
          <w:tab w:val="left" w:pos="720"/>
        </w:tabs>
        <w:ind w:firstLine="1440"/>
        <w:rPr>
          <w:rFonts w:ascii="Arial" w:hAnsi="Arial" w:cs="Arial"/>
        </w:rPr>
      </w:pPr>
    </w:p>
    <w:p w:rsidR="009A4BD7" w:rsidRDefault="009A4BD7" w:rsidP="00097146">
      <w:pPr>
        <w:tabs>
          <w:tab w:val="left" w:pos="720"/>
        </w:tabs>
        <w:rPr>
          <w:rFonts w:ascii="Arial" w:hAnsi="Arial" w:cs="Arial"/>
        </w:rPr>
      </w:pPr>
      <w:r>
        <w:rPr>
          <w:rFonts w:ascii="Arial" w:hAnsi="Arial" w:cs="Arial"/>
        </w:rPr>
        <w:tab/>
      </w:r>
      <w:r>
        <w:rPr>
          <w:rFonts w:ascii="Arial" w:hAnsi="Arial" w:cs="Arial"/>
        </w:rPr>
        <w:tab/>
        <w:t xml:space="preserve">The proposed rule mirrored the statute in stating that a minor transmission line construction project “is a transmission line construction project the cost of which does not exceed 25% of the utility’s current annual transmission property depreciation charge.”  In the NOR, the Commission requested comments on whether this definition is adequate or whether cost should be more specifically defined (e.g., annual carrying cost or total construction cost).  Both CMP and the OPA commented that no further definition was needed because the cost is specifically defined in the statute.  Accordingly, the definition is unchanged from the proposed rule.  </w:t>
      </w:r>
    </w:p>
    <w:p w:rsidR="009A4BD7" w:rsidRPr="00E96D81" w:rsidRDefault="009A4BD7" w:rsidP="00097146">
      <w:pPr>
        <w:tabs>
          <w:tab w:val="left" w:pos="720"/>
        </w:tabs>
        <w:rPr>
          <w:rFonts w:ascii="Arial" w:hAnsi="Arial" w:cs="Arial"/>
        </w:rPr>
      </w:pPr>
    </w:p>
    <w:p w:rsidR="009A4BD7" w:rsidRPr="00E96D81" w:rsidRDefault="009A4BD7" w:rsidP="00097146">
      <w:pPr>
        <w:numPr>
          <w:ilvl w:val="0"/>
          <w:numId w:val="1"/>
        </w:numPr>
        <w:rPr>
          <w:rFonts w:ascii="Arial" w:hAnsi="Arial" w:cs="Arial"/>
          <w:u w:val="single"/>
        </w:rPr>
      </w:pPr>
      <w:r>
        <w:rPr>
          <w:rFonts w:ascii="Arial" w:hAnsi="Arial" w:cs="Arial"/>
          <w:u w:val="single"/>
        </w:rPr>
        <w:t>Certificate Requirements and Deadlines (Section 3</w:t>
      </w:r>
      <w:r w:rsidRPr="00E96D81">
        <w:rPr>
          <w:rFonts w:ascii="Arial" w:hAnsi="Arial" w:cs="Arial"/>
          <w:u w:val="single"/>
        </w:rPr>
        <w:t>)</w:t>
      </w:r>
    </w:p>
    <w:p w:rsidR="009A4BD7" w:rsidRPr="00E96D81" w:rsidRDefault="009A4BD7" w:rsidP="00097146">
      <w:pPr>
        <w:tabs>
          <w:tab w:val="left" w:pos="720"/>
        </w:tabs>
        <w:ind w:firstLine="72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This section has been amended to describe the change in the requirements for certification.  It was previously titled “Application of Rule and Deadlines” and has been changed to “Certificate Requirements and Deadlines.”  For clarity, this section now includes a “certificate required” subsection and a “certificate not required” subsection.  The “certificate required” subsection has been further delineated into four subsections, outlining the different requirements for the construction of a new transmission line, the construction of a minor transmission project and the requirements for rebuilding or relocating an existing transmission line, along with an unchanged “deadlines and extensions” subsection.</w:t>
      </w:r>
    </w:p>
    <w:p w:rsidR="009A4BD7" w:rsidRDefault="009A4BD7" w:rsidP="00097146">
      <w:pPr>
        <w:tabs>
          <w:tab w:val="left" w:pos="720"/>
        </w:tabs>
        <w:ind w:firstLine="144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The amended section changes the voltage level at which a person must submit a petition for a CPCN.  Previously, when constructing a new transmission line a utility was required to petition for a CPCN if the line had a voltage of 100 kV or more.  Section 3132(2) of the statute has been amended to require a petition for a CPCN if the line is capable of operating at 69 kilovolts (kV) or more and the rule now reflects this change.  This section also now applies the 69 kV threshold to minor transmission line projects, consistent with section 3132(3-A) of the statute, that if a person is constructing a transmission line that qualifies as a minor transmission line construction project (as defined in section 2 of the rule) and is capable of operating at 69 kV or more, the person must first notify the Commission and may then be required to submit a petition, in accordance with section 8 of the rule.  This section has also been amended to state that if rebuilding or relocating a transmission line that is capable of operating at 69 kV or more, the person must first notify the Commission and may then be required to submit a petition, in accordance with section 8 of the rule. 35-A M.R.S.A. § 3132(3).</w:t>
      </w:r>
    </w:p>
    <w:p w:rsidR="009A4BD7" w:rsidRDefault="009A4BD7" w:rsidP="00097146">
      <w:pPr>
        <w:tabs>
          <w:tab w:val="left" w:pos="720"/>
        </w:tabs>
        <w:ind w:firstLine="144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In response to the NOR, CMP commented that the Commission should not read 35-A M.R.S.A. § 3132(2) to include, or specify in the rule, a requirement to obtain  a CPCN for every transmission line designed and built  to 69 kV standards, but which would operate at a lower voltage.  CMP states that under its current design standards, it builds all new 34.5 kV transmission lines to 69 kV design standards, even in the absence of any plans to operate the line at 69 kV.  CMP states that doing so is prudent given the modest incremental costs of 69 kV transmission line construction, in comparison with the greater cost of rebuilding the line in the future to increase transmission capacity.  CMP states that although it designs 34.5 kV lines to 69 kV standards, such a line is not “capable” of operating at 69.5 kV at the time it is constructed because it is only capable of operating at 69 kV upon significant terminal construction work.</w:t>
      </w:r>
    </w:p>
    <w:p w:rsidR="009A4BD7" w:rsidRDefault="009A4BD7" w:rsidP="00097146">
      <w:pPr>
        <w:tabs>
          <w:tab w:val="left" w:pos="720"/>
        </w:tabs>
        <w:ind w:firstLine="144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 xml:space="preserve">Contrary to CMP’s assertions, we do not believe that the Legislature intended “capable” to mean that a transmission line must be immediately operating at 69 kV to be considered “capable” of operating at 69 kV.  The Legislature could have used language such as, “will operate at 69 kV,” but instead used the word “capable.”  By its very nature, a transmission line designed to 69 kV standards is capable of operating at 69 kV.  Whether or not it needs additional terminal construction work to become energized at 69 kV is not mentioned in the statute, but simply that it must be capable, even if that capability will be in the future and dependent upon additional terminal work.  CMP acknowledges that most of the infrastructure needed to actually operate at 69 kV is the transmission line itself, and that it requires only modest incremental investment to then operate at 69 kV.  Therefore, in examining the purpose for a CPCN, we find that there is a reason why the statute uses the words “capable of operating at 69 kilovolts or more.”  In considering whether to grant a CPCN for a transmission line, the Commission must examine the public need for the line.  The Commission shall look at multiple factors, including, economics, reliability, public health and safety, scenic values and the proximity of the proposed transmission line to inhabited dwellings, among other things.  35-A M.R.S.A. § 3132(6).  Additionally, in assessing the petition for a CPCN, the Commission must examine a map that indicates the proposed corridor or corridors of the transmission line.  § 3132(4).  All of these aspects of the application for a CPCN indicate that the nature of the transmission line itself and its route are major factors in determining whether or not to grant a CPCN, as its capacity affects the economics, corridor and proximity to inhabited dwellings, among other things.  Therefore, whether or not an applicant for a CPCN intends to operate a transmission line at 69 kV, if the transmission line is capable of operating at 69 kV due to being built to 69 kV design standards, the applicant is required to petition for a CPCN.  In order to clarify this section, the amended rule now uses the same language as the statute.  Previously, the rule had referred to the “capacity” of the line, while it now refers to whether the line is “capable” of operating at 69 kV.  </w:t>
      </w:r>
    </w:p>
    <w:p w:rsidR="009A4BD7" w:rsidRDefault="009A4BD7" w:rsidP="00097146">
      <w:pPr>
        <w:tabs>
          <w:tab w:val="left" w:pos="720"/>
        </w:tabs>
        <w:ind w:firstLine="144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This section of the amended rule now includes a “certificate not required” subsection, noting that the construction of a generator interconnection transmission facility (as defined in section 2 of the rule) is exempt from the requirements of this rule, as specified section 3132(1-B) of the statute.</w:t>
      </w:r>
      <w:r w:rsidRPr="00E96D81">
        <w:rPr>
          <w:rFonts w:ascii="Arial" w:hAnsi="Arial" w:cs="Arial"/>
        </w:rPr>
        <w:tab/>
      </w:r>
    </w:p>
    <w:p w:rsidR="009A4BD7" w:rsidRDefault="009A4BD7" w:rsidP="00097146">
      <w:pPr>
        <w:tabs>
          <w:tab w:val="left" w:pos="720"/>
        </w:tabs>
        <w:ind w:firstLine="1440"/>
        <w:rPr>
          <w:rFonts w:ascii="Arial" w:hAnsi="Arial" w:cs="Arial"/>
        </w:rPr>
      </w:pPr>
    </w:p>
    <w:p w:rsidR="009A4BD7" w:rsidRDefault="009A4BD7" w:rsidP="00CC0415">
      <w:pPr>
        <w:spacing w:after="240"/>
        <w:ind w:firstLine="1440"/>
        <w:rPr>
          <w:rFonts w:ascii="Arial" w:hAnsi="Arial" w:cs="Arial"/>
        </w:rPr>
      </w:pPr>
      <w:r>
        <w:rPr>
          <w:rFonts w:ascii="Arial" w:hAnsi="Arial" w:cs="Arial"/>
        </w:rPr>
        <w:t xml:space="preserve">In the NOR, the Commission requested comments on whether the rule should clarify under what situations a substation may require a petition for a CPCN.  The Commission has previously required a utility constructing a substation as part of a new transmission line to petition for a CPCN.  </w:t>
      </w:r>
      <w:r w:rsidRPr="00C850AE">
        <w:rPr>
          <w:rFonts w:ascii="Arial" w:hAnsi="Arial" w:cs="Arial"/>
          <w:i/>
        </w:rPr>
        <w:t>Central Maine Power Company and Public Service of New Hampshire, Request for Certificate of Public Convenience and Necessity for the Maine Power Reliability Program Consisting of the Construction of Approximately 350 Miles of 345 kV and 115 kV Transmission Lines</w:t>
      </w:r>
      <w:r>
        <w:rPr>
          <w:rFonts w:ascii="Arial" w:hAnsi="Arial" w:cs="Arial"/>
        </w:rPr>
        <w:t xml:space="preserve">, Docket No. 2008-255, Order Denying PSNH Motion to Dismiss (June 3, 2009) (June 3, 2009 Order).  The Commission distinguished that situation from one in which a stand-alone substation was being constructed.  </w:t>
      </w:r>
      <w:r w:rsidRPr="00A53FF2">
        <w:rPr>
          <w:rFonts w:ascii="Arial" w:hAnsi="Arial" w:cs="Arial"/>
          <w:i/>
        </w:rPr>
        <w:t>Id</w:t>
      </w:r>
      <w:r>
        <w:rPr>
          <w:rFonts w:ascii="Arial" w:hAnsi="Arial" w:cs="Arial"/>
        </w:rPr>
        <w:t xml:space="preserve">.  Both CMP and the OPA commented that the Commission should clarify under what situations a substation may require a petition for a CPCN.  CMP argues that Chapter 330 should state that a CPCN is not required for any substation.  CMP recognizes that the Commission found in its June 3, 2009 Order that a utility constructing a substation as part of a new transmission line is required to petition for a CPCN, but believes that this determination was wrong.  CMP argues that on its face, Section 3132(2) of the statute only requires a CPCN when erecting a “transmission line” and that a substation is not a transmission line.  CMP then argues that if the Commission disagrees with this conclusion, Chapter 330 should only require a CPCN for substations being constructed as part of new transmission line projects requiring a CPCN, and not for any stand-alone substation project.  At this point, we will not include any specific provisions on substations in rule and will seek additional comment in a future proceeding.  Current precedent will continue to apply until changed by future order or rule change.  </w:t>
      </w:r>
    </w:p>
    <w:p w:rsidR="009A4BD7" w:rsidRDefault="009A4BD7" w:rsidP="002919A6">
      <w:pPr>
        <w:tabs>
          <w:tab w:val="left" w:pos="720"/>
        </w:tabs>
        <w:ind w:firstLine="1440"/>
        <w:rPr>
          <w:rFonts w:ascii="Arial" w:hAnsi="Arial" w:cs="Arial"/>
        </w:rPr>
      </w:pPr>
      <w:r>
        <w:rPr>
          <w:rFonts w:ascii="Arial" w:hAnsi="Arial" w:cs="Arial"/>
        </w:rPr>
        <w:t xml:space="preserve">Finally, a subsection regarding the CPCN requirements for transmission lines financed, permitted, constructed, owned in whole or in part or operated by the Northern Maine Transmission Corporation has been removed to conform with its removal from the statute.  </w:t>
      </w:r>
      <w:r>
        <w:rPr>
          <w:rFonts w:ascii="Arial" w:hAnsi="Arial" w:cs="Arial"/>
          <w:bCs/>
        </w:rPr>
        <w:t xml:space="preserve">No one commented on this removal and it remains removed as proposed.  </w:t>
      </w:r>
    </w:p>
    <w:p w:rsidR="009A4BD7" w:rsidRPr="00E96D81" w:rsidRDefault="009A4BD7" w:rsidP="00097146">
      <w:pPr>
        <w:tabs>
          <w:tab w:val="left" w:pos="741"/>
        </w:tabs>
        <w:autoSpaceDE w:val="0"/>
        <w:autoSpaceDN w:val="0"/>
        <w:adjustRightInd w:val="0"/>
        <w:rPr>
          <w:rFonts w:ascii="Arial" w:hAnsi="Arial" w:cs="Arial"/>
        </w:rPr>
      </w:pPr>
      <w:r w:rsidRPr="00E96D81">
        <w:rPr>
          <w:rFonts w:ascii="Arial" w:hAnsi="Arial" w:cs="Arial"/>
        </w:rPr>
        <w:tab/>
      </w:r>
    </w:p>
    <w:p w:rsidR="009A4BD7" w:rsidRPr="003A23A5" w:rsidRDefault="009A4BD7" w:rsidP="00097146">
      <w:pPr>
        <w:numPr>
          <w:ilvl w:val="0"/>
          <w:numId w:val="1"/>
        </w:numPr>
        <w:rPr>
          <w:rFonts w:ascii="Arial" w:hAnsi="Arial" w:cs="Arial"/>
          <w:b/>
        </w:rPr>
      </w:pPr>
      <w:r>
        <w:rPr>
          <w:rFonts w:ascii="Arial" w:hAnsi="Arial" w:cs="Arial"/>
          <w:u w:val="single"/>
        </w:rPr>
        <w:t>Determination of compliance with Rule (formerly Section 2)</w:t>
      </w:r>
    </w:p>
    <w:p w:rsidR="009A4BD7" w:rsidRDefault="009A4BD7" w:rsidP="00097146">
      <w:pPr>
        <w:tabs>
          <w:tab w:val="left" w:pos="1425"/>
        </w:tabs>
        <w:rPr>
          <w:rFonts w:ascii="Arial" w:hAnsi="Arial" w:cs="Arial"/>
        </w:rPr>
      </w:pPr>
    </w:p>
    <w:p w:rsidR="009A4BD7" w:rsidRDefault="009A4BD7" w:rsidP="00097146">
      <w:pPr>
        <w:tabs>
          <w:tab w:val="left" w:pos="1425"/>
        </w:tabs>
        <w:rPr>
          <w:rFonts w:ascii="Arial" w:hAnsi="Arial" w:cs="Arial"/>
          <w:bCs/>
        </w:rPr>
      </w:pPr>
      <w:r>
        <w:rPr>
          <w:rFonts w:ascii="Arial" w:hAnsi="Arial" w:cs="Arial"/>
        </w:rPr>
        <w:tab/>
        <w:t xml:space="preserve">This section has been removed.  </w:t>
      </w:r>
      <w:r>
        <w:rPr>
          <w:rFonts w:ascii="Arial" w:hAnsi="Arial" w:cs="Arial"/>
          <w:bCs/>
        </w:rPr>
        <w:t xml:space="preserve">No one commented on this removal and it remains removed as proposed.  </w:t>
      </w:r>
    </w:p>
    <w:p w:rsidR="009A4BD7" w:rsidRDefault="009A4BD7" w:rsidP="00097146">
      <w:pPr>
        <w:tabs>
          <w:tab w:val="left" w:pos="1425"/>
        </w:tabs>
        <w:rPr>
          <w:rFonts w:ascii="Arial" w:hAnsi="Arial" w:cs="Arial"/>
        </w:rPr>
      </w:pPr>
    </w:p>
    <w:p w:rsidR="009A4BD7" w:rsidRPr="008A6126" w:rsidRDefault="009A4BD7" w:rsidP="00097146">
      <w:pPr>
        <w:numPr>
          <w:ilvl w:val="0"/>
          <w:numId w:val="1"/>
        </w:numPr>
        <w:rPr>
          <w:rFonts w:ascii="Arial" w:hAnsi="Arial" w:cs="Arial"/>
          <w:u w:val="single"/>
        </w:rPr>
      </w:pPr>
      <w:r w:rsidRPr="008A6126">
        <w:rPr>
          <w:rFonts w:ascii="Arial" w:hAnsi="Arial" w:cs="Arial"/>
          <w:u w:val="single"/>
        </w:rPr>
        <w:t xml:space="preserve">Requests for Waivers (formerly </w:t>
      </w:r>
      <w:r>
        <w:rPr>
          <w:rFonts w:ascii="Arial" w:hAnsi="Arial" w:cs="Arial"/>
          <w:u w:val="single"/>
        </w:rPr>
        <w:t>Section</w:t>
      </w:r>
      <w:r w:rsidRPr="008A6126">
        <w:rPr>
          <w:rFonts w:ascii="Arial" w:hAnsi="Arial" w:cs="Arial"/>
          <w:u w:val="single"/>
        </w:rPr>
        <w:t xml:space="preserve"> 3)</w:t>
      </w:r>
    </w:p>
    <w:p w:rsidR="009A4BD7" w:rsidRDefault="009A4BD7" w:rsidP="00097146">
      <w:pPr>
        <w:ind w:left="720"/>
        <w:rPr>
          <w:rFonts w:ascii="Arial" w:hAnsi="Arial" w:cs="Arial"/>
        </w:rPr>
      </w:pPr>
    </w:p>
    <w:p w:rsidR="009A4BD7" w:rsidRDefault="009A4BD7" w:rsidP="00097146">
      <w:pPr>
        <w:ind w:firstLine="1440"/>
        <w:rPr>
          <w:rFonts w:ascii="Arial" w:hAnsi="Arial" w:cs="Arial"/>
        </w:rPr>
      </w:pPr>
      <w:r>
        <w:rPr>
          <w:rFonts w:ascii="Arial" w:hAnsi="Arial" w:cs="Arial"/>
        </w:rPr>
        <w:t>This section has been moved to the end of the Chapter and is now section 11.  No one commented on moving this section and it unchanged from the proposed rule.</w:t>
      </w:r>
    </w:p>
    <w:p w:rsidR="009A4BD7" w:rsidRPr="003A23A5" w:rsidRDefault="009A4BD7" w:rsidP="00097146">
      <w:pPr>
        <w:tabs>
          <w:tab w:val="left" w:pos="1425"/>
        </w:tabs>
        <w:rPr>
          <w:rFonts w:ascii="Arial" w:hAnsi="Arial" w:cs="Arial"/>
          <w:b/>
        </w:rPr>
      </w:pPr>
    </w:p>
    <w:p w:rsidR="009A4BD7" w:rsidRDefault="009A4BD7" w:rsidP="00097146">
      <w:pPr>
        <w:numPr>
          <w:ilvl w:val="0"/>
          <w:numId w:val="1"/>
        </w:numPr>
        <w:rPr>
          <w:rFonts w:ascii="Arial" w:hAnsi="Arial" w:cs="Arial"/>
          <w:u w:val="single"/>
        </w:rPr>
      </w:pPr>
      <w:r>
        <w:rPr>
          <w:rFonts w:ascii="Arial" w:hAnsi="Arial" w:cs="Arial"/>
          <w:u w:val="single"/>
        </w:rPr>
        <w:t>Amendments, Extensions and Renewals to Contracts (§ 4</w:t>
      </w:r>
      <w:r w:rsidRPr="00E96D81">
        <w:rPr>
          <w:rFonts w:ascii="Arial" w:hAnsi="Arial" w:cs="Arial"/>
          <w:u w:val="single"/>
        </w:rPr>
        <w:t>)</w:t>
      </w:r>
    </w:p>
    <w:p w:rsidR="009A4BD7" w:rsidRPr="00E96D81" w:rsidRDefault="009A4BD7" w:rsidP="00097146">
      <w:pPr>
        <w:tabs>
          <w:tab w:val="left" w:pos="720"/>
        </w:tabs>
        <w:ind w:firstLine="1080"/>
        <w:rPr>
          <w:rFonts w:ascii="Arial" w:hAnsi="Arial" w:cs="Arial"/>
        </w:rPr>
      </w:pPr>
    </w:p>
    <w:p w:rsidR="009A4BD7" w:rsidRDefault="009A4BD7" w:rsidP="00097146">
      <w:pPr>
        <w:tabs>
          <w:tab w:val="left" w:pos="720"/>
        </w:tabs>
        <w:ind w:firstLine="1440"/>
        <w:rPr>
          <w:rFonts w:ascii="Arial" w:hAnsi="Arial" w:cs="Arial"/>
        </w:rPr>
      </w:pPr>
      <w:r>
        <w:rPr>
          <w:rFonts w:ascii="Arial" w:hAnsi="Arial" w:cs="Arial"/>
        </w:rPr>
        <w:t>This section has been renamed and now includes not only information on amendments, extensions and renewals to contracts, but also includes information on waivers of approval for amendments.  This reorganization of the section was done for the sake of clarity.</w:t>
      </w:r>
    </w:p>
    <w:p w:rsidR="009A4BD7" w:rsidRDefault="009A4BD7" w:rsidP="00097146">
      <w:pPr>
        <w:tabs>
          <w:tab w:val="left" w:pos="720"/>
        </w:tabs>
        <w:ind w:firstLine="1440"/>
        <w:rPr>
          <w:rFonts w:ascii="Arial" w:hAnsi="Arial" w:cs="Arial"/>
        </w:rPr>
      </w:pPr>
    </w:p>
    <w:p w:rsidR="009A4BD7" w:rsidRDefault="009A4BD7" w:rsidP="009654EC">
      <w:pPr>
        <w:tabs>
          <w:tab w:val="left" w:pos="720"/>
        </w:tabs>
        <w:ind w:firstLine="1440"/>
        <w:rPr>
          <w:rFonts w:ascii="Arial" w:hAnsi="Arial" w:cs="Arial"/>
        </w:rPr>
      </w:pPr>
      <w:r>
        <w:rPr>
          <w:rFonts w:ascii="Arial" w:hAnsi="Arial" w:cs="Arial"/>
        </w:rPr>
        <w:t xml:space="preserve">The OPA commented in its response to the Commission’s NOR that Section 4(A) includes a parenthetical reference to a 7-day time period for waiver requests and that the statute only provides for a 30-day time period.  The language referring to 7 days has now been deleted.  The OPA also commented that the reference in section 4(B) to 35-A M.R.S.A. </w:t>
      </w:r>
      <w:r w:rsidRPr="00CC0415">
        <w:rPr>
          <w:rFonts w:ascii="Arial" w:hAnsi="Arial" w:cs="Arial"/>
        </w:rPr>
        <w:t>§ 3132(11-A) should be changed to 35-A M.R.S.A. § 3132(11-B)</w:t>
      </w:r>
      <w:r>
        <w:rPr>
          <w:rFonts w:ascii="Arial" w:hAnsi="Arial" w:cs="Arial"/>
        </w:rPr>
        <w:t xml:space="preserve"> to accurately reflect the statute</w:t>
      </w:r>
      <w:r w:rsidRPr="00CC0415">
        <w:rPr>
          <w:rFonts w:ascii="Arial" w:hAnsi="Arial" w:cs="Arial"/>
        </w:rPr>
        <w:t>.  This change has been made.</w:t>
      </w:r>
      <w:r>
        <w:rPr>
          <w:rFonts w:ascii="Arial" w:hAnsi="Arial" w:cs="Arial"/>
          <w:u w:val="single"/>
        </w:rPr>
        <w:t xml:space="preserve">  </w:t>
      </w:r>
    </w:p>
    <w:p w:rsidR="009A4BD7" w:rsidRDefault="009A4BD7" w:rsidP="00097146">
      <w:pPr>
        <w:tabs>
          <w:tab w:val="left" w:pos="720"/>
        </w:tabs>
        <w:ind w:firstLine="1440"/>
        <w:rPr>
          <w:rFonts w:ascii="Arial" w:hAnsi="Arial" w:cs="Arial"/>
        </w:rPr>
      </w:pPr>
    </w:p>
    <w:p w:rsidR="009A4BD7" w:rsidRDefault="009A4BD7" w:rsidP="00097146">
      <w:pPr>
        <w:numPr>
          <w:ilvl w:val="0"/>
          <w:numId w:val="1"/>
        </w:numPr>
        <w:tabs>
          <w:tab w:val="left" w:pos="720"/>
        </w:tabs>
        <w:rPr>
          <w:rFonts w:ascii="Arial" w:hAnsi="Arial" w:cs="Arial"/>
          <w:u w:val="single"/>
        </w:rPr>
      </w:pPr>
      <w:r w:rsidRPr="008A6126">
        <w:rPr>
          <w:rFonts w:ascii="Arial" w:hAnsi="Arial" w:cs="Arial"/>
          <w:u w:val="single"/>
        </w:rPr>
        <w:t>Filing Fees (</w:t>
      </w:r>
      <w:r>
        <w:rPr>
          <w:rFonts w:ascii="Arial" w:hAnsi="Arial" w:cs="Arial"/>
          <w:u w:val="single"/>
        </w:rPr>
        <w:t>Section</w:t>
      </w:r>
      <w:r w:rsidRPr="008A6126">
        <w:rPr>
          <w:rFonts w:ascii="Arial" w:hAnsi="Arial" w:cs="Arial"/>
          <w:u w:val="single"/>
        </w:rPr>
        <w:t xml:space="preserve"> 5)</w:t>
      </w:r>
    </w:p>
    <w:p w:rsidR="009A4BD7" w:rsidRDefault="009A4BD7" w:rsidP="00097146">
      <w:pPr>
        <w:tabs>
          <w:tab w:val="left" w:pos="720"/>
        </w:tabs>
        <w:ind w:left="720"/>
        <w:rPr>
          <w:rFonts w:ascii="Arial" w:hAnsi="Arial" w:cs="Arial"/>
          <w:u w:val="single"/>
        </w:rPr>
      </w:pPr>
    </w:p>
    <w:p w:rsidR="009A4BD7" w:rsidRDefault="009A4BD7" w:rsidP="00CC0415">
      <w:pPr>
        <w:tabs>
          <w:tab w:val="left" w:pos="720"/>
        </w:tabs>
        <w:ind w:firstLine="1440"/>
        <w:rPr>
          <w:rFonts w:ascii="Arial" w:hAnsi="Arial" w:cs="Arial"/>
        </w:rPr>
      </w:pPr>
      <w:r>
        <w:rPr>
          <w:rFonts w:ascii="Arial" w:hAnsi="Arial" w:cs="Arial"/>
        </w:rPr>
        <w:t>In the NOR, we proposed that this section be amended to ensure it matches the statute.  35-A M.R.S.A. § 3132(9) describes the filing fee required when a person or persons petition to erect, rebuild or relocate a transmission line.  The rule had previously listed a filing fee of 4/100 of 1% of the estimated cost whether erecting, rebuilding or relocating a transmission line.  The statute’s wording is not entirely clear, but we interpret it to mean that the fee is 4/100 of 1% only in the case of a petition to erect a new transmission line and that if relocating or rebuilding a transmission line the fee shall be 2/100 of 1% of the cost to rebuild or relocate.  The NOR requested comments on this interpretation.  The OPA commented that the language of the statute was unclear and should not be reflected in the rule.  The OPA provided some legislative history to clarify the origins of the statute’s language.  The OPA’s interpretation of the meaning of the statute is the same as the proposed rule, namely, that the rule should provide for a 4/100 of 1% filing fee to erect transmission lines and 2/100 of 1% for rebuilds and relocations.  CMP commented that the proposed interpretation of the applicable filing fees was consistent with the statute.</w:t>
      </w:r>
    </w:p>
    <w:p w:rsidR="009A4BD7" w:rsidRDefault="009A4BD7" w:rsidP="00097146">
      <w:pPr>
        <w:tabs>
          <w:tab w:val="left" w:pos="720"/>
        </w:tabs>
        <w:rPr>
          <w:rFonts w:ascii="Arial" w:hAnsi="Arial" w:cs="Arial"/>
        </w:rPr>
      </w:pPr>
    </w:p>
    <w:p w:rsidR="009A4BD7" w:rsidRDefault="009A4BD7" w:rsidP="00097146">
      <w:pPr>
        <w:tabs>
          <w:tab w:val="left" w:pos="720"/>
        </w:tabs>
        <w:rPr>
          <w:rFonts w:ascii="Arial" w:hAnsi="Arial" w:cs="Arial"/>
        </w:rPr>
      </w:pPr>
      <w:r>
        <w:rPr>
          <w:rFonts w:ascii="Arial" w:hAnsi="Arial" w:cs="Arial"/>
        </w:rPr>
        <w:tab/>
      </w:r>
      <w:r>
        <w:rPr>
          <w:rFonts w:ascii="Arial" w:hAnsi="Arial" w:cs="Arial"/>
        </w:rPr>
        <w:tab/>
        <w:t xml:space="preserve">This section of the rule now includes the requirement of a filing fee to be paid to the Office of the Public Advocate by persons erecting, rebuilding or relocating a transmission line, in accordance with section 3132 (10-A).  It also describes how a person may request a waiver of this fee.  </w:t>
      </w:r>
      <w:r w:rsidRPr="00CC0415">
        <w:rPr>
          <w:rFonts w:ascii="Arial" w:hAnsi="Arial" w:cs="Arial"/>
          <w:bCs/>
        </w:rPr>
        <w:t xml:space="preserve">No one commented on this </w:t>
      </w:r>
      <w:r>
        <w:rPr>
          <w:rFonts w:ascii="Arial" w:hAnsi="Arial" w:cs="Arial"/>
          <w:bCs/>
        </w:rPr>
        <w:t xml:space="preserve">new </w:t>
      </w:r>
      <w:r w:rsidRPr="00CC0415">
        <w:rPr>
          <w:rFonts w:ascii="Arial" w:hAnsi="Arial" w:cs="Arial"/>
          <w:bCs/>
        </w:rPr>
        <w:t>provision and it is unchanged from the proposed rule.</w:t>
      </w:r>
    </w:p>
    <w:p w:rsidR="009A4BD7" w:rsidRDefault="009A4BD7" w:rsidP="00097146">
      <w:pPr>
        <w:tabs>
          <w:tab w:val="left" w:pos="720"/>
        </w:tabs>
        <w:rPr>
          <w:rFonts w:ascii="Arial" w:hAnsi="Arial" w:cs="Arial"/>
        </w:rPr>
      </w:pPr>
    </w:p>
    <w:p w:rsidR="009A4BD7" w:rsidRDefault="009A4BD7" w:rsidP="00097146">
      <w:pPr>
        <w:tabs>
          <w:tab w:val="left" w:pos="720"/>
        </w:tabs>
        <w:rPr>
          <w:rFonts w:ascii="Arial" w:hAnsi="Arial" w:cs="Arial"/>
        </w:rPr>
      </w:pPr>
      <w:r>
        <w:rPr>
          <w:rFonts w:ascii="Arial" w:hAnsi="Arial" w:cs="Arial"/>
        </w:rPr>
        <w:tab/>
      </w:r>
      <w:r>
        <w:rPr>
          <w:rFonts w:ascii="Arial" w:hAnsi="Arial" w:cs="Arial"/>
        </w:rPr>
        <w:tab/>
        <w:t>This section of the rule previously included an exception for minor projects, specifying that in the case of an application for a project that would cost less than $1,000,000, no fee was required unless the Commission ordered otherwise upon a finding of need for a filing fee.  This particular exception has been removed from the rule because the specific cost threshold is not explicitly stated in the statute and the Commission is given the discretion to make such determinations when reviewing an application.  35-A M.R.S.A. § 3132(10).  No comments were received on this removal.</w:t>
      </w:r>
    </w:p>
    <w:p w:rsidR="009A4BD7" w:rsidRDefault="009A4BD7" w:rsidP="00097146">
      <w:pPr>
        <w:tabs>
          <w:tab w:val="left" w:pos="720"/>
        </w:tabs>
        <w:rPr>
          <w:rFonts w:ascii="Arial" w:hAnsi="Arial" w:cs="Arial"/>
        </w:rPr>
      </w:pPr>
    </w:p>
    <w:p w:rsidR="009A4BD7" w:rsidRDefault="009A4BD7" w:rsidP="005A01B6">
      <w:pPr>
        <w:tabs>
          <w:tab w:val="left" w:pos="720"/>
        </w:tabs>
        <w:ind w:firstLine="1440"/>
        <w:rPr>
          <w:rFonts w:ascii="Arial" w:hAnsi="Arial" w:cs="Arial"/>
        </w:rPr>
      </w:pPr>
      <w:r>
        <w:rPr>
          <w:rFonts w:ascii="Arial" w:hAnsi="Arial" w:cs="Arial"/>
        </w:rPr>
        <w:t xml:space="preserve">CMP commented that the Commission should place in the rule a provision that applications concerning transmission lines, the review of which will not place an unusual burden on the Commission’s budget, are exempt from filing fees, as is allowed under Section 3132(10) of the statute.  While Section 3132(10) of the statute does allow the Commission, by rule, to exempt from filing fees applications concerning transmission lines the review of which does not place an unusual burden on the Commission’s budget, the Commission is unaware of a specific category that would warrant a blanket exemption and finds that its ability to examine filing fee waivers for specific projects on a case-by-case basis is an adequate solution.  </w:t>
      </w:r>
    </w:p>
    <w:p w:rsidR="009A4BD7" w:rsidRDefault="009A4BD7" w:rsidP="00097146">
      <w:pPr>
        <w:tabs>
          <w:tab w:val="left" w:pos="720"/>
        </w:tabs>
        <w:rPr>
          <w:rFonts w:ascii="Arial" w:hAnsi="Arial" w:cs="Arial"/>
        </w:rPr>
      </w:pPr>
    </w:p>
    <w:p w:rsidR="009A4BD7" w:rsidRDefault="009A4BD7" w:rsidP="00097146">
      <w:pPr>
        <w:tabs>
          <w:tab w:val="left" w:pos="720"/>
        </w:tabs>
        <w:ind w:left="720"/>
        <w:rPr>
          <w:rFonts w:ascii="Arial" w:hAnsi="Arial" w:cs="Arial"/>
          <w:u w:val="single"/>
        </w:rPr>
      </w:pPr>
    </w:p>
    <w:p w:rsidR="009A4BD7" w:rsidRPr="00E96D81" w:rsidRDefault="009A4BD7" w:rsidP="00097146">
      <w:pPr>
        <w:numPr>
          <w:ilvl w:val="0"/>
          <w:numId w:val="1"/>
        </w:numPr>
        <w:tabs>
          <w:tab w:val="left" w:pos="720"/>
        </w:tabs>
        <w:rPr>
          <w:rFonts w:ascii="Arial" w:hAnsi="Arial" w:cs="Arial"/>
          <w:u w:val="single"/>
        </w:rPr>
      </w:pPr>
      <w:r>
        <w:rPr>
          <w:rFonts w:ascii="Arial" w:hAnsi="Arial" w:cs="Arial"/>
          <w:u w:val="single"/>
        </w:rPr>
        <w:t xml:space="preserve">New Transmission Facilities </w:t>
      </w:r>
      <w:r w:rsidRPr="00E96D81">
        <w:rPr>
          <w:rFonts w:ascii="Arial" w:hAnsi="Arial" w:cs="Arial"/>
          <w:u w:val="single"/>
        </w:rPr>
        <w:t>(</w:t>
      </w:r>
      <w:r>
        <w:rPr>
          <w:rFonts w:ascii="Arial" w:hAnsi="Arial" w:cs="Arial"/>
          <w:u w:val="single"/>
        </w:rPr>
        <w:t>Section 6</w:t>
      </w:r>
      <w:r w:rsidRPr="00E96D81">
        <w:rPr>
          <w:rFonts w:ascii="Arial" w:hAnsi="Arial" w:cs="Arial"/>
          <w:u w:val="single"/>
        </w:rPr>
        <w:t>)</w:t>
      </w:r>
    </w:p>
    <w:p w:rsidR="009A4BD7" w:rsidRDefault="009A4BD7" w:rsidP="00097146">
      <w:pPr>
        <w:ind w:firstLine="1440"/>
        <w:rPr>
          <w:rFonts w:ascii="Arial" w:hAnsi="Arial" w:cs="Arial"/>
        </w:rPr>
      </w:pPr>
    </w:p>
    <w:p w:rsidR="009A4BD7" w:rsidRDefault="009A4BD7" w:rsidP="00097146">
      <w:pPr>
        <w:ind w:firstLine="1440"/>
        <w:rPr>
          <w:rFonts w:ascii="Arial" w:hAnsi="Arial" w:cs="Arial"/>
        </w:rPr>
      </w:pPr>
      <w:r>
        <w:rPr>
          <w:rFonts w:ascii="Arial" w:hAnsi="Arial" w:cs="Arial"/>
        </w:rPr>
        <w:t>This section has been amended to include a subsection requiring a petitioner for a CPCN to include a description of the effects of the proposed line in its application, as required by section 3132(2-C) of the statute.  This section of the rule now specifically requires that petitioners must include a comparison of the chosen route of the transmission line with alternative routes that are environmentally, technically and economically practical, pursuant to 3132(2-C) of the statute</w:t>
      </w:r>
    </w:p>
    <w:p w:rsidR="009A4BD7" w:rsidRDefault="009A4BD7" w:rsidP="00097146">
      <w:pPr>
        <w:ind w:firstLine="1440"/>
        <w:rPr>
          <w:rFonts w:ascii="Arial" w:hAnsi="Arial" w:cs="Arial"/>
        </w:rPr>
      </w:pPr>
    </w:p>
    <w:p w:rsidR="009A4BD7" w:rsidRPr="005B7111" w:rsidRDefault="009A4BD7" w:rsidP="00097146">
      <w:pPr>
        <w:numPr>
          <w:ilvl w:val="0"/>
          <w:numId w:val="1"/>
        </w:numPr>
        <w:rPr>
          <w:rFonts w:ascii="Arial" w:hAnsi="Arial" w:cs="Arial"/>
          <w:u w:val="single"/>
        </w:rPr>
      </w:pPr>
      <w:r w:rsidRPr="005B7111">
        <w:rPr>
          <w:rFonts w:ascii="Arial" w:hAnsi="Arial" w:cs="Arial"/>
          <w:u w:val="single"/>
        </w:rPr>
        <w:t>Rebuilding and Relocation of Transmission Lines (</w:t>
      </w:r>
      <w:r>
        <w:rPr>
          <w:rFonts w:ascii="Arial" w:hAnsi="Arial" w:cs="Arial"/>
          <w:u w:val="single"/>
        </w:rPr>
        <w:t>Section</w:t>
      </w:r>
      <w:r w:rsidRPr="005B7111">
        <w:rPr>
          <w:rFonts w:ascii="Arial" w:hAnsi="Arial" w:cs="Arial"/>
          <w:u w:val="single"/>
        </w:rPr>
        <w:t xml:space="preserve"> 8)</w:t>
      </w:r>
    </w:p>
    <w:p w:rsidR="009A4BD7" w:rsidRDefault="009A4BD7" w:rsidP="00097146">
      <w:pPr>
        <w:ind w:left="720"/>
        <w:rPr>
          <w:rFonts w:ascii="Arial" w:hAnsi="Arial" w:cs="Arial"/>
        </w:rPr>
      </w:pPr>
    </w:p>
    <w:p w:rsidR="009A4BD7" w:rsidRDefault="009A4BD7" w:rsidP="00097146">
      <w:pPr>
        <w:ind w:firstLine="1440"/>
        <w:rPr>
          <w:rFonts w:ascii="Arial" w:hAnsi="Arial" w:cs="Arial"/>
        </w:rPr>
      </w:pPr>
      <w:r>
        <w:rPr>
          <w:rFonts w:ascii="Arial" w:hAnsi="Arial" w:cs="Arial"/>
        </w:rPr>
        <w:t xml:space="preserve">This section has been amended to require that when submitting annual reports to the Commission on transmission line rebuilding or relocation projects, the utility must include those projects that will become, or will remain at, voltages of 69 kV or more, as required by section 3132(3).  This is a change from the previous 100 kV level.  This section also now specifies that minor transmission construction projects are to be included in these reports, as required by section 3132(3-A).  </w:t>
      </w:r>
    </w:p>
    <w:p w:rsidR="009A4BD7" w:rsidRDefault="009A4BD7" w:rsidP="00097146">
      <w:pPr>
        <w:rPr>
          <w:rFonts w:ascii="Arial" w:hAnsi="Arial" w:cs="Arial"/>
        </w:rPr>
      </w:pPr>
    </w:p>
    <w:p w:rsidR="009A4BD7" w:rsidRDefault="009A4BD7" w:rsidP="00097146">
      <w:pPr>
        <w:ind w:firstLine="1440"/>
        <w:rPr>
          <w:rFonts w:ascii="Arial" w:hAnsi="Arial" w:cs="Arial"/>
        </w:rPr>
      </w:pPr>
      <w:r>
        <w:rPr>
          <w:rFonts w:ascii="Arial" w:hAnsi="Arial" w:cs="Arial"/>
        </w:rPr>
        <w:t xml:space="preserve">While previously this section referred to the Director of the Division of Technical Analysis, this section now refers to that position’s current title, the Director of Electric and Gas Utility Industries.  This section also now explicitly states that the Director of Electric and Gas Utility Industries shall notify a utility within 60 days of its annual filing that an investigation of a minor transmission line construction project is warranted.  Previously, this section had only referred to the Director notifying utilities of such an investigation for rebuilding and relocating transmission lines.  Section 3132(3-A) of the statute gives the Commission the authority to order an investigation of a minor transmission construction project, and the rule now explicitly states that the Director of the Electric and Gas Utility Industries shall notify the utilities of an investigation of minor transmission construction projects if warranted.  </w:t>
      </w:r>
      <w:r>
        <w:rPr>
          <w:rFonts w:ascii="Arial" w:hAnsi="Arial" w:cs="Arial"/>
          <w:bCs/>
        </w:rPr>
        <w:t>The amended rule specifies that any waiver request of the provisions of this section shall be provided to the Office of the Public Advocate.</w:t>
      </w:r>
    </w:p>
    <w:p w:rsidR="009A4BD7" w:rsidRDefault="009A4BD7" w:rsidP="00097146">
      <w:pPr>
        <w:ind w:firstLine="1440"/>
        <w:rPr>
          <w:rFonts w:ascii="Arial" w:hAnsi="Arial" w:cs="Arial"/>
        </w:rPr>
      </w:pPr>
    </w:p>
    <w:p w:rsidR="009A4BD7" w:rsidRPr="00B42493" w:rsidRDefault="009A4BD7" w:rsidP="00097146">
      <w:pPr>
        <w:numPr>
          <w:ilvl w:val="0"/>
          <w:numId w:val="1"/>
        </w:numPr>
        <w:rPr>
          <w:rFonts w:ascii="Arial" w:hAnsi="Arial" w:cs="Arial"/>
          <w:u w:val="single"/>
        </w:rPr>
      </w:pPr>
      <w:r w:rsidRPr="00B42493">
        <w:rPr>
          <w:rFonts w:ascii="Arial" w:hAnsi="Arial" w:cs="Arial"/>
          <w:u w:val="single"/>
        </w:rPr>
        <w:t>Final Orders and Standards for Granting Certificates (§ 9)</w:t>
      </w:r>
    </w:p>
    <w:p w:rsidR="009A4BD7" w:rsidRDefault="009A4BD7" w:rsidP="00097146">
      <w:pPr>
        <w:ind w:left="720"/>
        <w:rPr>
          <w:rFonts w:ascii="Arial" w:hAnsi="Arial" w:cs="Arial"/>
        </w:rPr>
      </w:pPr>
    </w:p>
    <w:p w:rsidR="009A4BD7" w:rsidRDefault="009A4BD7" w:rsidP="00097146">
      <w:pPr>
        <w:ind w:firstLine="1440"/>
        <w:rPr>
          <w:rFonts w:ascii="Arial" w:hAnsi="Arial" w:cs="Arial"/>
        </w:rPr>
      </w:pPr>
      <w:r>
        <w:rPr>
          <w:rFonts w:ascii="Arial" w:hAnsi="Arial" w:cs="Arial"/>
        </w:rPr>
        <w:t xml:space="preserve">This section now includes the requirements for evaluating a petition for a CPCN for a high-impact transmission line.  This is a new requirement, as specified in section 3132 (6-A).  This section is also amended to include the additional benefits the Commission must take into account when determining whether a public need exists for the transmission line, as required by section 3132(6).  </w:t>
      </w:r>
    </w:p>
    <w:p w:rsidR="009A4BD7" w:rsidRDefault="009A4BD7" w:rsidP="00097146">
      <w:pPr>
        <w:ind w:firstLine="1440"/>
        <w:rPr>
          <w:rFonts w:ascii="Arial" w:hAnsi="Arial" w:cs="Arial"/>
        </w:rPr>
      </w:pPr>
    </w:p>
    <w:p w:rsidR="009A4BD7" w:rsidRDefault="009A4BD7" w:rsidP="00097146">
      <w:pPr>
        <w:ind w:firstLine="1440"/>
        <w:rPr>
          <w:rFonts w:ascii="Arial" w:hAnsi="Arial" w:cs="Arial"/>
        </w:rPr>
      </w:pPr>
      <w:r>
        <w:rPr>
          <w:rFonts w:ascii="Arial" w:hAnsi="Arial" w:cs="Arial"/>
        </w:rPr>
        <w:t>In the NOR, the Commission requested comments on whether Section 9(A) and 9(B) of the rule, which contain the standards for public need, should contain wording identical to that of the statute (section 3132(6)) and not include other language contained in the current rule.  The OPA commented that Section 9(A) and 9(B) should not contain wording identical to the statute because it would not serve any legal purpose and imposes a time burden on readers who are drawn to compare the language in the rule to that of the statute.  Additionally, the OPA suggests that adding the statutory language to the rule imposes a requirement to change the rule if any change, whether substantive or not, is made to the statute.  While we do not agree that making this section of the rule identical to the statute would impose such a requirement, we also find that the proposed language of the rule is consistent with the statute, even if the wording itself is not identical, and therefore we find that the language of the proposed rule is adequate.</w:t>
      </w:r>
    </w:p>
    <w:p w:rsidR="009A4BD7" w:rsidRDefault="009A4BD7" w:rsidP="00097146">
      <w:pPr>
        <w:ind w:firstLine="1440"/>
        <w:rPr>
          <w:rFonts w:ascii="Arial" w:hAnsi="Arial" w:cs="Arial"/>
        </w:rPr>
      </w:pPr>
    </w:p>
    <w:p w:rsidR="009A4BD7" w:rsidRDefault="009A4BD7" w:rsidP="00097146">
      <w:pPr>
        <w:ind w:firstLine="1440"/>
        <w:rPr>
          <w:rFonts w:ascii="Arial" w:hAnsi="Arial" w:cs="Arial"/>
        </w:rPr>
      </w:pPr>
      <w:r>
        <w:rPr>
          <w:rFonts w:ascii="Arial" w:hAnsi="Arial" w:cs="Arial"/>
        </w:rPr>
        <w:t>The OPA also commented on the last sentence of 9(B) of the rule, noting that public need for a transmission line proposed by a non-utility shall be determined in the same manner that the Commission determines public need for a transmission line proposed by a utility, should be removed.  Because the distinction between a non-utility and a utility is no longer a part of the statute, we see no need to keep this language.  Therefore, the final sentence of section 9(B) has been removed as suggested.</w:t>
      </w:r>
    </w:p>
    <w:p w:rsidR="009A4BD7" w:rsidRDefault="009A4BD7" w:rsidP="00097146">
      <w:pPr>
        <w:ind w:firstLine="1440"/>
        <w:rPr>
          <w:rFonts w:ascii="Arial" w:hAnsi="Arial" w:cs="Arial"/>
        </w:rPr>
      </w:pPr>
    </w:p>
    <w:p w:rsidR="009A4BD7" w:rsidRDefault="009A4BD7" w:rsidP="00097146">
      <w:pPr>
        <w:ind w:firstLine="1440"/>
        <w:rPr>
          <w:rFonts w:ascii="Arial" w:hAnsi="Arial" w:cs="Arial"/>
        </w:rPr>
      </w:pPr>
      <w:r>
        <w:rPr>
          <w:rFonts w:ascii="Arial" w:hAnsi="Arial" w:cs="Arial"/>
        </w:rPr>
        <w:t xml:space="preserve">This section of the amended rule now includes a new requirement that the Commission may not issue a CPCN that has the effect of eliminating the independent system administrator for northern Maine or eliminating or materially modifying the scope of its responsibilities unless the CPCN is subject to a requirement for compensation for the net adverse effects on ratepayers.  This is an addition required by section 3132(14) of the statute and no comments were received on this addition  Therefore, this section of the rule is adopted as proposed.  </w:t>
      </w:r>
    </w:p>
    <w:p w:rsidR="009A4BD7" w:rsidRDefault="009A4BD7" w:rsidP="00097146">
      <w:pPr>
        <w:ind w:firstLine="1440"/>
        <w:rPr>
          <w:rFonts w:ascii="Arial" w:hAnsi="Arial" w:cs="Arial"/>
        </w:rPr>
      </w:pPr>
    </w:p>
    <w:p w:rsidR="009A4BD7" w:rsidRDefault="009A4BD7" w:rsidP="00097146">
      <w:pPr>
        <w:numPr>
          <w:ilvl w:val="0"/>
          <w:numId w:val="1"/>
        </w:numPr>
        <w:rPr>
          <w:rFonts w:ascii="Arial" w:hAnsi="Arial" w:cs="Arial"/>
          <w:u w:val="single"/>
        </w:rPr>
      </w:pPr>
      <w:r w:rsidRPr="0002354E">
        <w:rPr>
          <w:rFonts w:ascii="Arial" w:hAnsi="Arial" w:cs="Arial"/>
          <w:u w:val="single"/>
        </w:rPr>
        <w:t>Delegation (§ 10)</w:t>
      </w:r>
    </w:p>
    <w:p w:rsidR="009A4BD7" w:rsidRPr="0002354E" w:rsidRDefault="009A4BD7" w:rsidP="00097146">
      <w:pPr>
        <w:ind w:left="720"/>
        <w:rPr>
          <w:rFonts w:ascii="Arial" w:hAnsi="Arial" w:cs="Arial"/>
        </w:rPr>
      </w:pPr>
    </w:p>
    <w:p w:rsidR="009A4BD7" w:rsidRDefault="009A4BD7" w:rsidP="00097146">
      <w:pPr>
        <w:ind w:firstLine="1440"/>
        <w:rPr>
          <w:rFonts w:ascii="Arial" w:hAnsi="Arial" w:cs="Arial"/>
        </w:rPr>
      </w:pPr>
      <w:r>
        <w:rPr>
          <w:rFonts w:ascii="Arial" w:hAnsi="Arial" w:cs="Arial"/>
        </w:rPr>
        <w:t xml:space="preserve">This section now refers to the Director of Electric and Gas Utility Industries.  </w:t>
      </w:r>
      <w:r w:rsidRPr="00CC0415">
        <w:rPr>
          <w:rFonts w:ascii="Arial" w:hAnsi="Arial" w:cs="Arial"/>
          <w:bCs/>
        </w:rPr>
        <w:t xml:space="preserve">No one commented on this </w:t>
      </w:r>
      <w:r>
        <w:rPr>
          <w:rFonts w:ascii="Arial" w:hAnsi="Arial" w:cs="Arial"/>
          <w:bCs/>
        </w:rPr>
        <w:t xml:space="preserve">section </w:t>
      </w:r>
      <w:r w:rsidRPr="00CC0415">
        <w:rPr>
          <w:rFonts w:ascii="Arial" w:hAnsi="Arial" w:cs="Arial"/>
          <w:bCs/>
        </w:rPr>
        <w:t>and it is unchanged from the proposed rule.</w:t>
      </w:r>
    </w:p>
    <w:p w:rsidR="009A4BD7" w:rsidRDefault="009A4BD7" w:rsidP="00097146">
      <w:pPr>
        <w:ind w:firstLine="1440"/>
        <w:rPr>
          <w:rFonts w:ascii="Arial" w:hAnsi="Arial" w:cs="Arial"/>
        </w:rPr>
      </w:pPr>
    </w:p>
    <w:p w:rsidR="009A4BD7" w:rsidRDefault="009A4BD7" w:rsidP="00097146">
      <w:pPr>
        <w:numPr>
          <w:ilvl w:val="0"/>
          <w:numId w:val="1"/>
        </w:numPr>
        <w:rPr>
          <w:rFonts w:ascii="Arial" w:hAnsi="Arial" w:cs="Arial"/>
          <w:u w:val="single"/>
        </w:rPr>
      </w:pPr>
      <w:r w:rsidRPr="004C07B9">
        <w:rPr>
          <w:rFonts w:ascii="Arial" w:hAnsi="Arial" w:cs="Arial"/>
          <w:u w:val="single"/>
        </w:rPr>
        <w:t>Requests for Waivers (§ 11)</w:t>
      </w:r>
    </w:p>
    <w:p w:rsidR="009A4BD7" w:rsidRDefault="009A4BD7" w:rsidP="00097146">
      <w:pPr>
        <w:ind w:left="1440"/>
        <w:rPr>
          <w:rFonts w:ascii="Arial" w:hAnsi="Arial" w:cs="Arial"/>
        </w:rPr>
      </w:pPr>
    </w:p>
    <w:p w:rsidR="009A4BD7" w:rsidRDefault="009A4BD7" w:rsidP="00097146">
      <w:pPr>
        <w:ind w:firstLine="1440"/>
        <w:rPr>
          <w:rFonts w:ascii="Arial" w:hAnsi="Arial" w:cs="Arial"/>
        </w:rPr>
      </w:pPr>
      <w:r>
        <w:rPr>
          <w:rFonts w:ascii="Arial" w:hAnsi="Arial" w:cs="Arial"/>
        </w:rPr>
        <w:t>This section was previously section 3, but has been moved.  No comments were received on moving this section and therefore it is adopted as proposed.</w:t>
      </w:r>
      <w:bookmarkStart w:id="0" w:name="_GoBack"/>
      <w:bookmarkEnd w:id="0"/>
    </w:p>
    <w:p w:rsidR="009A4BD7" w:rsidRDefault="009A4BD7" w:rsidP="00097146">
      <w:pPr>
        <w:ind w:firstLine="1440"/>
        <w:rPr>
          <w:rFonts w:ascii="Arial" w:hAnsi="Arial" w:cs="Arial"/>
        </w:rPr>
      </w:pPr>
    </w:p>
    <w:p w:rsidR="009A4BD7" w:rsidRDefault="009A4BD7" w:rsidP="00097146">
      <w:pPr>
        <w:numPr>
          <w:ilvl w:val="0"/>
          <w:numId w:val="1"/>
        </w:numPr>
        <w:rPr>
          <w:rFonts w:ascii="Arial" w:hAnsi="Arial" w:cs="Arial"/>
          <w:u w:val="single"/>
        </w:rPr>
      </w:pPr>
      <w:r>
        <w:rPr>
          <w:rFonts w:ascii="Arial" w:hAnsi="Arial" w:cs="Arial"/>
          <w:u w:val="single"/>
        </w:rPr>
        <w:t>Definition of Cost</w:t>
      </w:r>
    </w:p>
    <w:p w:rsidR="009A4BD7" w:rsidRDefault="009A4BD7" w:rsidP="00097146">
      <w:pPr>
        <w:ind w:left="720"/>
        <w:rPr>
          <w:rFonts w:ascii="Arial" w:hAnsi="Arial" w:cs="Arial"/>
          <w:u w:val="single"/>
        </w:rPr>
      </w:pPr>
    </w:p>
    <w:p w:rsidR="009A4BD7" w:rsidRDefault="009A4BD7" w:rsidP="00351DD7">
      <w:pPr>
        <w:ind w:firstLine="1440"/>
        <w:rPr>
          <w:rFonts w:ascii="Arial" w:hAnsi="Arial" w:cs="Arial"/>
        </w:rPr>
      </w:pPr>
      <w:r>
        <w:rPr>
          <w:rFonts w:ascii="Arial" w:hAnsi="Arial" w:cs="Arial"/>
        </w:rPr>
        <w:t xml:space="preserve">In the NOR, the Commission requested comments on whether it should consider the total costs of the projects or just the cost to Maine’s ratepayers when considering the economics and costs of a proposed transmission line. The OPA commented that the Commission should primarily consider cost to Maine ratepayers when considering the economics and cost of a proposed line.  The OPA noted that under the regional cost allocation methodology, customers of each transmission owner pay only a load-weighted share of certain transmission investments.  The OPA states that this creates an incentive to overbuild transmission.  While the OPA argues the Commission should primarily consider costs to Maine’s ratepayers, that it still remains important for the Commission to consider the total cost of the project to ensure that non-transmission alternatives, which might be less costly, are considered to meet reliability needs.  We believe the rule adequately addresses the OPA’s concern because Section 6(J) of the rule specifically requires that petitioners for a CPCN submit information on what </w:t>
      </w:r>
      <w:r w:rsidRPr="00F417E6">
        <w:rPr>
          <w:rFonts w:ascii="Arial" w:hAnsi="Arial" w:cs="Arial"/>
        </w:rPr>
        <w:t>alternatives, including conservation, distributed generation or load management</w:t>
      </w:r>
      <w:r>
        <w:rPr>
          <w:rFonts w:ascii="Arial" w:hAnsi="Arial" w:cs="Arial"/>
        </w:rPr>
        <w:t>,</w:t>
      </w:r>
      <w:r w:rsidRPr="00F417E6">
        <w:rPr>
          <w:rFonts w:ascii="Arial" w:hAnsi="Arial" w:cs="Arial"/>
        </w:rPr>
        <w:t xml:space="preserve"> to the proposed transmission line project were investigated</w:t>
      </w:r>
      <w:r>
        <w:rPr>
          <w:rFonts w:ascii="Arial" w:hAnsi="Arial" w:cs="Arial"/>
        </w:rPr>
        <w:t xml:space="preserve">.  Additionally, Section 9(B) of the rule requires that in determining public need for a proposed transmission line, the Commission consider non-transmission alternatives.  </w:t>
      </w:r>
    </w:p>
    <w:p w:rsidR="009A4BD7" w:rsidRDefault="009A4BD7" w:rsidP="00097146">
      <w:pPr>
        <w:ind w:firstLine="1440"/>
        <w:rPr>
          <w:rFonts w:ascii="Arial" w:hAnsi="Arial" w:cs="Arial"/>
        </w:rPr>
      </w:pPr>
    </w:p>
    <w:p w:rsidR="009A4BD7" w:rsidRDefault="009A4BD7" w:rsidP="00097146">
      <w:pPr>
        <w:ind w:firstLine="1440"/>
        <w:rPr>
          <w:rFonts w:ascii="Arial" w:hAnsi="Arial" w:cs="Arial"/>
          <w:u w:val="single"/>
        </w:rPr>
      </w:pPr>
      <w:r>
        <w:rPr>
          <w:rFonts w:ascii="Arial" w:hAnsi="Arial" w:cs="Arial"/>
        </w:rPr>
        <w:t xml:space="preserve"> Additionally, the OPA suggested that some of the factors enumerated in consideration of high-impact transmission line approvals (35-A M.R.S.A. </w:t>
      </w:r>
      <w:r w:rsidRPr="00CC0415">
        <w:rPr>
          <w:rFonts w:ascii="Arial" w:hAnsi="Arial" w:cs="Arial"/>
        </w:rPr>
        <w:t xml:space="preserve">§ 3132(6-A), which makes reference to the specific factors listed in </w:t>
      </w:r>
      <w:r>
        <w:rPr>
          <w:rFonts w:ascii="Arial" w:hAnsi="Arial" w:cs="Arial"/>
        </w:rPr>
        <w:t xml:space="preserve">35-A M.R.S.A. </w:t>
      </w:r>
      <w:r w:rsidRPr="00CC0415">
        <w:rPr>
          <w:rFonts w:ascii="Arial" w:hAnsi="Arial" w:cs="Arial"/>
        </w:rPr>
        <w:t xml:space="preserve">§122(1-D)) should serve as a model in providing specific guidance on how the Commission will evaluate projects designed to meet the </w:t>
      </w:r>
      <w:r>
        <w:rPr>
          <w:rFonts w:ascii="Arial" w:hAnsi="Arial" w:cs="Arial"/>
        </w:rPr>
        <w:t>S</w:t>
      </w:r>
      <w:r w:rsidRPr="00CC0415">
        <w:rPr>
          <w:rFonts w:ascii="Arial" w:hAnsi="Arial" w:cs="Arial"/>
        </w:rPr>
        <w:t>tate’s renewable energy goals.  The OPA also states that the factors currently enumerated in Chapter 330 “are limited to local impact types of concerns.”  However, we find that Section 9(B) of the rule requires that a wide range of factors be considered in determining the public need of a transmission line and specifically notes that in determining public need, state renewable energy goals shall be considered, pursuant to 35-A M.R.S.A. §</w:t>
      </w:r>
      <w:r>
        <w:rPr>
          <w:rFonts w:ascii="Arial" w:hAnsi="Arial" w:cs="Arial"/>
        </w:rPr>
        <w:t xml:space="preserve"> </w:t>
      </w:r>
      <w:r w:rsidRPr="00CC0415">
        <w:rPr>
          <w:rFonts w:ascii="Arial" w:hAnsi="Arial" w:cs="Arial"/>
        </w:rPr>
        <w:t xml:space="preserve">3132(6).  Therefore, we find that the </w:t>
      </w:r>
      <w:r>
        <w:rPr>
          <w:rFonts w:ascii="Arial" w:hAnsi="Arial" w:cs="Arial"/>
        </w:rPr>
        <w:t xml:space="preserve">language in the </w:t>
      </w:r>
      <w:r w:rsidRPr="00CC0415">
        <w:rPr>
          <w:rFonts w:ascii="Arial" w:hAnsi="Arial" w:cs="Arial"/>
        </w:rPr>
        <w:t xml:space="preserve">rule is adequate in addressing broader state policy goals </w:t>
      </w:r>
      <w:r>
        <w:rPr>
          <w:rFonts w:ascii="Arial" w:hAnsi="Arial" w:cs="Arial"/>
        </w:rPr>
        <w:t>and adopted the language as proposed.</w:t>
      </w:r>
    </w:p>
    <w:p w:rsidR="009A4BD7" w:rsidRPr="00CC0415" w:rsidRDefault="009A4BD7" w:rsidP="00097146">
      <w:pPr>
        <w:ind w:firstLine="1440"/>
        <w:rPr>
          <w:rFonts w:ascii="Arial" w:hAnsi="Arial" w:cs="Arial"/>
        </w:rPr>
      </w:pPr>
    </w:p>
    <w:p w:rsidR="009A4BD7" w:rsidRPr="00CC0415" w:rsidRDefault="009A4BD7" w:rsidP="00097146">
      <w:pPr>
        <w:rPr>
          <w:rFonts w:ascii="Arial" w:hAnsi="Arial" w:cs="Arial"/>
        </w:rPr>
      </w:pPr>
    </w:p>
    <w:p w:rsidR="009A4BD7" w:rsidRPr="00CC0415" w:rsidRDefault="009A4BD7" w:rsidP="00E66AD5">
      <w:pPr>
        <w:tabs>
          <w:tab w:val="left" w:pos="720"/>
        </w:tabs>
        <w:rPr>
          <w:rFonts w:ascii="Arial" w:hAnsi="Arial" w:cs="Arial"/>
        </w:rPr>
      </w:pPr>
      <w:r>
        <w:rPr>
          <w:rFonts w:ascii="Arial" w:hAnsi="Arial" w:cs="Arial"/>
        </w:rPr>
        <w:tab/>
      </w:r>
      <w:r w:rsidRPr="00CC0415">
        <w:rPr>
          <w:rFonts w:ascii="Arial" w:hAnsi="Arial" w:cs="Arial"/>
        </w:rPr>
        <w:t>Accordingly, we</w:t>
      </w:r>
    </w:p>
    <w:p w:rsidR="009A4BD7" w:rsidRPr="00CC0415" w:rsidRDefault="009A4BD7" w:rsidP="00E66AD5">
      <w:pPr>
        <w:tabs>
          <w:tab w:val="left" w:pos="720"/>
        </w:tabs>
        <w:jc w:val="center"/>
        <w:rPr>
          <w:rFonts w:ascii="Arial" w:hAnsi="Arial" w:cs="Arial"/>
        </w:rPr>
      </w:pPr>
      <w:r w:rsidRPr="00CC0415">
        <w:rPr>
          <w:rFonts w:ascii="Arial" w:hAnsi="Arial" w:cs="Arial"/>
        </w:rPr>
        <w:t>ORDER</w:t>
      </w:r>
    </w:p>
    <w:p w:rsidR="009A4BD7" w:rsidRPr="00CC0415" w:rsidRDefault="009A4BD7" w:rsidP="00E66AD5">
      <w:pPr>
        <w:tabs>
          <w:tab w:val="left" w:pos="720"/>
        </w:tabs>
        <w:jc w:val="center"/>
        <w:rPr>
          <w:rFonts w:ascii="Arial" w:hAnsi="Arial" w:cs="Arial"/>
        </w:rPr>
      </w:pPr>
    </w:p>
    <w:p w:rsidR="009A4BD7" w:rsidRPr="00CC0415" w:rsidRDefault="009A4BD7" w:rsidP="00E66AD5">
      <w:pPr>
        <w:tabs>
          <w:tab w:val="left" w:pos="720"/>
        </w:tabs>
        <w:rPr>
          <w:rFonts w:ascii="Arial" w:hAnsi="Arial" w:cs="Arial"/>
        </w:rPr>
      </w:pPr>
      <w:r w:rsidRPr="00CC0415">
        <w:rPr>
          <w:rFonts w:ascii="Arial" w:hAnsi="Arial" w:cs="Arial"/>
        </w:rPr>
        <w:t>1.</w:t>
      </w:r>
      <w:r w:rsidRPr="00CC0415">
        <w:rPr>
          <w:rFonts w:ascii="Arial" w:hAnsi="Arial" w:cs="Arial"/>
        </w:rPr>
        <w:tab/>
        <w:t>That the amendments to Chapter 330, Filing Requirements for Petitions for Certificates of Public Convenience and Necessity for Electric Transmission Facilities and Standards for Granting Certificates, are hereby adopted;</w:t>
      </w:r>
    </w:p>
    <w:p w:rsidR="009A4BD7" w:rsidRPr="00CC0415" w:rsidRDefault="009A4BD7" w:rsidP="00E66AD5">
      <w:pPr>
        <w:tabs>
          <w:tab w:val="left" w:pos="720"/>
        </w:tabs>
        <w:rPr>
          <w:rFonts w:ascii="Arial" w:hAnsi="Arial" w:cs="Arial"/>
        </w:rPr>
      </w:pPr>
    </w:p>
    <w:p w:rsidR="009A4BD7" w:rsidRPr="00CC0415" w:rsidRDefault="009A4BD7" w:rsidP="00E66AD5">
      <w:pPr>
        <w:tabs>
          <w:tab w:val="left" w:pos="720"/>
        </w:tabs>
        <w:rPr>
          <w:rFonts w:ascii="Arial" w:hAnsi="Arial" w:cs="Arial"/>
        </w:rPr>
      </w:pPr>
      <w:r w:rsidRPr="00CC0415">
        <w:rPr>
          <w:rFonts w:ascii="Arial" w:hAnsi="Arial" w:cs="Arial"/>
        </w:rPr>
        <w:t>2.</w:t>
      </w:r>
      <w:r w:rsidRPr="00CC0415">
        <w:rPr>
          <w:rFonts w:ascii="Arial" w:hAnsi="Arial" w:cs="Arial"/>
        </w:rPr>
        <w:tab/>
        <w:t>That the Administrative Director shall file the adopted rule and related materials with the Secretary of State;</w:t>
      </w:r>
    </w:p>
    <w:p w:rsidR="009A4BD7" w:rsidRPr="00CC0415" w:rsidRDefault="009A4BD7" w:rsidP="00E66AD5">
      <w:pPr>
        <w:tabs>
          <w:tab w:val="left" w:pos="720"/>
        </w:tabs>
        <w:rPr>
          <w:rFonts w:ascii="Arial" w:hAnsi="Arial" w:cs="Arial"/>
        </w:rPr>
      </w:pPr>
      <w:r w:rsidRPr="00CC0415">
        <w:rPr>
          <w:rFonts w:ascii="Arial" w:hAnsi="Arial" w:cs="Arial"/>
        </w:rPr>
        <w:t xml:space="preserve"> </w:t>
      </w:r>
    </w:p>
    <w:p w:rsidR="009A4BD7" w:rsidRPr="00CC0415" w:rsidRDefault="009A4BD7" w:rsidP="00E66AD5">
      <w:pPr>
        <w:rPr>
          <w:rFonts w:ascii="Arial" w:hAnsi="Arial" w:cs="Arial"/>
        </w:rPr>
      </w:pPr>
      <w:r w:rsidRPr="00CC0415">
        <w:rPr>
          <w:rFonts w:ascii="Arial" w:hAnsi="Arial" w:cs="Arial"/>
        </w:rPr>
        <w:t>3.</w:t>
      </w:r>
      <w:r w:rsidRPr="00CC0415">
        <w:rPr>
          <w:rFonts w:ascii="Arial" w:hAnsi="Arial" w:cs="Arial"/>
        </w:rPr>
        <w:tab/>
        <w:t>That the Administrative Direct shall notify the following of this rulemaking proceeding:</w:t>
      </w:r>
    </w:p>
    <w:p w:rsidR="009A4BD7" w:rsidRPr="00CC0415" w:rsidRDefault="009A4BD7" w:rsidP="00E66AD5">
      <w:pPr>
        <w:rPr>
          <w:rFonts w:ascii="Arial" w:hAnsi="Arial" w:cs="Arial"/>
        </w:rPr>
      </w:pPr>
    </w:p>
    <w:p w:rsidR="009A4BD7" w:rsidRPr="00CC0415" w:rsidRDefault="009A4BD7" w:rsidP="00CC0415">
      <w:pPr>
        <w:pStyle w:val="ListParagraph"/>
        <w:numPr>
          <w:ilvl w:val="1"/>
          <w:numId w:val="5"/>
        </w:numPr>
        <w:rPr>
          <w:rFonts w:ascii="Arial" w:hAnsi="Arial" w:cs="Arial"/>
        </w:rPr>
      </w:pPr>
      <w:r w:rsidRPr="00CC0415">
        <w:rPr>
          <w:rFonts w:ascii="Arial" w:hAnsi="Arial" w:cs="Arial"/>
        </w:rPr>
        <w:t xml:space="preserve"> All transmission and distribution utilities in the state;</w:t>
      </w:r>
    </w:p>
    <w:p w:rsidR="009A4BD7" w:rsidRPr="00CC0415" w:rsidRDefault="009A4BD7" w:rsidP="00CC0415">
      <w:pPr>
        <w:pStyle w:val="ListParagraph"/>
        <w:ind w:left="1440"/>
        <w:rPr>
          <w:rFonts w:ascii="Arial" w:hAnsi="Arial" w:cs="Arial"/>
        </w:rPr>
      </w:pPr>
    </w:p>
    <w:p w:rsidR="009A4BD7" w:rsidRPr="00CC0415" w:rsidRDefault="009A4BD7" w:rsidP="00CC0415">
      <w:pPr>
        <w:pStyle w:val="ListParagraph"/>
        <w:numPr>
          <w:ilvl w:val="1"/>
          <w:numId w:val="5"/>
        </w:numPr>
        <w:rPr>
          <w:rFonts w:ascii="Arial" w:hAnsi="Arial" w:cs="Arial"/>
        </w:rPr>
      </w:pPr>
      <w:r w:rsidRPr="00CC0415">
        <w:rPr>
          <w:rFonts w:ascii="Arial" w:hAnsi="Arial" w:cs="Arial"/>
        </w:rPr>
        <w:t>All persons that have commented in this rulemaking, Docket No. 2012-230.</w:t>
      </w:r>
    </w:p>
    <w:p w:rsidR="009A4BD7" w:rsidRPr="00CC0415" w:rsidRDefault="009A4BD7" w:rsidP="00E66AD5">
      <w:pPr>
        <w:tabs>
          <w:tab w:val="left" w:pos="720"/>
        </w:tabs>
        <w:rPr>
          <w:rFonts w:ascii="Arial" w:hAnsi="Arial" w:cs="Arial"/>
        </w:rPr>
      </w:pPr>
    </w:p>
    <w:p w:rsidR="009A4BD7" w:rsidRPr="00CC0415" w:rsidRDefault="009A4BD7" w:rsidP="00E66AD5">
      <w:pPr>
        <w:rPr>
          <w:rStyle w:val="InitialStyle"/>
          <w:rFonts w:cs="Arial"/>
        </w:rPr>
      </w:pPr>
      <w:r w:rsidRPr="00CC0415">
        <w:rPr>
          <w:rStyle w:val="InitialStyle"/>
          <w:rFonts w:cs="Arial"/>
        </w:rPr>
        <w:t>4.</w:t>
      </w:r>
      <w:r w:rsidRPr="00CC0415">
        <w:rPr>
          <w:rStyle w:val="InitialStyle"/>
          <w:rFonts w:cs="Arial"/>
        </w:rPr>
        <w:tab/>
        <w:t>That the Administrative Director shall send copies of this Order and the attached amended rule to the Executive Director of the Legislative Council, 115 State House Station, Augusta, Maine 04333-0115</w:t>
      </w:r>
      <w:r>
        <w:rPr>
          <w:rStyle w:val="InitialStyle"/>
          <w:rFonts w:cs="Arial"/>
        </w:rPr>
        <w:t>.</w:t>
      </w:r>
    </w:p>
    <w:p w:rsidR="009A4BD7" w:rsidRPr="00CC0415" w:rsidRDefault="009A4BD7" w:rsidP="00E66AD5">
      <w:pPr>
        <w:tabs>
          <w:tab w:val="left" w:pos="720"/>
        </w:tabs>
        <w:ind w:left="1080" w:hanging="720"/>
        <w:rPr>
          <w:rStyle w:val="InitialStyle"/>
          <w:rFonts w:cs="Arial"/>
        </w:rPr>
      </w:pPr>
    </w:p>
    <w:p w:rsidR="009A4BD7" w:rsidRPr="00CC0415" w:rsidRDefault="009A4BD7" w:rsidP="00E66AD5">
      <w:pPr>
        <w:pStyle w:val="DefaultText"/>
        <w:jc w:val="center"/>
        <w:rPr>
          <w:rStyle w:val="InitialStyle"/>
          <w:rFonts w:cs="Arial"/>
          <w:szCs w:val="24"/>
        </w:rPr>
      </w:pPr>
      <w:r w:rsidRPr="00CC0415">
        <w:rPr>
          <w:rStyle w:val="InitialStyle"/>
          <w:rFonts w:cs="Arial"/>
          <w:szCs w:val="24"/>
        </w:rPr>
        <w:t xml:space="preserve">Dated at Hallowell, Maine, this </w:t>
      </w:r>
      <w:r>
        <w:rPr>
          <w:rStyle w:val="InitialStyle"/>
          <w:rFonts w:cs="Arial"/>
          <w:szCs w:val="24"/>
        </w:rPr>
        <w:t>25</w:t>
      </w:r>
      <w:r w:rsidRPr="00CC0415">
        <w:rPr>
          <w:rStyle w:val="InitialStyle"/>
          <w:rFonts w:cs="Arial"/>
          <w:szCs w:val="24"/>
        </w:rPr>
        <w:t>th day of Sept</w:t>
      </w:r>
      <w:r>
        <w:rPr>
          <w:rStyle w:val="InitialStyle"/>
          <w:rFonts w:cs="Arial"/>
          <w:szCs w:val="24"/>
        </w:rPr>
        <w:t>ember</w:t>
      </w:r>
      <w:r w:rsidRPr="00CC0415">
        <w:rPr>
          <w:rStyle w:val="InitialStyle"/>
          <w:rFonts w:cs="Arial"/>
          <w:szCs w:val="24"/>
        </w:rPr>
        <w:t xml:space="preserve">, 2012  </w:t>
      </w:r>
    </w:p>
    <w:p w:rsidR="009A4BD7" w:rsidRPr="00CC0415" w:rsidRDefault="009A4BD7" w:rsidP="00E66AD5">
      <w:pPr>
        <w:pStyle w:val="DefaultText"/>
        <w:tabs>
          <w:tab w:val="left" w:pos="720"/>
          <w:tab w:val="left" w:pos="1440"/>
          <w:tab w:val="left" w:pos="2160"/>
          <w:tab w:val="left" w:pos="2880"/>
          <w:tab w:val="left" w:pos="3600"/>
          <w:tab w:val="left" w:pos="5472"/>
          <w:tab w:val="left" w:pos="11666"/>
        </w:tabs>
        <w:jc w:val="center"/>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center"/>
        <w:rPr>
          <w:rStyle w:val="InitialStyle"/>
          <w:rFonts w:cs="Arial"/>
          <w:szCs w:val="24"/>
        </w:rPr>
      </w:pPr>
      <w:r w:rsidRPr="002347ED">
        <w:rPr>
          <w:rStyle w:val="InitialStyle"/>
          <w:rFonts w:cs="Arial"/>
          <w:szCs w:val="24"/>
        </w:rPr>
        <w:t>BY ORDER OF THE COMMISSION</w:t>
      </w: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center"/>
        <w:rPr>
          <w:rStyle w:val="InitialStyle"/>
          <w:rFonts w:cs="Arial"/>
          <w:szCs w:val="24"/>
        </w:rPr>
      </w:pPr>
      <w:r w:rsidRPr="002347ED">
        <w:rPr>
          <w:rStyle w:val="InitialStyle"/>
          <w:rFonts w:cs="Arial"/>
          <w:szCs w:val="24"/>
        </w:rPr>
        <w:t>_______________________________</w:t>
      </w: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ind w:left="5472" w:hanging="5472"/>
        <w:jc w:val="center"/>
        <w:rPr>
          <w:rStyle w:val="InitialStyle"/>
          <w:rFonts w:cs="Arial"/>
          <w:szCs w:val="24"/>
        </w:rPr>
      </w:pPr>
      <w:r w:rsidRPr="002347ED">
        <w:rPr>
          <w:rStyle w:val="InitialStyle"/>
          <w:rFonts w:cs="Arial"/>
          <w:szCs w:val="24"/>
        </w:rPr>
        <w:t>Karen Geraghty</w:t>
      </w: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center"/>
        <w:rPr>
          <w:rStyle w:val="InitialStyle"/>
          <w:rFonts w:cs="Arial"/>
          <w:szCs w:val="24"/>
        </w:rPr>
      </w:pPr>
      <w:r w:rsidRPr="002347ED">
        <w:rPr>
          <w:rStyle w:val="InitialStyle"/>
          <w:rFonts w:cs="Arial"/>
          <w:szCs w:val="24"/>
        </w:rPr>
        <w:t>Administrative Director</w:t>
      </w: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1E5CEC">
      <w:pPr>
        <w:pStyle w:val="DefaultText"/>
        <w:tabs>
          <w:tab w:val="left" w:pos="720"/>
          <w:tab w:val="left" w:pos="1440"/>
          <w:tab w:val="left" w:pos="2160"/>
          <w:tab w:val="left" w:pos="2880"/>
          <w:tab w:val="left" w:pos="3600"/>
          <w:tab w:val="left" w:pos="5472"/>
          <w:tab w:val="left" w:pos="11666"/>
        </w:tabs>
        <w:jc w:val="both"/>
        <w:rPr>
          <w:rStyle w:val="InitialStyle"/>
          <w:rFonts w:cs="Arial"/>
          <w:szCs w:val="24"/>
        </w:rPr>
      </w:pPr>
    </w:p>
    <w:p w:rsidR="009A4BD7" w:rsidRPr="002347ED" w:rsidRDefault="009A4BD7" w:rsidP="004A4835">
      <w:pPr>
        <w:pStyle w:val="DefaultText"/>
        <w:rPr>
          <w:rFonts w:ascii="Arial" w:hAnsi="Arial" w:cs="Arial"/>
          <w:szCs w:val="24"/>
        </w:rPr>
      </w:pPr>
      <w:r w:rsidRPr="002347ED">
        <w:rPr>
          <w:rFonts w:ascii="Arial" w:hAnsi="Arial" w:cs="Arial"/>
          <w:szCs w:val="24"/>
        </w:rPr>
        <w:t>COMMISSIONERS VOTING FOR:</w:t>
      </w:r>
      <w:r w:rsidRPr="002347ED">
        <w:rPr>
          <w:rFonts w:ascii="Arial" w:hAnsi="Arial" w:cs="Arial"/>
          <w:szCs w:val="24"/>
        </w:rPr>
        <w:tab/>
      </w:r>
      <w:r>
        <w:rPr>
          <w:rFonts w:ascii="Arial" w:hAnsi="Arial" w:cs="Arial"/>
          <w:szCs w:val="24"/>
        </w:rPr>
        <w:t>Welch</w:t>
      </w:r>
    </w:p>
    <w:p w:rsidR="009A4BD7" w:rsidRPr="002347ED" w:rsidRDefault="009A4BD7" w:rsidP="004A4835">
      <w:pPr>
        <w:pStyle w:val="DefaultText"/>
        <w:ind w:left="3600" w:firstLine="720"/>
        <w:rPr>
          <w:rFonts w:ascii="Arial" w:hAnsi="Arial" w:cs="Arial"/>
          <w:szCs w:val="24"/>
        </w:rPr>
      </w:pPr>
      <w:r>
        <w:rPr>
          <w:rFonts w:ascii="Arial" w:hAnsi="Arial" w:cs="Arial"/>
          <w:szCs w:val="24"/>
        </w:rPr>
        <w:t>Littell</w:t>
      </w:r>
    </w:p>
    <w:p w:rsidR="009A4BD7" w:rsidRPr="002347ED" w:rsidRDefault="009A4BD7" w:rsidP="004A4835">
      <w:pPr>
        <w:pStyle w:val="DefaultText"/>
        <w:ind w:left="3600" w:firstLine="720"/>
        <w:rPr>
          <w:rFonts w:ascii="Arial" w:hAnsi="Arial" w:cs="Arial"/>
          <w:szCs w:val="24"/>
        </w:rPr>
      </w:pPr>
      <w:r>
        <w:rPr>
          <w:rFonts w:ascii="Arial" w:hAnsi="Arial" w:cs="Arial"/>
          <w:szCs w:val="24"/>
        </w:rPr>
        <w:t>Vannoy</w:t>
      </w:r>
    </w:p>
    <w:p w:rsidR="009A4BD7" w:rsidRPr="002347ED" w:rsidRDefault="009A4BD7" w:rsidP="001E5CEC">
      <w:pPr>
        <w:pStyle w:val="DefaultText"/>
        <w:rPr>
          <w:rFonts w:ascii="Arial" w:hAnsi="Arial" w:cs="Arial"/>
          <w:szCs w:val="24"/>
        </w:rPr>
      </w:pPr>
    </w:p>
    <w:p w:rsidR="009A4BD7" w:rsidRPr="002347ED" w:rsidRDefault="009A4BD7" w:rsidP="001E5CEC">
      <w:pPr>
        <w:pStyle w:val="DefaultText"/>
        <w:rPr>
          <w:rFonts w:ascii="Arial" w:hAnsi="Arial" w:cs="Arial"/>
          <w:szCs w:val="24"/>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Default="009A4BD7" w:rsidP="001E5CEC">
      <w:pPr>
        <w:jc w:val="center"/>
        <w:rPr>
          <w:rFonts w:ascii="Arial" w:hAnsi="Arial" w:cs="Arial"/>
        </w:rPr>
      </w:pPr>
    </w:p>
    <w:p w:rsidR="009A4BD7" w:rsidRPr="001E5CEC" w:rsidRDefault="009A4BD7" w:rsidP="001E5CEC">
      <w:pPr>
        <w:jc w:val="center"/>
        <w:rPr>
          <w:rFonts w:ascii="Arial" w:hAnsi="Arial" w:cs="Arial"/>
        </w:rPr>
      </w:pPr>
      <w:r w:rsidRPr="001E5CEC">
        <w:rPr>
          <w:rFonts w:ascii="Arial" w:hAnsi="Arial" w:cs="Arial"/>
        </w:rPr>
        <w:t>NOTICE OF RIGHTS TO REVIEW OR APPEAL</w:t>
      </w:r>
    </w:p>
    <w:p w:rsidR="009A4BD7" w:rsidRPr="001E5CEC" w:rsidRDefault="009A4BD7" w:rsidP="001E5CEC">
      <w:pPr>
        <w:autoSpaceDE w:val="0"/>
        <w:autoSpaceDN w:val="0"/>
        <w:jc w:val="both"/>
        <w:rPr>
          <w:rFonts w:ascii="Arial" w:hAnsi="Arial" w:cs="Arial"/>
        </w:rPr>
      </w:pPr>
    </w:p>
    <w:p w:rsidR="009A4BD7" w:rsidRPr="001E5CEC" w:rsidRDefault="009A4BD7" w:rsidP="001E5CEC">
      <w:pPr>
        <w:autoSpaceDE w:val="0"/>
        <w:autoSpaceDN w:val="0"/>
        <w:rPr>
          <w:rFonts w:ascii="Arial" w:hAnsi="Arial" w:cs="Arial"/>
        </w:rPr>
      </w:pPr>
      <w:r w:rsidRPr="001E5CEC">
        <w:rPr>
          <w:rFonts w:ascii="Arial" w:hAnsi="Arial" w:cs="Arial"/>
        </w:rPr>
        <w:t>            5 M.R.S.A. § 9061 requires the Public Utilities Commission to give each party to an adjudicatory proceeding written notice of the party's rights to review or appeal of its decision made at the conclusion of the adjudicatory proceeding.  The methods of review or appeal of PUC decisions at the conclusion of an adjudicatory proceeding are as follows:</w:t>
      </w:r>
    </w:p>
    <w:p w:rsidR="009A4BD7" w:rsidRPr="001E5CEC" w:rsidRDefault="009A4BD7" w:rsidP="001E5CEC">
      <w:pPr>
        <w:autoSpaceDE w:val="0"/>
        <w:autoSpaceDN w:val="0"/>
        <w:rPr>
          <w:rFonts w:ascii="Arial" w:hAnsi="Arial" w:cs="Arial"/>
        </w:rPr>
      </w:pPr>
    </w:p>
    <w:p w:rsidR="009A4BD7" w:rsidRPr="001E5CEC" w:rsidRDefault="009A4BD7" w:rsidP="001E5CEC">
      <w:pPr>
        <w:autoSpaceDE w:val="0"/>
        <w:autoSpaceDN w:val="0"/>
        <w:ind w:left="720" w:hanging="720"/>
        <w:rPr>
          <w:rFonts w:ascii="Arial" w:hAnsi="Arial" w:cs="Arial"/>
        </w:rPr>
      </w:pPr>
      <w:r w:rsidRPr="001E5CEC">
        <w:rPr>
          <w:rFonts w:ascii="Arial" w:hAnsi="Arial" w:cs="Arial"/>
        </w:rPr>
        <w:t xml:space="preserve">            1.         </w:t>
      </w:r>
      <w:r w:rsidRPr="001E5CEC">
        <w:rPr>
          <w:rFonts w:ascii="Arial" w:hAnsi="Arial" w:cs="Arial"/>
          <w:u w:val="single"/>
        </w:rPr>
        <w:t>Reconsideration</w:t>
      </w:r>
      <w:r w:rsidRPr="001E5CEC">
        <w:rPr>
          <w:rFonts w:ascii="Arial" w:hAnsi="Arial" w:cs="Arial"/>
        </w:rPr>
        <w:t xml:space="preserve"> of the Commission's Order may be requested under Section 1004 of the Commission's Rules of Practice and Procedure (65-407 C.M.R.110) within </w:t>
      </w:r>
      <w:r w:rsidRPr="001E5CEC">
        <w:rPr>
          <w:rFonts w:ascii="Arial" w:hAnsi="Arial" w:cs="Arial"/>
          <w:b/>
        </w:rPr>
        <w:t>20</w:t>
      </w:r>
      <w:r w:rsidRPr="001E5CEC">
        <w:rPr>
          <w:rFonts w:ascii="Arial" w:hAnsi="Arial" w:cs="Arial"/>
        </w:rPr>
        <w:t xml:space="preserve"> days of the date of the Order by filing a petition with the Commission stating the grounds upon which reconsideration is sought.  Any petition not granted within </w:t>
      </w:r>
      <w:r w:rsidRPr="001E5CEC">
        <w:rPr>
          <w:rFonts w:ascii="Arial" w:hAnsi="Arial" w:cs="Arial"/>
          <w:bCs/>
        </w:rPr>
        <w:t>20</w:t>
      </w:r>
      <w:r w:rsidRPr="001E5CEC">
        <w:rPr>
          <w:rFonts w:ascii="Arial" w:hAnsi="Arial" w:cs="Arial"/>
        </w:rPr>
        <w:t xml:space="preserve"> days from the date of filing is denied.</w:t>
      </w:r>
    </w:p>
    <w:p w:rsidR="009A4BD7" w:rsidRPr="001E5CEC" w:rsidRDefault="009A4BD7" w:rsidP="001E5CEC">
      <w:pPr>
        <w:autoSpaceDE w:val="0"/>
        <w:autoSpaceDN w:val="0"/>
        <w:rPr>
          <w:rFonts w:ascii="Arial" w:hAnsi="Arial" w:cs="Arial"/>
        </w:rPr>
      </w:pPr>
    </w:p>
    <w:p w:rsidR="009A4BD7" w:rsidRPr="001E5CEC" w:rsidRDefault="009A4BD7" w:rsidP="001E5CEC">
      <w:pPr>
        <w:autoSpaceDE w:val="0"/>
        <w:autoSpaceDN w:val="0"/>
        <w:ind w:left="720" w:hanging="720"/>
        <w:rPr>
          <w:rFonts w:ascii="Arial" w:hAnsi="Arial" w:cs="Arial"/>
        </w:rPr>
      </w:pPr>
      <w:r w:rsidRPr="001E5CEC">
        <w:rPr>
          <w:rFonts w:ascii="Arial" w:hAnsi="Arial" w:cs="Arial"/>
        </w:rPr>
        <w:t xml:space="preserve">            2.         </w:t>
      </w:r>
      <w:r w:rsidRPr="001E5CEC">
        <w:rPr>
          <w:rFonts w:ascii="Arial" w:hAnsi="Arial" w:cs="Arial"/>
          <w:u w:val="single"/>
        </w:rPr>
        <w:t>Appeal of a final decision</w:t>
      </w:r>
      <w:r w:rsidRPr="001E5CEC">
        <w:rPr>
          <w:rFonts w:ascii="Arial" w:hAnsi="Arial" w:cs="Arial"/>
        </w:rPr>
        <w:t xml:space="preserve"> of the Commission may be taken to the Law Court by filing, within </w:t>
      </w:r>
      <w:r w:rsidRPr="001E5CEC">
        <w:rPr>
          <w:rFonts w:ascii="Arial" w:hAnsi="Arial" w:cs="Arial"/>
          <w:b/>
          <w:bCs/>
        </w:rPr>
        <w:t>21</w:t>
      </w:r>
      <w:r w:rsidRPr="001E5CEC">
        <w:rPr>
          <w:rFonts w:ascii="Arial" w:hAnsi="Arial" w:cs="Arial"/>
        </w:rPr>
        <w:t xml:space="preserve"> days of the date of the Order, a Notice of Appeal with the Administrative Director of the Commission, pursuant to 35-A M.R.S.A. § 1320(1)-(4) and the Maine Rules of Appellate Procedure.</w:t>
      </w:r>
    </w:p>
    <w:p w:rsidR="009A4BD7" w:rsidRPr="001E5CEC" w:rsidRDefault="009A4BD7" w:rsidP="001E5CEC">
      <w:pPr>
        <w:autoSpaceDE w:val="0"/>
        <w:autoSpaceDN w:val="0"/>
        <w:rPr>
          <w:rFonts w:ascii="Arial" w:hAnsi="Arial" w:cs="Arial"/>
        </w:rPr>
      </w:pPr>
    </w:p>
    <w:p w:rsidR="009A4BD7" w:rsidRPr="001E5CEC" w:rsidRDefault="009A4BD7" w:rsidP="001E5CEC">
      <w:pPr>
        <w:autoSpaceDE w:val="0"/>
        <w:autoSpaceDN w:val="0"/>
        <w:ind w:left="720" w:hanging="720"/>
        <w:rPr>
          <w:rFonts w:ascii="Arial" w:hAnsi="Arial" w:cs="Arial"/>
        </w:rPr>
      </w:pPr>
      <w:r w:rsidRPr="001E5CEC">
        <w:rPr>
          <w:rFonts w:ascii="Arial" w:hAnsi="Arial" w:cs="Arial"/>
        </w:rPr>
        <w:t xml:space="preserve">            3.         </w:t>
      </w:r>
      <w:r w:rsidRPr="001E5CEC">
        <w:rPr>
          <w:rFonts w:ascii="Arial" w:hAnsi="Arial" w:cs="Arial"/>
          <w:u w:val="single"/>
        </w:rPr>
        <w:t>Additional court review</w:t>
      </w:r>
      <w:r w:rsidRPr="001E5CEC">
        <w:rPr>
          <w:rFonts w:ascii="Arial" w:hAnsi="Arial" w:cs="Arial"/>
        </w:rPr>
        <w:t xml:space="preserve"> of constitutional issues or issues involving the justness or reasonableness of rates may be had by the filing of an appeal with the Law Court, pursuant to 35-A M.R.S.A. § 1320(5).</w:t>
      </w:r>
    </w:p>
    <w:p w:rsidR="009A4BD7" w:rsidRPr="001E5CEC" w:rsidRDefault="009A4BD7" w:rsidP="001E5CEC">
      <w:pPr>
        <w:autoSpaceDE w:val="0"/>
        <w:autoSpaceDN w:val="0"/>
        <w:rPr>
          <w:rFonts w:ascii="Arial" w:hAnsi="Arial" w:cs="Arial"/>
        </w:rPr>
      </w:pPr>
    </w:p>
    <w:p w:rsidR="009A4BD7" w:rsidRPr="001E5CEC" w:rsidRDefault="009A4BD7" w:rsidP="001E5CEC">
      <w:pPr>
        <w:rPr>
          <w:rFonts w:ascii="Arial" w:hAnsi="Arial" w:cs="Arial"/>
          <w:sz w:val="28"/>
          <w:szCs w:val="28"/>
        </w:rPr>
      </w:pPr>
      <w:r w:rsidRPr="001E5CEC">
        <w:rPr>
          <w:rFonts w:ascii="Arial" w:hAnsi="Arial" w:cs="Arial"/>
          <w:u w:val="single"/>
        </w:rPr>
        <w:t>Note</w:t>
      </w:r>
      <w:r w:rsidRPr="001E5CEC">
        <w:rPr>
          <w:rFonts w:ascii="Arial" w:hAnsi="Arial" w:cs="Arial"/>
        </w:rPr>
        <w:t>:   The attachment of this Notice to a document does not indicate the Commission's view that the particular document may be subject to review or appeal.  Similarly, the failure of the Commission to attach a copy of this Notice to a document does not indicate the Commission's view that the document is not subject to review or appeal.</w:t>
      </w:r>
    </w:p>
    <w:p w:rsidR="009A4BD7" w:rsidRPr="001E5CEC" w:rsidRDefault="009A4BD7" w:rsidP="001E5CEC">
      <w:pPr>
        <w:jc w:val="center"/>
        <w:rPr>
          <w:rFonts w:ascii="Arial" w:hAnsi="Arial" w:cs="Arial"/>
        </w:rPr>
      </w:pPr>
      <w:r w:rsidRPr="001E5CEC">
        <w:rPr>
          <w:rFonts w:ascii="Arial" w:hAnsi="Arial" w:cs="Arial"/>
        </w:rPr>
        <w:t xml:space="preserve"> </w:t>
      </w:r>
    </w:p>
    <w:p w:rsidR="009A4BD7" w:rsidRPr="001E5CEC" w:rsidRDefault="009A4BD7" w:rsidP="001E5CEC">
      <w:pPr>
        <w:rPr>
          <w:rFonts w:ascii="Arial" w:hAnsi="Arial" w:cs="Arial"/>
        </w:rPr>
      </w:pPr>
    </w:p>
    <w:p w:rsidR="009A4BD7" w:rsidRPr="001E5CEC" w:rsidRDefault="009A4BD7">
      <w:pPr>
        <w:rPr>
          <w:rFonts w:ascii="Arial" w:hAnsi="Arial" w:cs="Arial"/>
        </w:rPr>
      </w:pPr>
    </w:p>
    <w:sectPr w:rsidR="009A4BD7" w:rsidRPr="001E5CEC" w:rsidSect="00B537C6">
      <w:head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D7" w:rsidRDefault="009A4BD7">
      <w:r>
        <w:separator/>
      </w:r>
    </w:p>
  </w:endnote>
  <w:endnote w:type="continuationSeparator" w:id="0">
    <w:p w:rsidR="009A4BD7" w:rsidRDefault="009A4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altName w:val=" Arial"/>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D7" w:rsidRDefault="009A4BD7">
      <w:r>
        <w:separator/>
      </w:r>
    </w:p>
  </w:footnote>
  <w:footnote w:type="continuationSeparator" w:id="0">
    <w:p w:rsidR="009A4BD7" w:rsidRDefault="009A4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D7" w:rsidRPr="00E06D96" w:rsidRDefault="009A4BD7" w:rsidP="00B537C6">
    <w:pPr>
      <w:pStyle w:val="Header"/>
      <w:spacing w:before="2" w:after="2"/>
      <w:rPr>
        <w:rFonts w:cs="Arial"/>
        <w:b/>
        <w:u w:val="single"/>
      </w:rPr>
    </w:pPr>
    <w:r>
      <w:rPr>
        <w:rFonts w:cs="Arial"/>
        <w:b/>
        <w:u w:val="single"/>
      </w:rPr>
      <w:t xml:space="preserve">Order Adopting . . . . </w:t>
    </w:r>
    <w:r>
      <w:rPr>
        <w:rFonts w:cs="Arial"/>
        <w:b/>
        <w:u w:val="single"/>
      </w:rPr>
      <w:tab/>
    </w:r>
    <w:r w:rsidRPr="00E06D96">
      <w:rPr>
        <w:rFonts w:cs="Arial"/>
        <w:b/>
        <w:u w:val="single"/>
      </w:rPr>
      <w:t xml:space="preserve">- </w:t>
    </w:r>
    <w:r w:rsidRPr="00E06D96">
      <w:rPr>
        <w:rStyle w:val="PageNumber"/>
        <w:rFonts w:cs="Arial"/>
        <w:b/>
        <w:u w:val="single"/>
      </w:rPr>
      <w:fldChar w:fldCharType="begin"/>
    </w:r>
    <w:r w:rsidRPr="00E06D96">
      <w:rPr>
        <w:rStyle w:val="PageNumber"/>
        <w:rFonts w:cs="Arial"/>
        <w:b/>
        <w:u w:val="single"/>
      </w:rPr>
      <w:instrText xml:space="preserve"> PAGE </w:instrText>
    </w:r>
    <w:r w:rsidRPr="00E06D96">
      <w:rPr>
        <w:rStyle w:val="PageNumber"/>
        <w:rFonts w:cs="Arial"/>
        <w:b/>
        <w:u w:val="single"/>
      </w:rPr>
      <w:fldChar w:fldCharType="separate"/>
    </w:r>
    <w:r>
      <w:rPr>
        <w:rStyle w:val="PageNumber"/>
        <w:rFonts w:cs="Arial"/>
        <w:b/>
        <w:noProof/>
        <w:u w:val="single"/>
      </w:rPr>
      <w:t>11</w:t>
    </w:r>
    <w:r w:rsidRPr="00E06D96">
      <w:rPr>
        <w:rStyle w:val="PageNumber"/>
        <w:rFonts w:cs="Arial"/>
        <w:b/>
        <w:u w:val="single"/>
      </w:rPr>
      <w:fldChar w:fldCharType="end"/>
    </w:r>
    <w:r>
      <w:rPr>
        <w:rStyle w:val="PageNumber"/>
        <w:rFonts w:cs="Arial"/>
        <w:b/>
        <w:u w:val="single"/>
      </w:rPr>
      <w:t xml:space="preserve"> -</w:t>
    </w:r>
    <w:r>
      <w:rPr>
        <w:rStyle w:val="PageNumber"/>
        <w:rFonts w:cs="Arial"/>
        <w:b/>
        <w:u w:val="single"/>
      </w:rPr>
      <w:tab/>
      <w:t>Docket No. 2012-00230</w:t>
    </w:r>
  </w:p>
  <w:p w:rsidR="009A4BD7" w:rsidRDefault="009A4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3F6E"/>
    <w:multiLevelType w:val="hybridMultilevel"/>
    <w:tmpl w:val="85C68362"/>
    <w:lvl w:ilvl="0" w:tplc="7F72AA72">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88B2788"/>
    <w:multiLevelType w:val="hybridMultilevel"/>
    <w:tmpl w:val="9F226A14"/>
    <w:lvl w:ilvl="0" w:tplc="31C24E6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7CF4BB1"/>
    <w:multiLevelType w:val="hybridMultilevel"/>
    <w:tmpl w:val="35F41EBC"/>
    <w:lvl w:ilvl="0" w:tplc="67163574">
      <w:start w:val="3"/>
      <w:numFmt w:val="upperLetter"/>
      <w:lvlText w:val="%1."/>
      <w:lvlJc w:val="left"/>
      <w:pPr>
        <w:tabs>
          <w:tab w:val="num" w:pos="1440"/>
        </w:tabs>
        <w:ind w:left="1440" w:hanging="720"/>
      </w:pPr>
      <w:rPr>
        <w:rFonts w:cs="Times New Roman" w:hint="default"/>
        <w:b w:val="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46271756"/>
    <w:multiLevelType w:val="hybridMultilevel"/>
    <w:tmpl w:val="E8E2B01C"/>
    <w:lvl w:ilvl="0" w:tplc="20467200">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55E6322"/>
    <w:multiLevelType w:val="hybridMultilevel"/>
    <w:tmpl w:val="C27CB66C"/>
    <w:lvl w:ilvl="0" w:tplc="2A62605E">
      <w:start w:val="9"/>
      <w:numFmt w:val="upperLetter"/>
      <w:lvlText w:val="%1."/>
      <w:lvlJc w:val="left"/>
      <w:pPr>
        <w:tabs>
          <w:tab w:val="num" w:pos="1080"/>
        </w:tabs>
        <w:ind w:left="1080" w:hanging="720"/>
      </w:pPr>
      <w:rPr>
        <w:rFonts w:cs="Times New Roman" w:hint="default"/>
      </w:rPr>
    </w:lvl>
    <w:lvl w:ilvl="1" w:tplc="C28E45C4">
      <w:start w:val="1"/>
      <w:numFmt w:val="decimal"/>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146"/>
    <w:rsid w:val="0001594D"/>
    <w:rsid w:val="00017BC9"/>
    <w:rsid w:val="0002354E"/>
    <w:rsid w:val="000377DA"/>
    <w:rsid w:val="00095DD6"/>
    <w:rsid w:val="00097146"/>
    <w:rsid w:val="000D5CA2"/>
    <w:rsid w:val="000E0C87"/>
    <w:rsid w:val="000F5C1D"/>
    <w:rsid w:val="001131EE"/>
    <w:rsid w:val="001154F3"/>
    <w:rsid w:val="0015270F"/>
    <w:rsid w:val="0015640B"/>
    <w:rsid w:val="001A1019"/>
    <w:rsid w:val="001C4D04"/>
    <w:rsid w:val="001E4DBA"/>
    <w:rsid w:val="001E5CEC"/>
    <w:rsid w:val="001F5461"/>
    <w:rsid w:val="001F7020"/>
    <w:rsid w:val="002347ED"/>
    <w:rsid w:val="002355D4"/>
    <w:rsid w:val="002428DC"/>
    <w:rsid w:val="00244784"/>
    <w:rsid w:val="002919A6"/>
    <w:rsid w:val="002C08A7"/>
    <w:rsid w:val="002C75F9"/>
    <w:rsid w:val="002F184B"/>
    <w:rsid w:val="002F3677"/>
    <w:rsid w:val="00351DD7"/>
    <w:rsid w:val="00372632"/>
    <w:rsid w:val="00382651"/>
    <w:rsid w:val="00384D89"/>
    <w:rsid w:val="003A23A5"/>
    <w:rsid w:val="003B6808"/>
    <w:rsid w:val="003D21BB"/>
    <w:rsid w:val="003D7F33"/>
    <w:rsid w:val="003F50AD"/>
    <w:rsid w:val="004155E8"/>
    <w:rsid w:val="0046116C"/>
    <w:rsid w:val="00495C00"/>
    <w:rsid w:val="004A1D41"/>
    <w:rsid w:val="004A4835"/>
    <w:rsid w:val="004B7298"/>
    <w:rsid w:val="004C07B9"/>
    <w:rsid w:val="004C79AB"/>
    <w:rsid w:val="004D254B"/>
    <w:rsid w:val="004F19FA"/>
    <w:rsid w:val="004F4E03"/>
    <w:rsid w:val="004F54E9"/>
    <w:rsid w:val="005044F1"/>
    <w:rsid w:val="005372FD"/>
    <w:rsid w:val="00546E09"/>
    <w:rsid w:val="00591971"/>
    <w:rsid w:val="005968B2"/>
    <w:rsid w:val="00597247"/>
    <w:rsid w:val="00597857"/>
    <w:rsid w:val="00597D99"/>
    <w:rsid w:val="005A01B6"/>
    <w:rsid w:val="005A28AB"/>
    <w:rsid w:val="005B2E5D"/>
    <w:rsid w:val="005B50B6"/>
    <w:rsid w:val="005B7111"/>
    <w:rsid w:val="005C453B"/>
    <w:rsid w:val="005E2A2C"/>
    <w:rsid w:val="005F0A2E"/>
    <w:rsid w:val="006177EC"/>
    <w:rsid w:val="006624A7"/>
    <w:rsid w:val="00671604"/>
    <w:rsid w:val="00682CD8"/>
    <w:rsid w:val="006E3373"/>
    <w:rsid w:val="006E47DC"/>
    <w:rsid w:val="006E789B"/>
    <w:rsid w:val="006F1128"/>
    <w:rsid w:val="007114DF"/>
    <w:rsid w:val="0074247D"/>
    <w:rsid w:val="00743340"/>
    <w:rsid w:val="00750D9B"/>
    <w:rsid w:val="007770AD"/>
    <w:rsid w:val="00783DF8"/>
    <w:rsid w:val="00791A7F"/>
    <w:rsid w:val="00793CF2"/>
    <w:rsid w:val="007A0115"/>
    <w:rsid w:val="007A3FCE"/>
    <w:rsid w:val="007B454C"/>
    <w:rsid w:val="007D4984"/>
    <w:rsid w:val="007D5B24"/>
    <w:rsid w:val="007F28E8"/>
    <w:rsid w:val="008066A1"/>
    <w:rsid w:val="00821235"/>
    <w:rsid w:val="00824613"/>
    <w:rsid w:val="00826268"/>
    <w:rsid w:val="00826D2C"/>
    <w:rsid w:val="008337F4"/>
    <w:rsid w:val="00840028"/>
    <w:rsid w:val="00857265"/>
    <w:rsid w:val="00860545"/>
    <w:rsid w:val="00861EAC"/>
    <w:rsid w:val="00871D09"/>
    <w:rsid w:val="008772E5"/>
    <w:rsid w:val="00890B5F"/>
    <w:rsid w:val="00893F07"/>
    <w:rsid w:val="008A6126"/>
    <w:rsid w:val="008B0CB4"/>
    <w:rsid w:val="008B430A"/>
    <w:rsid w:val="008C6F21"/>
    <w:rsid w:val="008E0E4C"/>
    <w:rsid w:val="008E6E42"/>
    <w:rsid w:val="008F3641"/>
    <w:rsid w:val="0091671A"/>
    <w:rsid w:val="00920B35"/>
    <w:rsid w:val="0093169D"/>
    <w:rsid w:val="0093798B"/>
    <w:rsid w:val="00943A4E"/>
    <w:rsid w:val="00951B6C"/>
    <w:rsid w:val="0096113E"/>
    <w:rsid w:val="009654EC"/>
    <w:rsid w:val="0098301E"/>
    <w:rsid w:val="009831C9"/>
    <w:rsid w:val="009926FB"/>
    <w:rsid w:val="009A4A8A"/>
    <w:rsid w:val="009A4BD7"/>
    <w:rsid w:val="009B03E4"/>
    <w:rsid w:val="009B1932"/>
    <w:rsid w:val="009E57B9"/>
    <w:rsid w:val="009E5812"/>
    <w:rsid w:val="009E7CA5"/>
    <w:rsid w:val="00A04EF2"/>
    <w:rsid w:val="00A244B1"/>
    <w:rsid w:val="00A30FAE"/>
    <w:rsid w:val="00A47234"/>
    <w:rsid w:val="00A53FF2"/>
    <w:rsid w:val="00A82CFA"/>
    <w:rsid w:val="00A8453E"/>
    <w:rsid w:val="00A9535F"/>
    <w:rsid w:val="00AB118A"/>
    <w:rsid w:val="00AC4F07"/>
    <w:rsid w:val="00AC7F5B"/>
    <w:rsid w:val="00AE2A1B"/>
    <w:rsid w:val="00AE7F68"/>
    <w:rsid w:val="00B13938"/>
    <w:rsid w:val="00B30C73"/>
    <w:rsid w:val="00B42493"/>
    <w:rsid w:val="00B51AA2"/>
    <w:rsid w:val="00B51D87"/>
    <w:rsid w:val="00B537C6"/>
    <w:rsid w:val="00B60CD1"/>
    <w:rsid w:val="00B74670"/>
    <w:rsid w:val="00B82615"/>
    <w:rsid w:val="00B860BA"/>
    <w:rsid w:val="00B91B8D"/>
    <w:rsid w:val="00B924A1"/>
    <w:rsid w:val="00BA6430"/>
    <w:rsid w:val="00BA6B14"/>
    <w:rsid w:val="00BA6BFE"/>
    <w:rsid w:val="00BB5C81"/>
    <w:rsid w:val="00BC43B7"/>
    <w:rsid w:val="00BC44A9"/>
    <w:rsid w:val="00BD7841"/>
    <w:rsid w:val="00BE1983"/>
    <w:rsid w:val="00BF2272"/>
    <w:rsid w:val="00BF3C66"/>
    <w:rsid w:val="00BF7DD9"/>
    <w:rsid w:val="00C0506B"/>
    <w:rsid w:val="00C12BAA"/>
    <w:rsid w:val="00C234CF"/>
    <w:rsid w:val="00C51DF5"/>
    <w:rsid w:val="00C522E6"/>
    <w:rsid w:val="00C73BE1"/>
    <w:rsid w:val="00C83A52"/>
    <w:rsid w:val="00C850AE"/>
    <w:rsid w:val="00C95EC2"/>
    <w:rsid w:val="00C97D1F"/>
    <w:rsid w:val="00CA18DF"/>
    <w:rsid w:val="00CA7808"/>
    <w:rsid w:val="00CC0415"/>
    <w:rsid w:val="00CC7436"/>
    <w:rsid w:val="00CD7657"/>
    <w:rsid w:val="00CE0408"/>
    <w:rsid w:val="00CE495C"/>
    <w:rsid w:val="00CF0D27"/>
    <w:rsid w:val="00D17FF7"/>
    <w:rsid w:val="00D435A5"/>
    <w:rsid w:val="00D5282C"/>
    <w:rsid w:val="00D63B30"/>
    <w:rsid w:val="00D670C0"/>
    <w:rsid w:val="00D75676"/>
    <w:rsid w:val="00D87FAB"/>
    <w:rsid w:val="00DB5FBE"/>
    <w:rsid w:val="00DD4405"/>
    <w:rsid w:val="00E00368"/>
    <w:rsid w:val="00E06D96"/>
    <w:rsid w:val="00E174B4"/>
    <w:rsid w:val="00E54FD4"/>
    <w:rsid w:val="00E6110F"/>
    <w:rsid w:val="00E61B13"/>
    <w:rsid w:val="00E64D6D"/>
    <w:rsid w:val="00E66AD5"/>
    <w:rsid w:val="00E96D81"/>
    <w:rsid w:val="00ED001E"/>
    <w:rsid w:val="00ED4A48"/>
    <w:rsid w:val="00EE4D47"/>
    <w:rsid w:val="00EF4E5E"/>
    <w:rsid w:val="00F052C8"/>
    <w:rsid w:val="00F073D0"/>
    <w:rsid w:val="00F1548C"/>
    <w:rsid w:val="00F24802"/>
    <w:rsid w:val="00F417E6"/>
    <w:rsid w:val="00F62BDC"/>
    <w:rsid w:val="00F725A3"/>
    <w:rsid w:val="00F82139"/>
    <w:rsid w:val="00FA48FF"/>
    <w:rsid w:val="00FB1CD0"/>
    <w:rsid w:val="00FC0CA0"/>
    <w:rsid w:val="00FD783B"/>
    <w:rsid w:val="00FE2D67"/>
    <w:rsid w:val="00FF3E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97146"/>
    <w:rPr>
      <w:sz w:val="20"/>
      <w:szCs w:val="20"/>
    </w:rPr>
  </w:style>
  <w:style w:type="character" w:customStyle="1" w:styleId="FootnoteTextChar">
    <w:name w:val="Footnote Text Char"/>
    <w:basedOn w:val="DefaultParagraphFont"/>
    <w:link w:val="FootnoteText"/>
    <w:uiPriority w:val="99"/>
    <w:locked/>
    <w:rsid w:val="00097146"/>
    <w:rPr>
      <w:rFonts w:cs="Times New Roman"/>
    </w:rPr>
  </w:style>
  <w:style w:type="paragraph" w:customStyle="1" w:styleId="DefaultText">
    <w:name w:val="Default Text"/>
    <w:basedOn w:val="Normal"/>
    <w:uiPriority w:val="99"/>
    <w:rsid w:val="00097146"/>
    <w:pPr>
      <w:snapToGrid w:val="0"/>
    </w:pPr>
    <w:rPr>
      <w:szCs w:val="20"/>
    </w:rPr>
  </w:style>
  <w:style w:type="character" w:customStyle="1" w:styleId="InitialStyle">
    <w:name w:val="InitialStyle"/>
    <w:uiPriority w:val="99"/>
    <w:rsid w:val="00097146"/>
    <w:rPr>
      <w:rFonts w:ascii="Arial" w:hAnsi="Arial"/>
    </w:rPr>
  </w:style>
  <w:style w:type="paragraph" w:customStyle="1" w:styleId="FirstLineIndent1">
    <w:name w:val="First Line Indent1"/>
    <w:basedOn w:val="Normal"/>
    <w:uiPriority w:val="99"/>
    <w:rsid w:val="00097146"/>
    <w:pPr>
      <w:ind w:firstLine="720"/>
    </w:pPr>
    <w:rPr>
      <w:rFonts w:ascii="Arial" w:hAnsi="Arial"/>
      <w:szCs w:val="20"/>
    </w:rPr>
  </w:style>
  <w:style w:type="paragraph" w:styleId="BodyTextIndent">
    <w:name w:val="Body Text Indent"/>
    <w:basedOn w:val="Normal"/>
    <w:link w:val="BodyTextIndentChar"/>
    <w:uiPriority w:val="99"/>
    <w:rsid w:val="00097146"/>
    <w:pPr>
      <w:tabs>
        <w:tab w:val="left" w:pos="1440"/>
      </w:tabs>
      <w:overflowPunct w:val="0"/>
      <w:autoSpaceDE w:val="0"/>
      <w:autoSpaceDN w:val="0"/>
      <w:adjustRightInd w:val="0"/>
      <w:ind w:left="1440" w:hanging="1440"/>
      <w:textAlignment w:val="baseline"/>
    </w:pPr>
    <w:rPr>
      <w:rFonts w:ascii="Arial" w:hAnsi="Arial"/>
      <w:b/>
      <w:noProof/>
      <w:szCs w:val="20"/>
    </w:rPr>
  </w:style>
  <w:style w:type="character" w:customStyle="1" w:styleId="BodyTextIndentChar">
    <w:name w:val="Body Text Indent Char"/>
    <w:basedOn w:val="DefaultParagraphFont"/>
    <w:link w:val="BodyTextIndent"/>
    <w:uiPriority w:val="99"/>
    <w:locked/>
    <w:rsid w:val="00097146"/>
    <w:rPr>
      <w:rFonts w:ascii="Arial" w:hAnsi="Arial" w:cs="Times New Roman"/>
      <w:b/>
      <w:noProof/>
      <w:sz w:val="24"/>
    </w:rPr>
  </w:style>
  <w:style w:type="paragraph" w:styleId="NormalWeb">
    <w:name w:val="Normal (Web)"/>
    <w:basedOn w:val="Normal"/>
    <w:uiPriority w:val="99"/>
    <w:rsid w:val="00097146"/>
    <w:pPr>
      <w:spacing w:before="100" w:beforeAutospacing="1" w:after="100" w:afterAutospacing="1"/>
    </w:pPr>
  </w:style>
  <w:style w:type="paragraph" w:styleId="BalloonText">
    <w:name w:val="Balloon Text"/>
    <w:basedOn w:val="Normal"/>
    <w:link w:val="BalloonTextChar"/>
    <w:uiPriority w:val="99"/>
    <w:rsid w:val="008E0E4C"/>
    <w:rPr>
      <w:rFonts w:ascii="Tahoma" w:hAnsi="Tahoma" w:cs="Tahoma"/>
      <w:sz w:val="16"/>
      <w:szCs w:val="16"/>
    </w:rPr>
  </w:style>
  <w:style w:type="character" w:customStyle="1" w:styleId="BalloonTextChar">
    <w:name w:val="Balloon Text Char"/>
    <w:basedOn w:val="DefaultParagraphFont"/>
    <w:link w:val="BalloonText"/>
    <w:uiPriority w:val="99"/>
    <w:locked/>
    <w:rsid w:val="008E0E4C"/>
    <w:rPr>
      <w:rFonts w:ascii="Tahoma" w:hAnsi="Tahoma" w:cs="Tahoma"/>
      <w:sz w:val="16"/>
      <w:szCs w:val="16"/>
    </w:rPr>
  </w:style>
  <w:style w:type="paragraph" w:styleId="ListParagraph">
    <w:name w:val="List Paragraph"/>
    <w:basedOn w:val="Normal"/>
    <w:uiPriority w:val="99"/>
    <w:qFormat/>
    <w:rsid w:val="00CC0415"/>
    <w:pPr>
      <w:ind w:left="720"/>
      <w:contextualSpacing/>
    </w:pPr>
  </w:style>
  <w:style w:type="paragraph" w:styleId="BodyText2">
    <w:name w:val="Body Text 2"/>
    <w:basedOn w:val="Normal"/>
    <w:link w:val="BodyText2Char"/>
    <w:uiPriority w:val="99"/>
    <w:rsid w:val="001E5CEC"/>
    <w:pPr>
      <w:spacing w:after="120" w:line="480" w:lineRule="auto"/>
    </w:pPr>
  </w:style>
  <w:style w:type="character" w:customStyle="1" w:styleId="BodyText2Char">
    <w:name w:val="Body Text 2 Char"/>
    <w:basedOn w:val="DefaultParagraphFont"/>
    <w:link w:val="BodyText2"/>
    <w:uiPriority w:val="99"/>
    <w:semiHidden/>
    <w:locked/>
    <w:rsid w:val="00E6110F"/>
    <w:rPr>
      <w:rFonts w:cs="Times New Roman"/>
      <w:sz w:val="24"/>
      <w:szCs w:val="24"/>
    </w:rPr>
  </w:style>
  <w:style w:type="paragraph" w:styleId="Header">
    <w:name w:val="header"/>
    <w:basedOn w:val="Normal"/>
    <w:link w:val="HeaderChar"/>
    <w:uiPriority w:val="99"/>
    <w:rsid w:val="00B537C6"/>
    <w:pPr>
      <w:tabs>
        <w:tab w:val="center" w:pos="4320"/>
        <w:tab w:val="right" w:pos="8640"/>
      </w:tabs>
    </w:pPr>
  </w:style>
  <w:style w:type="character" w:customStyle="1" w:styleId="HeaderChar">
    <w:name w:val="Header Char"/>
    <w:basedOn w:val="DefaultParagraphFont"/>
    <w:link w:val="Header"/>
    <w:uiPriority w:val="99"/>
    <w:semiHidden/>
    <w:locked/>
    <w:rsid w:val="00B537C6"/>
    <w:rPr>
      <w:rFonts w:cs="Times New Roman"/>
      <w:sz w:val="24"/>
      <w:szCs w:val="24"/>
      <w:lang w:val="en-US" w:eastAsia="en-US" w:bidi="ar-SA"/>
    </w:rPr>
  </w:style>
  <w:style w:type="paragraph" w:styleId="Footer">
    <w:name w:val="footer"/>
    <w:basedOn w:val="Normal"/>
    <w:link w:val="FooterChar"/>
    <w:uiPriority w:val="99"/>
    <w:rsid w:val="00B537C6"/>
    <w:pPr>
      <w:tabs>
        <w:tab w:val="center" w:pos="4320"/>
        <w:tab w:val="right" w:pos="8640"/>
      </w:tabs>
    </w:pPr>
  </w:style>
  <w:style w:type="character" w:customStyle="1" w:styleId="FooterChar">
    <w:name w:val="Footer Char"/>
    <w:basedOn w:val="DefaultParagraphFont"/>
    <w:link w:val="Footer"/>
    <w:uiPriority w:val="99"/>
    <w:semiHidden/>
    <w:locked/>
    <w:rsid w:val="009E57B9"/>
    <w:rPr>
      <w:rFonts w:cs="Times New Roman"/>
      <w:sz w:val="24"/>
      <w:szCs w:val="24"/>
    </w:rPr>
  </w:style>
  <w:style w:type="character" w:styleId="PageNumber">
    <w:name w:val="page number"/>
    <w:basedOn w:val="DefaultParagraphFont"/>
    <w:uiPriority w:val="99"/>
    <w:rsid w:val="00B537C6"/>
    <w:rPr>
      <w:rFonts w:cs="Times New Roman"/>
    </w:rPr>
  </w:style>
</w:styles>
</file>

<file path=word/webSettings.xml><?xml version="1.0" encoding="utf-8"?>
<w:webSettings xmlns:r="http://schemas.openxmlformats.org/officeDocument/2006/relationships" xmlns:w="http://schemas.openxmlformats.org/wordprocessingml/2006/main">
  <w:divs>
    <w:div w:id="366948667">
      <w:marLeft w:val="0"/>
      <w:marRight w:val="0"/>
      <w:marTop w:val="0"/>
      <w:marBottom w:val="0"/>
      <w:divBdr>
        <w:top w:val="none" w:sz="0" w:space="0" w:color="auto"/>
        <w:left w:val="none" w:sz="0" w:space="0" w:color="auto"/>
        <w:bottom w:val="none" w:sz="0" w:space="0" w:color="auto"/>
        <w:right w:val="none" w:sz="0" w:space="0" w:color="auto"/>
      </w:divBdr>
    </w:div>
    <w:div w:id="366948668">
      <w:marLeft w:val="0"/>
      <w:marRight w:val="0"/>
      <w:marTop w:val="0"/>
      <w:marBottom w:val="0"/>
      <w:divBdr>
        <w:top w:val="none" w:sz="0" w:space="0" w:color="auto"/>
        <w:left w:val="none" w:sz="0" w:space="0" w:color="auto"/>
        <w:bottom w:val="none" w:sz="0" w:space="0" w:color="auto"/>
        <w:right w:val="none" w:sz="0" w:space="0" w:color="auto"/>
      </w:divBdr>
    </w:div>
    <w:div w:id="366948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3923</Words>
  <Characters>22364</Characters>
  <Application>Microsoft Office Outlook</Application>
  <DocSecurity>0</DocSecurity>
  <Lines>0</Lines>
  <Paragraphs>0</Paragraphs>
  <ScaleCrop>false</ScaleCrop>
  <Company>State of Maine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 </dc:title>
  <dc:subject/>
  <dc:creator>Raber, Leslie</dc:creator>
  <cp:keywords/>
  <dc:description/>
  <cp:lastModifiedBy>Jamie.A.Waterbury</cp:lastModifiedBy>
  <cp:revision>2</cp:revision>
  <cp:lastPrinted>2012-09-20T16:14:00Z</cp:lastPrinted>
  <dcterms:created xsi:type="dcterms:W3CDTF">2012-10-11T14:03:00Z</dcterms:created>
  <dcterms:modified xsi:type="dcterms:W3CDTF">2012-10-11T14:03:00Z</dcterms:modified>
</cp:coreProperties>
</file>