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38FB" w14:textId="77777777" w:rsidR="006768BF" w:rsidRDefault="006768BF">
      <w:pPr>
        <w:pStyle w:val="BodyText"/>
        <w:spacing w:before="6"/>
        <w:rPr>
          <w:rFonts w:ascii="Times New Roman"/>
          <w:sz w:val="23"/>
        </w:rPr>
      </w:pPr>
    </w:p>
    <w:p w14:paraId="1A75E102" w14:textId="77777777" w:rsidR="006768BF" w:rsidRDefault="0007235F">
      <w:pPr>
        <w:spacing w:before="93"/>
        <w:ind w:left="4198" w:right="3872"/>
        <w:jc w:val="center"/>
        <w:rPr>
          <w:b/>
        </w:rPr>
      </w:pPr>
      <w:r>
        <w:rPr>
          <w:b/>
          <w:u w:val="thick"/>
        </w:rPr>
        <w:t>APPENDIX 1</w:t>
      </w:r>
    </w:p>
    <w:p w14:paraId="3745CBD0" w14:textId="77777777" w:rsidR="006768BF" w:rsidRDefault="006768BF">
      <w:pPr>
        <w:pStyle w:val="BodyText"/>
        <w:spacing w:before="6"/>
        <w:rPr>
          <w:b/>
          <w:sz w:val="25"/>
        </w:rPr>
      </w:pPr>
    </w:p>
    <w:p w14:paraId="0BA8CC59" w14:textId="77777777" w:rsidR="006768BF" w:rsidRDefault="0007235F">
      <w:pPr>
        <w:ind w:left="1831"/>
        <w:rPr>
          <w:b/>
          <w:sz w:val="26"/>
        </w:rPr>
      </w:pPr>
      <w:r>
        <w:rPr>
          <w:b/>
          <w:sz w:val="26"/>
        </w:rPr>
        <w:t>Calculation of Excess Market Exposure Security</w:t>
      </w:r>
    </w:p>
    <w:p w14:paraId="65B42761" w14:textId="77777777" w:rsidR="006768BF" w:rsidRDefault="006768BF">
      <w:pPr>
        <w:pStyle w:val="BodyText"/>
        <w:spacing w:before="4"/>
        <w:rPr>
          <w:b/>
          <w:sz w:val="29"/>
        </w:rPr>
      </w:pPr>
    </w:p>
    <w:p w14:paraId="4B57A528" w14:textId="77777777" w:rsidR="006768BF" w:rsidRDefault="0007235F">
      <w:pPr>
        <w:pStyle w:val="BodyText"/>
        <w:ind w:left="386"/>
      </w:pPr>
      <w:r>
        <w:rPr>
          <w:w w:val="105"/>
        </w:rPr>
        <w:t>In accordance with the terms of the MPUC's RFP and the provisions of this Agreement,</w:t>
      </w:r>
    </w:p>
    <w:p w14:paraId="7C67BF1A" w14:textId="66251012" w:rsidR="006768BF" w:rsidRDefault="00C33F95">
      <w:pPr>
        <w:pStyle w:val="BodyText"/>
        <w:spacing w:before="14" w:line="256" w:lineRule="auto"/>
        <w:ind w:left="385" w:right="253" w:hanging="272"/>
      </w:pPr>
      <w:r>
        <w:rPr>
          <w:w w:val="80"/>
        </w:rPr>
        <w:t xml:space="preserve"> </w:t>
      </w:r>
      <w:r>
        <w:rPr>
          <w:w w:val="80"/>
        </w:rPr>
        <w:tab/>
      </w:r>
      <w:r w:rsidR="0007235F">
        <w:rPr>
          <w:w w:val="105"/>
        </w:rPr>
        <w:t>Provider must provide Excess Market Exposure Security to T&amp;D if the positive difference between (i) the Replacement Cost of Standard Offer Service supply and (ii) the Provider</w:t>
      </w:r>
      <w:r>
        <w:rPr>
          <w:w w:val="105"/>
        </w:rPr>
        <w:t>’</w:t>
      </w:r>
      <w:r w:rsidR="0007235F">
        <w:rPr>
          <w:w w:val="105"/>
        </w:rPr>
        <w:t>s Committed Cost exceeds the amount of Current Security furnished by Provider.</w:t>
      </w:r>
      <w:r w:rsidR="0007235F">
        <w:rPr>
          <w:spacing w:val="5"/>
          <w:w w:val="105"/>
        </w:rPr>
        <w:t xml:space="preserve"> </w:t>
      </w:r>
      <w:r w:rsidR="0007235F">
        <w:rPr>
          <w:w w:val="105"/>
        </w:rPr>
        <w:t>The</w:t>
      </w:r>
      <w:r w:rsidR="0007235F">
        <w:rPr>
          <w:spacing w:val="-13"/>
          <w:w w:val="105"/>
        </w:rPr>
        <w:t xml:space="preserve"> </w:t>
      </w:r>
      <w:r w:rsidR="0007235F">
        <w:rPr>
          <w:w w:val="105"/>
        </w:rPr>
        <w:t>amount</w:t>
      </w:r>
      <w:r w:rsidR="0007235F">
        <w:rPr>
          <w:spacing w:val="-6"/>
          <w:w w:val="105"/>
        </w:rPr>
        <w:t xml:space="preserve"> </w:t>
      </w:r>
      <w:r w:rsidR="0007235F">
        <w:rPr>
          <w:w w:val="105"/>
        </w:rPr>
        <w:t>of</w:t>
      </w:r>
      <w:r w:rsidR="0007235F">
        <w:rPr>
          <w:spacing w:val="-15"/>
          <w:w w:val="105"/>
        </w:rPr>
        <w:t xml:space="preserve"> </w:t>
      </w:r>
      <w:r w:rsidR="0007235F">
        <w:rPr>
          <w:w w:val="105"/>
        </w:rPr>
        <w:t>Excess</w:t>
      </w:r>
      <w:r w:rsidR="0007235F">
        <w:rPr>
          <w:spacing w:val="-10"/>
          <w:w w:val="105"/>
        </w:rPr>
        <w:t xml:space="preserve"> </w:t>
      </w:r>
      <w:r w:rsidR="0007235F">
        <w:rPr>
          <w:w w:val="105"/>
        </w:rPr>
        <w:t>Market</w:t>
      </w:r>
      <w:r w:rsidR="0007235F">
        <w:rPr>
          <w:spacing w:val="-11"/>
          <w:w w:val="105"/>
        </w:rPr>
        <w:t xml:space="preserve"> </w:t>
      </w:r>
      <w:r w:rsidR="0007235F">
        <w:rPr>
          <w:w w:val="105"/>
        </w:rPr>
        <w:t>Exposure</w:t>
      </w:r>
      <w:r w:rsidR="0007235F">
        <w:rPr>
          <w:spacing w:val="-7"/>
          <w:w w:val="105"/>
        </w:rPr>
        <w:t xml:space="preserve"> </w:t>
      </w:r>
      <w:r w:rsidR="0007235F">
        <w:rPr>
          <w:w w:val="105"/>
        </w:rPr>
        <w:t>Security</w:t>
      </w:r>
      <w:r w:rsidR="0007235F">
        <w:rPr>
          <w:spacing w:val="-5"/>
          <w:w w:val="105"/>
        </w:rPr>
        <w:t xml:space="preserve"> </w:t>
      </w:r>
      <w:r w:rsidR="0007235F">
        <w:rPr>
          <w:w w:val="105"/>
        </w:rPr>
        <w:t>required</w:t>
      </w:r>
      <w:r w:rsidR="0007235F">
        <w:rPr>
          <w:spacing w:val="-13"/>
          <w:w w:val="105"/>
        </w:rPr>
        <w:t xml:space="preserve"> </w:t>
      </w:r>
      <w:r w:rsidR="0007235F">
        <w:rPr>
          <w:w w:val="105"/>
        </w:rPr>
        <w:t>will</w:t>
      </w:r>
      <w:r w:rsidR="0007235F">
        <w:rPr>
          <w:spacing w:val="-20"/>
          <w:w w:val="105"/>
        </w:rPr>
        <w:t xml:space="preserve"> </w:t>
      </w:r>
      <w:r w:rsidR="0007235F">
        <w:rPr>
          <w:w w:val="105"/>
        </w:rPr>
        <w:t>be</w:t>
      </w:r>
      <w:r w:rsidR="0007235F">
        <w:rPr>
          <w:spacing w:val="-16"/>
          <w:w w:val="105"/>
        </w:rPr>
        <w:t xml:space="preserve"> </w:t>
      </w:r>
      <w:r w:rsidR="0007235F">
        <w:rPr>
          <w:w w:val="105"/>
        </w:rPr>
        <w:t>determined on a periodic basis using the following</w:t>
      </w:r>
      <w:r w:rsidR="0007235F">
        <w:rPr>
          <w:spacing w:val="-5"/>
          <w:w w:val="105"/>
        </w:rPr>
        <w:t xml:space="preserve"> </w:t>
      </w:r>
      <w:r w:rsidR="0007235F">
        <w:rPr>
          <w:w w:val="105"/>
        </w:rPr>
        <w:t>formula:</w:t>
      </w:r>
    </w:p>
    <w:p w14:paraId="331B44E7" w14:textId="77777777" w:rsidR="006768BF" w:rsidRDefault="006768BF">
      <w:pPr>
        <w:pStyle w:val="BodyText"/>
        <w:spacing w:before="9"/>
      </w:pPr>
    </w:p>
    <w:p w14:paraId="382F2085" w14:textId="77777777" w:rsidR="006768BF" w:rsidRDefault="0007235F">
      <w:pPr>
        <w:pStyle w:val="BodyText"/>
        <w:ind w:left="396"/>
      </w:pPr>
      <w:r>
        <w:rPr>
          <w:w w:val="105"/>
        </w:rPr>
        <w:t>Excess Market Exposure Security = the greater of:</w:t>
      </w:r>
    </w:p>
    <w:p w14:paraId="02FF568D" w14:textId="77777777" w:rsidR="006768BF" w:rsidRDefault="006768BF">
      <w:pPr>
        <w:pStyle w:val="BodyText"/>
        <w:spacing w:before="5"/>
        <w:rPr>
          <w:sz w:val="24"/>
        </w:rPr>
      </w:pPr>
    </w:p>
    <w:p w14:paraId="18A81699" w14:textId="428ED794" w:rsidR="006768BF" w:rsidRDefault="0007235F">
      <w:pPr>
        <w:pStyle w:val="ListParagraph"/>
        <w:numPr>
          <w:ilvl w:val="0"/>
          <w:numId w:val="1"/>
        </w:numPr>
        <w:tabs>
          <w:tab w:val="left" w:pos="3156"/>
          <w:tab w:val="left" w:pos="3157"/>
        </w:tabs>
        <w:spacing w:line="259" w:lineRule="auto"/>
        <w:ind w:right="224" w:hanging="691"/>
      </w:pPr>
      <w:r>
        <w:rPr>
          <w:w w:val="105"/>
        </w:rPr>
        <w:t xml:space="preserve">[(Replacement Cost </w:t>
      </w:r>
      <w:r w:rsidR="00C33F95">
        <w:rPr>
          <w:w w:val="105"/>
        </w:rPr>
        <w:t>–</w:t>
      </w:r>
      <w:r>
        <w:rPr>
          <w:w w:val="105"/>
        </w:rPr>
        <w:t xml:space="preserve"> Committed Cost) </w:t>
      </w:r>
      <w:r w:rsidR="00C33F95">
        <w:rPr>
          <w:w w:val="105"/>
        </w:rPr>
        <w:t>–</w:t>
      </w:r>
      <w:r>
        <w:rPr>
          <w:w w:val="105"/>
        </w:rPr>
        <w:t xml:space="preserve"> Current Security]; or</w:t>
      </w:r>
    </w:p>
    <w:p w14:paraId="0377A7FB" w14:textId="77777777" w:rsidR="006768BF" w:rsidRDefault="0007235F">
      <w:pPr>
        <w:pStyle w:val="ListParagraph"/>
        <w:numPr>
          <w:ilvl w:val="0"/>
          <w:numId w:val="1"/>
        </w:numPr>
        <w:tabs>
          <w:tab w:val="left" w:pos="3159"/>
          <w:tab w:val="left" w:pos="3160"/>
        </w:tabs>
        <w:spacing w:line="248" w:lineRule="exact"/>
        <w:ind w:left="3159" w:hanging="687"/>
      </w:pPr>
      <w:r>
        <w:rPr>
          <w:w w:val="105"/>
        </w:rPr>
        <w:t>Zero.</w:t>
      </w:r>
    </w:p>
    <w:p w14:paraId="2073FBBD" w14:textId="77777777" w:rsidR="006768BF" w:rsidRDefault="006768BF">
      <w:pPr>
        <w:pStyle w:val="BodyText"/>
        <w:spacing w:before="5"/>
        <w:rPr>
          <w:sz w:val="24"/>
        </w:rPr>
      </w:pPr>
    </w:p>
    <w:p w14:paraId="1C8D33F1" w14:textId="77777777" w:rsidR="006768BF" w:rsidRDefault="0007235F">
      <w:pPr>
        <w:pStyle w:val="BodyText"/>
        <w:ind w:left="397"/>
      </w:pPr>
      <w:r>
        <w:rPr>
          <w:w w:val="110"/>
        </w:rPr>
        <w:t>Where:</w:t>
      </w:r>
    </w:p>
    <w:p w14:paraId="700E5374" w14:textId="77777777" w:rsidR="006768BF" w:rsidRDefault="006768BF">
      <w:pPr>
        <w:pStyle w:val="BodyText"/>
        <w:spacing w:before="3"/>
        <w:rPr>
          <w:sz w:val="16"/>
        </w:rPr>
      </w:pPr>
    </w:p>
    <w:p w14:paraId="70A47E1A" w14:textId="77777777" w:rsidR="006768BF" w:rsidRDefault="006768BF">
      <w:pPr>
        <w:rPr>
          <w:sz w:val="16"/>
        </w:rPr>
        <w:sectPr w:rsidR="006768BF">
          <w:type w:val="continuous"/>
          <w:pgSz w:w="12240" w:h="15840"/>
          <w:pgMar w:top="1500" w:right="1560" w:bottom="280" w:left="1260" w:header="720" w:footer="720" w:gutter="0"/>
          <w:cols w:space="720"/>
        </w:sectPr>
      </w:pPr>
    </w:p>
    <w:p w14:paraId="71869A1D" w14:textId="1D877894" w:rsidR="006768BF" w:rsidRDefault="00BD4B7A">
      <w:pPr>
        <w:pStyle w:val="BodyText"/>
        <w:spacing w:before="101"/>
        <w:ind w:left="396"/>
      </w:pPr>
      <w:r>
        <w:rPr>
          <w:noProof/>
        </w:rPr>
        <mc:AlternateContent>
          <mc:Choice Requires="wps">
            <w:drawing>
              <wp:anchor distT="0" distB="0" distL="114300" distR="114300" simplePos="0" relativeHeight="251657216" behindDoc="0" locked="0" layoutInCell="1" allowOverlap="1" wp14:anchorId="5F82053E" wp14:editId="709EF770">
                <wp:simplePos x="0" y="0"/>
                <wp:positionH relativeFrom="page">
                  <wp:posOffset>7745095</wp:posOffset>
                </wp:positionH>
                <wp:positionV relativeFrom="page">
                  <wp:posOffset>4909820</wp:posOffset>
                </wp:positionV>
                <wp:extent cx="0" cy="0"/>
                <wp:effectExtent l="10795" t="452120" r="8255" b="4445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40677"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85pt,386.6pt" to="609.85pt,3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" strokeweight=".1273mm">
                <w10:wrap anchorx="page" anchory="page"/>
              </v:line>
            </w:pict>
          </mc:Fallback>
        </mc:AlternateContent>
      </w:r>
      <w:r w:rsidR="0007235F">
        <w:rPr>
          <w:w w:val="105"/>
        </w:rPr>
        <w:t>Current Security =</w:t>
      </w:r>
    </w:p>
    <w:p w14:paraId="53D32F50" w14:textId="77777777" w:rsidR="006768BF" w:rsidRDefault="006768BF">
      <w:pPr>
        <w:pStyle w:val="BodyText"/>
        <w:rPr>
          <w:sz w:val="24"/>
        </w:rPr>
      </w:pPr>
    </w:p>
    <w:p w14:paraId="67CAF5BD" w14:textId="77777777" w:rsidR="006768BF" w:rsidRDefault="006768BF">
      <w:pPr>
        <w:pStyle w:val="BodyText"/>
        <w:rPr>
          <w:sz w:val="24"/>
        </w:rPr>
      </w:pPr>
    </w:p>
    <w:p w14:paraId="70424027" w14:textId="77777777" w:rsidR="006768BF" w:rsidRDefault="006768BF">
      <w:pPr>
        <w:pStyle w:val="BodyText"/>
        <w:rPr>
          <w:sz w:val="24"/>
        </w:rPr>
      </w:pPr>
    </w:p>
    <w:p w14:paraId="38A418F8" w14:textId="77777777" w:rsidR="006768BF" w:rsidRDefault="006768BF">
      <w:pPr>
        <w:pStyle w:val="BodyText"/>
      </w:pPr>
    </w:p>
    <w:p w14:paraId="0A5EC53A" w14:textId="77777777" w:rsidR="006768BF" w:rsidRDefault="0007235F">
      <w:pPr>
        <w:pStyle w:val="BodyText"/>
        <w:ind w:left="388"/>
      </w:pPr>
      <w:r>
        <w:rPr>
          <w:w w:val="110"/>
        </w:rPr>
        <w:t>Committed Cost=</w:t>
      </w:r>
    </w:p>
    <w:p w14:paraId="70C10175" w14:textId="77777777" w:rsidR="006768BF" w:rsidRDefault="006768BF">
      <w:pPr>
        <w:pStyle w:val="BodyText"/>
        <w:rPr>
          <w:sz w:val="24"/>
        </w:rPr>
      </w:pPr>
    </w:p>
    <w:p w14:paraId="3761D8F8" w14:textId="77777777" w:rsidR="006768BF" w:rsidRDefault="006768BF">
      <w:pPr>
        <w:pStyle w:val="BodyText"/>
        <w:rPr>
          <w:sz w:val="24"/>
        </w:rPr>
      </w:pPr>
    </w:p>
    <w:p w14:paraId="3FCD787D" w14:textId="77777777" w:rsidR="006768BF" w:rsidRDefault="006768BF">
      <w:pPr>
        <w:pStyle w:val="BodyText"/>
        <w:spacing w:before="1"/>
      </w:pPr>
    </w:p>
    <w:p w14:paraId="48941772" w14:textId="77777777" w:rsidR="006768BF" w:rsidRDefault="0007235F">
      <w:pPr>
        <w:pStyle w:val="BodyText"/>
        <w:ind w:left="389"/>
        <w:rPr>
          <w:sz w:val="23"/>
        </w:rPr>
      </w:pPr>
      <w:r>
        <w:rPr>
          <w:w w:val="105"/>
        </w:rPr>
        <w:t xml:space="preserve">Replacement Cost </w:t>
      </w:r>
      <w:r>
        <w:rPr>
          <w:w w:val="105"/>
          <w:sz w:val="23"/>
        </w:rPr>
        <w:t>=</w:t>
      </w:r>
    </w:p>
    <w:p w14:paraId="7454478E" w14:textId="77777777" w:rsidR="006768BF" w:rsidRDefault="006768BF">
      <w:pPr>
        <w:pStyle w:val="BodyText"/>
        <w:rPr>
          <w:sz w:val="26"/>
        </w:rPr>
      </w:pPr>
    </w:p>
    <w:p w14:paraId="6049F5F0" w14:textId="77777777" w:rsidR="006768BF" w:rsidRDefault="006768BF">
      <w:pPr>
        <w:pStyle w:val="BodyText"/>
        <w:spacing w:before="5"/>
        <w:rPr>
          <w:sz w:val="21"/>
        </w:rPr>
      </w:pPr>
    </w:p>
    <w:p w14:paraId="106CF300" w14:textId="77777777" w:rsidR="006768BF" w:rsidRDefault="0007235F">
      <w:pPr>
        <w:pStyle w:val="BodyText"/>
        <w:ind w:left="382"/>
        <w:rPr>
          <w:sz w:val="21"/>
        </w:rPr>
      </w:pPr>
      <w:r>
        <w:rPr>
          <w:w w:val="105"/>
        </w:rPr>
        <w:t xml:space="preserve">Remaining Load </w:t>
      </w:r>
      <w:r>
        <w:rPr>
          <w:w w:val="105"/>
          <w:sz w:val="21"/>
        </w:rPr>
        <w:t>=</w:t>
      </w:r>
    </w:p>
    <w:p w14:paraId="3EB2EF50" w14:textId="77777777" w:rsidR="006768BF" w:rsidRDefault="006768BF">
      <w:pPr>
        <w:pStyle w:val="BodyText"/>
        <w:rPr>
          <w:sz w:val="24"/>
        </w:rPr>
      </w:pPr>
    </w:p>
    <w:p w14:paraId="71939F42" w14:textId="77777777" w:rsidR="006768BF" w:rsidRDefault="006768BF">
      <w:pPr>
        <w:pStyle w:val="BodyText"/>
        <w:rPr>
          <w:sz w:val="24"/>
        </w:rPr>
      </w:pPr>
    </w:p>
    <w:p w14:paraId="4751A6F4" w14:textId="77777777" w:rsidR="006768BF" w:rsidRDefault="006768BF">
      <w:pPr>
        <w:pStyle w:val="BodyText"/>
        <w:rPr>
          <w:sz w:val="24"/>
        </w:rPr>
      </w:pPr>
    </w:p>
    <w:p w14:paraId="227EC1C6" w14:textId="77777777" w:rsidR="006768BF" w:rsidRDefault="006768BF">
      <w:pPr>
        <w:pStyle w:val="BodyText"/>
        <w:rPr>
          <w:sz w:val="24"/>
        </w:rPr>
      </w:pPr>
    </w:p>
    <w:p w14:paraId="73DC8851" w14:textId="77777777" w:rsidR="006768BF" w:rsidRDefault="006768BF">
      <w:pPr>
        <w:pStyle w:val="BodyText"/>
        <w:rPr>
          <w:sz w:val="24"/>
        </w:rPr>
      </w:pPr>
    </w:p>
    <w:p w14:paraId="6E667EE3" w14:textId="77777777" w:rsidR="006768BF" w:rsidRDefault="006768BF">
      <w:pPr>
        <w:pStyle w:val="BodyText"/>
        <w:rPr>
          <w:sz w:val="19"/>
        </w:rPr>
      </w:pPr>
    </w:p>
    <w:p w14:paraId="6D1EC738" w14:textId="77777777" w:rsidR="006768BF" w:rsidRDefault="0007235F">
      <w:pPr>
        <w:pStyle w:val="BodyText"/>
        <w:ind w:left="372"/>
        <w:rPr>
          <w:sz w:val="23"/>
        </w:rPr>
      </w:pPr>
      <w:r>
        <w:rPr>
          <w:w w:val="105"/>
        </w:rPr>
        <w:t xml:space="preserve">Initial Energy Price </w:t>
      </w:r>
      <w:r>
        <w:rPr>
          <w:w w:val="105"/>
          <w:sz w:val="23"/>
        </w:rPr>
        <w:t>=</w:t>
      </w:r>
    </w:p>
    <w:p w14:paraId="50CD99D1" w14:textId="1AE9189D" w:rsidR="006768BF" w:rsidRDefault="0007235F">
      <w:pPr>
        <w:pStyle w:val="BodyText"/>
        <w:spacing w:before="94" w:line="254" w:lineRule="auto"/>
        <w:ind w:left="392" w:firstLine="4"/>
      </w:pPr>
      <w:r>
        <w:br w:type="column"/>
      </w:r>
      <w:r>
        <w:rPr>
          <w:w w:val="105"/>
        </w:rPr>
        <w:t xml:space="preserve">the </w:t>
      </w:r>
      <w:r w:rsidR="00181F0C">
        <w:rPr>
          <w:w w:val="105"/>
        </w:rPr>
        <w:t>a</w:t>
      </w:r>
      <w:r>
        <w:rPr>
          <w:w w:val="105"/>
        </w:rPr>
        <w:t>mount (in $) currently furnished by Provider to T&amp;D in the form of cash, letter of credit or guarantee in accordance with the MPUC</w:t>
      </w:r>
      <w:r w:rsidR="00C33F95">
        <w:rPr>
          <w:w w:val="105"/>
        </w:rPr>
        <w:t>’</w:t>
      </w:r>
      <w:r>
        <w:rPr>
          <w:w w:val="105"/>
        </w:rPr>
        <w:t xml:space="preserve">s RFP; provided, that the initial Current Security amount shall equal the Base Security </w:t>
      </w:r>
      <w:r w:rsidR="00AE459D">
        <w:rPr>
          <w:w w:val="105"/>
        </w:rPr>
        <w:t>amount.</w:t>
      </w:r>
    </w:p>
    <w:p w14:paraId="7A92C51B" w14:textId="77777777" w:rsidR="006768BF" w:rsidRDefault="006768BF">
      <w:pPr>
        <w:pStyle w:val="BodyText"/>
        <w:spacing w:before="4"/>
        <w:rPr>
          <w:sz w:val="23"/>
        </w:rPr>
      </w:pPr>
    </w:p>
    <w:p w14:paraId="6BA0A95F" w14:textId="7024AA17" w:rsidR="006768BF" w:rsidRDefault="0007235F">
      <w:pPr>
        <w:pStyle w:val="BodyText"/>
        <w:spacing w:line="252" w:lineRule="auto"/>
        <w:ind w:left="390" w:firstLine="6"/>
        <w:rPr>
          <w:sz w:val="21"/>
        </w:rPr>
      </w:pPr>
      <w:r>
        <w:rPr>
          <w:w w:val="105"/>
        </w:rPr>
        <w:t>the product of the Provider</w:t>
      </w:r>
      <w:r w:rsidR="00C33F95">
        <w:rPr>
          <w:w w:val="105"/>
        </w:rPr>
        <w:t>’</w:t>
      </w:r>
      <w:r>
        <w:rPr>
          <w:w w:val="105"/>
        </w:rPr>
        <w:t>s Standard Offer Service rate(s) accepted by the Commission and the Remaining Load in the Provider</w:t>
      </w:r>
      <w:r w:rsidR="00C33F95">
        <w:rPr>
          <w:w w:val="105"/>
        </w:rPr>
        <w:t>’</w:t>
      </w:r>
      <w:r>
        <w:rPr>
          <w:w w:val="105"/>
        </w:rPr>
        <w:t xml:space="preserve">s supply obligation term (in </w:t>
      </w:r>
      <w:r>
        <w:rPr>
          <w:w w:val="105"/>
          <w:sz w:val="21"/>
        </w:rPr>
        <w:t>$)</w:t>
      </w:r>
    </w:p>
    <w:p w14:paraId="0D8E986D" w14:textId="77777777" w:rsidR="006768BF" w:rsidRDefault="006768BF">
      <w:pPr>
        <w:pStyle w:val="BodyText"/>
        <w:spacing w:before="2"/>
        <w:rPr>
          <w:sz w:val="24"/>
        </w:rPr>
      </w:pPr>
    </w:p>
    <w:p w14:paraId="327A4B44" w14:textId="499E1E4E" w:rsidR="006768BF" w:rsidRDefault="0007235F">
      <w:pPr>
        <w:pStyle w:val="BodyText"/>
        <w:spacing w:line="252" w:lineRule="auto"/>
        <w:ind w:left="391" w:hanging="2"/>
      </w:pPr>
      <w:r>
        <w:rPr>
          <w:w w:val="105"/>
        </w:rPr>
        <w:t>the product of the Replacement Price and the Remaining Load in the Provider</w:t>
      </w:r>
      <w:r w:rsidR="00C33F95">
        <w:rPr>
          <w:w w:val="105"/>
        </w:rPr>
        <w:t>’</w:t>
      </w:r>
      <w:r>
        <w:rPr>
          <w:w w:val="105"/>
        </w:rPr>
        <w:t>s supply obligation term (in $)</w:t>
      </w:r>
    </w:p>
    <w:p w14:paraId="18A635FD" w14:textId="77777777" w:rsidR="006768BF" w:rsidRDefault="006768BF">
      <w:pPr>
        <w:pStyle w:val="BodyText"/>
        <w:spacing w:before="9"/>
      </w:pPr>
    </w:p>
    <w:p w14:paraId="3B71ECEC" w14:textId="01DF4A5F" w:rsidR="006768BF" w:rsidRDefault="0007235F">
      <w:pPr>
        <w:pStyle w:val="BodyText"/>
        <w:spacing w:line="252" w:lineRule="auto"/>
        <w:ind w:left="378" w:right="135" w:firstLine="11"/>
      </w:pPr>
      <w:r>
        <w:rPr>
          <w:w w:val="105"/>
        </w:rPr>
        <w:t>the monthly reference quantities in kWh, of peak and off­ peak Standard Offer Service load provided in the MPUC</w:t>
      </w:r>
      <w:r w:rsidR="00C33F95">
        <w:rPr>
          <w:w w:val="105"/>
        </w:rPr>
        <w:t>’</w:t>
      </w:r>
      <w:r>
        <w:rPr>
          <w:w w:val="105"/>
        </w:rPr>
        <w:t>s RFP, prorated to reflect the Provider</w:t>
      </w:r>
      <w:r w:rsidR="00C33F95">
        <w:rPr>
          <w:w w:val="105"/>
        </w:rPr>
        <w:t>’</w:t>
      </w:r>
      <w:r>
        <w:rPr>
          <w:w w:val="105"/>
        </w:rPr>
        <w:t>s Share and the remaining Term of Service, and further adjusted to reflect the subsequent migration of customer loads to or from the applicable Standard Offer Service class.</w:t>
      </w:r>
    </w:p>
    <w:p w14:paraId="1C9AF48D" w14:textId="77777777" w:rsidR="006768BF" w:rsidRDefault="006768BF">
      <w:pPr>
        <w:pStyle w:val="BodyText"/>
        <w:spacing w:before="10"/>
        <w:rPr>
          <w:sz w:val="23"/>
        </w:rPr>
      </w:pPr>
    </w:p>
    <w:p w14:paraId="7FA47E64" w14:textId="132DE320" w:rsidR="006768BF" w:rsidRDefault="002F3CB9">
      <w:pPr>
        <w:pStyle w:val="BodyText"/>
        <w:spacing w:line="256" w:lineRule="auto"/>
        <w:ind w:left="372" w:right="135" w:firstLine="10"/>
      </w:pPr>
      <w:r>
        <w:rPr>
          <w:w w:val="105"/>
        </w:rPr>
        <w:t>the</w:t>
      </w:r>
      <w:r w:rsidR="0007235F">
        <w:rPr>
          <w:w w:val="105"/>
        </w:rPr>
        <w:t xml:space="preserve"> monthly </w:t>
      </w:r>
      <w:r w:rsidR="00C33F95">
        <w:rPr>
          <w:w w:val="105"/>
        </w:rPr>
        <w:t>I</w:t>
      </w:r>
      <w:r w:rsidR="0007235F">
        <w:rPr>
          <w:w w:val="105"/>
        </w:rPr>
        <w:t>ndex prices (in $/kWh) for future wholesale energy at the ISO-NE Mass Hub location as of the day the Standard Offer Provide</w:t>
      </w:r>
      <w:r>
        <w:rPr>
          <w:w w:val="105"/>
        </w:rPr>
        <w:t>r</w:t>
      </w:r>
      <w:r w:rsidR="0007235F">
        <w:rPr>
          <w:w w:val="105"/>
        </w:rPr>
        <w:t>'s prices were accepted, as published by NYMEX ClearPort for the following product listings:</w:t>
      </w:r>
    </w:p>
    <w:p w14:paraId="6491B2DE" w14:textId="77777777" w:rsidR="006768BF" w:rsidRDefault="006768BF">
      <w:pPr>
        <w:pStyle w:val="BodyText"/>
        <w:spacing w:before="5"/>
        <w:rPr>
          <w:sz w:val="23"/>
        </w:rPr>
      </w:pPr>
    </w:p>
    <w:p w14:paraId="4487E842" w14:textId="77777777" w:rsidR="006768BF" w:rsidRDefault="0007235F">
      <w:pPr>
        <w:pStyle w:val="BodyText"/>
        <w:spacing w:line="259" w:lineRule="auto"/>
        <w:ind w:left="372" w:right="1974"/>
      </w:pPr>
      <w:r>
        <w:rPr>
          <w:w w:val="105"/>
        </w:rPr>
        <w:t>ISO-NE Internal Hub Peak LMP Swap ISO-NE Internal Hub Off-Peak LMP Swap</w:t>
      </w:r>
    </w:p>
    <w:p w14:paraId="2CE5FE40" w14:textId="77777777" w:rsidR="006768BF" w:rsidRDefault="006768BF">
      <w:pPr>
        <w:spacing w:line="259" w:lineRule="auto"/>
        <w:sectPr w:rsidR="006768BF">
          <w:type w:val="continuous"/>
          <w:pgSz w:w="12240" w:h="15840"/>
          <w:pgMar w:top="1500" w:right="1560" w:bottom="280" w:left="1260" w:header="720" w:footer="720" w:gutter="0"/>
          <w:cols w:num="2" w:space="720" w:equalWidth="0">
            <w:col w:w="2555" w:space="208"/>
            <w:col w:w="6657"/>
          </w:cols>
        </w:sectPr>
      </w:pPr>
    </w:p>
    <w:p w14:paraId="0E57A1AA" w14:textId="77777777" w:rsidR="006768BF" w:rsidRDefault="006768BF">
      <w:pPr>
        <w:pStyle w:val="BodyText"/>
        <w:rPr>
          <w:sz w:val="20"/>
        </w:rPr>
      </w:pPr>
    </w:p>
    <w:p w14:paraId="52E1A404" w14:textId="77777777" w:rsidR="006768BF" w:rsidRDefault="006768BF">
      <w:pPr>
        <w:pStyle w:val="BodyText"/>
        <w:spacing w:before="5"/>
        <w:rPr>
          <w:sz w:val="25"/>
        </w:rPr>
      </w:pPr>
    </w:p>
    <w:p w14:paraId="355DFC34" w14:textId="77777777" w:rsidR="006768BF" w:rsidRDefault="0007235F">
      <w:pPr>
        <w:pStyle w:val="BodyText"/>
        <w:spacing w:before="94" w:line="256" w:lineRule="auto"/>
        <w:ind w:left="3142" w:right="117" w:firstLine="3"/>
      </w:pPr>
      <w:r>
        <w:rPr>
          <w:w w:val="105"/>
        </w:rPr>
        <w:t>Or, if such listings are not available, an equivalent published index price. The Peak and Off-Peak indices may be weighted by load quantities corresponding to the applicable Standard Offer class.</w:t>
      </w:r>
    </w:p>
    <w:p w14:paraId="71A12D0E" w14:textId="77777777" w:rsidR="006768BF" w:rsidRDefault="006768BF">
      <w:pPr>
        <w:pStyle w:val="BodyText"/>
        <w:spacing w:before="1"/>
        <w:rPr>
          <w:sz w:val="23"/>
        </w:rPr>
      </w:pPr>
    </w:p>
    <w:p w14:paraId="4F4A6DF1" w14:textId="036F13D9" w:rsidR="006768BF" w:rsidRDefault="00C33F95" w:rsidP="00C33F95">
      <w:pPr>
        <w:pStyle w:val="BodyText"/>
      </w:pPr>
      <w:r>
        <w:rPr>
          <w:w w:val="105"/>
        </w:rPr>
        <w:t xml:space="preserve">      </w:t>
      </w:r>
      <w:r w:rsidR="0007235F">
        <w:rPr>
          <w:w w:val="105"/>
        </w:rPr>
        <w:t>Replacement Energy</w:t>
      </w:r>
      <w:r w:rsidR="002F3CB9">
        <w:rPr>
          <w:w w:val="105"/>
        </w:rPr>
        <w:t xml:space="preserve"> </w:t>
      </w:r>
      <w:r w:rsidR="0007235F">
        <w:rPr>
          <w:w w:val="105"/>
        </w:rPr>
        <w:t xml:space="preserve">= </w:t>
      </w:r>
      <w:r w:rsidR="002F3CB9">
        <w:rPr>
          <w:w w:val="105"/>
        </w:rPr>
        <w:tab/>
        <w:t xml:space="preserve">    </w:t>
      </w:r>
      <w:r w:rsidR="0007235F">
        <w:rPr>
          <w:w w:val="105"/>
        </w:rPr>
        <w:t>the current monthly index prices (in $/kWh) for future</w:t>
      </w:r>
    </w:p>
    <w:p w14:paraId="75689A21" w14:textId="5EF459D4" w:rsidR="006768BF" w:rsidRDefault="00C33F95" w:rsidP="00C33F95">
      <w:pPr>
        <w:pStyle w:val="BodyText"/>
        <w:spacing w:before="14" w:line="252" w:lineRule="auto"/>
        <w:ind w:left="3150" w:right="511" w:hanging="2790"/>
      </w:pPr>
      <w:r>
        <w:rPr>
          <w:w w:val="105"/>
        </w:rPr>
        <w:t>Price</w:t>
      </w:r>
      <w:r>
        <w:rPr>
          <w:w w:val="105"/>
        </w:rPr>
        <w:tab/>
      </w:r>
      <w:r w:rsidR="0007235F">
        <w:rPr>
          <w:w w:val="105"/>
        </w:rPr>
        <w:t>wholesale energy at the ISO-NE Mass Hub location, as</w:t>
      </w:r>
      <w:r>
        <w:rPr>
          <w:w w:val="105"/>
        </w:rPr>
        <w:t xml:space="preserve"> </w:t>
      </w:r>
      <w:r w:rsidR="0007235F">
        <w:rPr>
          <w:w w:val="105"/>
        </w:rPr>
        <w:t xml:space="preserve">published by </w:t>
      </w:r>
      <w:r w:rsidR="0007235F">
        <w:rPr>
          <w:b/>
          <w:w w:val="105"/>
        </w:rPr>
        <w:t xml:space="preserve">NYMEX </w:t>
      </w:r>
      <w:r w:rsidR="0007235F">
        <w:rPr>
          <w:w w:val="105"/>
        </w:rPr>
        <w:t>ClearPort for the following product listings:</w:t>
      </w:r>
    </w:p>
    <w:p w14:paraId="48EDCD30" w14:textId="77777777" w:rsidR="006768BF" w:rsidRDefault="006768BF">
      <w:pPr>
        <w:pStyle w:val="BodyText"/>
        <w:spacing w:before="6"/>
        <w:rPr>
          <w:sz w:val="23"/>
        </w:rPr>
      </w:pPr>
    </w:p>
    <w:p w14:paraId="65E5852C" w14:textId="77777777" w:rsidR="006768BF" w:rsidRDefault="0007235F">
      <w:pPr>
        <w:pStyle w:val="BodyText"/>
        <w:spacing w:line="259" w:lineRule="auto"/>
        <w:ind w:left="3150" w:right="1965"/>
      </w:pPr>
      <w:r>
        <w:rPr>
          <w:w w:val="105"/>
        </w:rPr>
        <w:t>ISO-NE Internal Hub Peak LMP Swap ISO-NE Internal Hub Off-Peak LMP Swap</w:t>
      </w:r>
    </w:p>
    <w:p w14:paraId="3132E7EA" w14:textId="77777777" w:rsidR="006768BF" w:rsidRDefault="006768BF">
      <w:pPr>
        <w:pStyle w:val="BodyText"/>
        <w:spacing w:before="8"/>
      </w:pPr>
    </w:p>
    <w:p w14:paraId="08F7CA50" w14:textId="77777777" w:rsidR="006768BF" w:rsidRDefault="0007235F">
      <w:pPr>
        <w:pStyle w:val="BodyText"/>
        <w:spacing w:before="1" w:line="252" w:lineRule="auto"/>
        <w:ind w:left="3156" w:right="102" w:firstLine="4"/>
      </w:pPr>
      <w:r>
        <w:rPr>
          <w:w w:val="105"/>
        </w:rPr>
        <w:t>Or, if such listings are not available, an equivalent published index price. The Peak and Off-Peak indices may be weighted by load quantities corresponding to the applicable Standard Offer class.</w:t>
      </w:r>
    </w:p>
    <w:p w14:paraId="25190B6C" w14:textId="77777777" w:rsidR="006768BF" w:rsidRDefault="006768BF">
      <w:pPr>
        <w:pStyle w:val="BodyText"/>
        <w:spacing w:before="6"/>
        <w:rPr>
          <w:sz w:val="15"/>
        </w:rPr>
      </w:pPr>
    </w:p>
    <w:p w14:paraId="4CD7F617" w14:textId="77777777" w:rsidR="006768BF" w:rsidRDefault="006768BF">
      <w:pPr>
        <w:rPr>
          <w:sz w:val="15"/>
        </w:rPr>
        <w:sectPr w:rsidR="006768BF">
          <w:pgSz w:w="12240" w:h="15840"/>
          <w:pgMar w:top="1500" w:right="1560" w:bottom="280" w:left="1260" w:header="720" w:footer="720" w:gutter="0"/>
          <w:cols w:space="720"/>
        </w:sectPr>
      </w:pPr>
    </w:p>
    <w:p w14:paraId="1408B19E" w14:textId="3F63B54D" w:rsidR="006768BF" w:rsidRDefault="00BD4B7A">
      <w:pPr>
        <w:pStyle w:val="BodyText"/>
        <w:spacing w:before="100"/>
        <w:ind w:left="396"/>
      </w:pPr>
      <w:r>
        <w:rPr>
          <w:noProof/>
        </w:rPr>
        <mc:AlternateContent>
          <mc:Choice Requires="wps">
            <w:drawing>
              <wp:anchor distT="0" distB="0" distL="114300" distR="114300" simplePos="0" relativeHeight="251658240" behindDoc="0" locked="0" layoutInCell="1" allowOverlap="1" wp14:anchorId="1A100DDE" wp14:editId="7C896E91">
                <wp:simplePos x="0" y="0"/>
                <wp:positionH relativeFrom="page">
                  <wp:posOffset>7740015</wp:posOffset>
                </wp:positionH>
                <wp:positionV relativeFrom="page">
                  <wp:posOffset>4525645</wp:posOffset>
                </wp:positionV>
                <wp:extent cx="0" cy="0"/>
                <wp:effectExtent l="5715" t="506095" r="13335" b="5029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F8411"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45pt,356.35pt" to="609.45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" strokeweight=".1273mm">
                <w10:wrap anchorx="page" anchory="page"/>
              </v:line>
            </w:pict>
          </mc:Fallback>
        </mc:AlternateContent>
      </w:r>
      <w:r w:rsidR="0007235F">
        <w:rPr>
          <w:w w:val="105"/>
        </w:rPr>
        <w:t>Retail Adder =</w:t>
      </w:r>
    </w:p>
    <w:p w14:paraId="2C92A509" w14:textId="77777777" w:rsidR="006768BF" w:rsidRDefault="006768BF">
      <w:pPr>
        <w:pStyle w:val="BodyText"/>
        <w:rPr>
          <w:sz w:val="24"/>
        </w:rPr>
      </w:pPr>
    </w:p>
    <w:p w14:paraId="10D20B4F" w14:textId="77777777" w:rsidR="006768BF" w:rsidRDefault="006768BF">
      <w:pPr>
        <w:pStyle w:val="BodyText"/>
        <w:rPr>
          <w:sz w:val="24"/>
        </w:rPr>
      </w:pPr>
    </w:p>
    <w:p w14:paraId="6508A2A6" w14:textId="77777777" w:rsidR="006768BF" w:rsidRDefault="006768BF">
      <w:pPr>
        <w:pStyle w:val="BodyText"/>
        <w:rPr>
          <w:sz w:val="24"/>
        </w:rPr>
      </w:pPr>
    </w:p>
    <w:p w14:paraId="1754A90D" w14:textId="77777777" w:rsidR="006768BF" w:rsidRDefault="006768BF">
      <w:pPr>
        <w:pStyle w:val="BodyText"/>
        <w:rPr>
          <w:sz w:val="24"/>
        </w:rPr>
      </w:pPr>
    </w:p>
    <w:p w14:paraId="25E61D09" w14:textId="77777777" w:rsidR="006768BF" w:rsidRDefault="006768BF">
      <w:pPr>
        <w:pStyle w:val="BodyText"/>
        <w:rPr>
          <w:sz w:val="24"/>
        </w:rPr>
      </w:pPr>
    </w:p>
    <w:p w14:paraId="07F4966C" w14:textId="77777777" w:rsidR="006768BF" w:rsidRDefault="006768BF">
      <w:pPr>
        <w:pStyle w:val="BodyText"/>
        <w:rPr>
          <w:sz w:val="24"/>
        </w:rPr>
      </w:pPr>
    </w:p>
    <w:p w14:paraId="4D3B70E5" w14:textId="77777777" w:rsidR="006768BF" w:rsidRDefault="006768BF">
      <w:pPr>
        <w:pStyle w:val="BodyText"/>
        <w:rPr>
          <w:sz w:val="24"/>
        </w:rPr>
      </w:pPr>
    </w:p>
    <w:p w14:paraId="7C66DBDA" w14:textId="77777777" w:rsidR="006768BF" w:rsidRDefault="006768BF">
      <w:pPr>
        <w:pStyle w:val="BodyText"/>
        <w:rPr>
          <w:sz w:val="24"/>
        </w:rPr>
      </w:pPr>
    </w:p>
    <w:p w14:paraId="297D5C9B" w14:textId="77777777" w:rsidR="00AE459D" w:rsidRDefault="00AE459D">
      <w:pPr>
        <w:pStyle w:val="BodyText"/>
        <w:spacing w:before="216"/>
        <w:ind w:left="389"/>
        <w:rPr>
          <w:w w:val="105"/>
        </w:rPr>
      </w:pPr>
    </w:p>
    <w:p w14:paraId="174BFFCB" w14:textId="77777777" w:rsidR="00AE459D" w:rsidRDefault="00AE459D">
      <w:pPr>
        <w:pStyle w:val="BodyText"/>
        <w:spacing w:before="216"/>
        <w:ind w:left="389"/>
        <w:rPr>
          <w:w w:val="105"/>
        </w:rPr>
      </w:pPr>
    </w:p>
    <w:p w14:paraId="31627E80" w14:textId="77777777" w:rsidR="00AE459D" w:rsidRDefault="00AE459D">
      <w:pPr>
        <w:pStyle w:val="BodyText"/>
        <w:spacing w:before="216"/>
        <w:ind w:left="389"/>
        <w:rPr>
          <w:w w:val="105"/>
        </w:rPr>
      </w:pPr>
    </w:p>
    <w:p w14:paraId="6F107BA3" w14:textId="77777777" w:rsidR="00AE459D" w:rsidRDefault="00AE459D">
      <w:pPr>
        <w:pStyle w:val="BodyText"/>
        <w:spacing w:before="216"/>
        <w:ind w:left="389"/>
        <w:rPr>
          <w:w w:val="105"/>
        </w:rPr>
      </w:pPr>
    </w:p>
    <w:p w14:paraId="086FE103" w14:textId="77777777" w:rsidR="00AE459D" w:rsidRDefault="00AE459D">
      <w:pPr>
        <w:pStyle w:val="BodyText"/>
        <w:spacing w:before="216"/>
        <w:ind w:left="389"/>
        <w:rPr>
          <w:w w:val="105"/>
        </w:rPr>
      </w:pPr>
    </w:p>
    <w:p w14:paraId="110D3229" w14:textId="3821EC38" w:rsidR="006768BF" w:rsidRDefault="0007235F">
      <w:pPr>
        <w:pStyle w:val="BodyText"/>
        <w:spacing w:before="216"/>
        <w:ind w:left="389"/>
      </w:pPr>
      <w:r>
        <w:rPr>
          <w:w w:val="105"/>
        </w:rPr>
        <w:t>Replacement Price =</w:t>
      </w:r>
    </w:p>
    <w:p w14:paraId="6F89946C" w14:textId="2C97EDB8" w:rsidR="00136C17" w:rsidRDefault="0007235F" w:rsidP="00AE459D">
      <w:pPr>
        <w:pStyle w:val="BodyText"/>
        <w:spacing w:before="93" w:line="256" w:lineRule="auto"/>
        <w:ind w:left="401" w:hanging="7"/>
        <w:rPr>
          <w:w w:val="105"/>
        </w:rPr>
      </w:pPr>
      <w:r>
        <w:br w:type="column"/>
      </w:r>
      <w:r w:rsidR="00C33F95">
        <w:rPr>
          <w:w w:val="105"/>
        </w:rPr>
        <w:t xml:space="preserve">Small Class: the difference between (i)the Provider’s accepted Standard Offer Service </w:t>
      </w:r>
      <w:r w:rsidR="00136C17">
        <w:rPr>
          <w:w w:val="105"/>
        </w:rPr>
        <w:t>p</w:t>
      </w:r>
      <w:r w:rsidR="00C33F95">
        <w:rPr>
          <w:w w:val="105"/>
        </w:rPr>
        <w:t>rice, and (ii) the load-weighted-average Initial Energy Price over the Provider’s supply obligation</w:t>
      </w:r>
      <w:r w:rsidR="00136C17">
        <w:rPr>
          <w:w w:val="105"/>
        </w:rPr>
        <w:t xml:space="preserve"> term.</w:t>
      </w:r>
    </w:p>
    <w:p w14:paraId="31C556F5" w14:textId="77777777" w:rsidR="00AE459D" w:rsidRDefault="00AE459D" w:rsidP="00AE459D">
      <w:pPr>
        <w:pStyle w:val="BodyText"/>
        <w:spacing w:before="93" w:line="256" w:lineRule="auto"/>
        <w:ind w:left="401" w:hanging="7"/>
        <w:rPr>
          <w:w w:val="105"/>
        </w:rPr>
      </w:pPr>
    </w:p>
    <w:p w14:paraId="1DEE059A" w14:textId="76A73EC4" w:rsidR="00136C17" w:rsidRDefault="00136C17" w:rsidP="00AE459D">
      <w:pPr>
        <w:pStyle w:val="BodyText"/>
        <w:spacing w:before="93" w:line="256" w:lineRule="auto"/>
        <w:ind w:left="401" w:hanging="7"/>
      </w:pPr>
      <w:r>
        <w:rPr>
          <w:w w:val="105"/>
        </w:rPr>
        <w:t>Medium and Large Class: for each month of Provider’s Standard Offer Service supply obligation, the difference between the Provider’s accepted Standard Offer Service price and the Initial Energy Price.</w:t>
      </w:r>
    </w:p>
    <w:p w14:paraId="6E9D032D" w14:textId="11D2E758" w:rsidR="006768BF" w:rsidRDefault="006768BF">
      <w:pPr>
        <w:pStyle w:val="BodyText"/>
        <w:spacing w:before="9"/>
      </w:pPr>
    </w:p>
    <w:p w14:paraId="6301E4B2" w14:textId="5AEBA93B" w:rsidR="00AE459D" w:rsidRDefault="00AE459D" w:rsidP="00AE459D">
      <w:pPr>
        <w:pStyle w:val="BodyText"/>
        <w:spacing w:before="9"/>
        <w:ind w:left="360"/>
      </w:pPr>
      <w:r>
        <w:t>The Retail Adder may be adjusted, upon agreement by both Parties and approval by the Commission, to reflect any significant, unanticipated structural changes in the regional wholesale market that materially increase or decrease the incremental cost of retail Standard Offer Service supply relative to wholesale energy prices.</w:t>
      </w:r>
    </w:p>
    <w:p w14:paraId="33B40778" w14:textId="77777777" w:rsidR="00136C17" w:rsidRDefault="00136C17" w:rsidP="00136C17">
      <w:pPr>
        <w:pStyle w:val="BodyText"/>
        <w:spacing w:line="252" w:lineRule="auto"/>
        <w:ind w:left="393" w:firstLine="8"/>
        <w:rPr>
          <w:w w:val="105"/>
        </w:rPr>
      </w:pPr>
    </w:p>
    <w:p w14:paraId="73223C3A" w14:textId="77777777" w:rsidR="00136C17" w:rsidRDefault="00136C17" w:rsidP="00136C17">
      <w:pPr>
        <w:pStyle w:val="BodyText"/>
        <w:spacing w:line="252" w:lineRule="auto"/>
        <w:ind w:left="393" w:firstLine="8"/>
        <w:rPr>
          <w:w w:val="105"/>
        </w:rPr>
      </w:pPr>
    </w:p>
    <w:p w14:paraId="188FCB96" w14:textId="31DF73C0" w:rsidR="006768BF" w:rsidRDefault="0007235F" w:rsidP="00AE459D">
      <w:pPr>
        <w:pStyle w:val="BodyText"/>
        <w:spacing w:line="252" w:lineRule="auto"/>
        <w:ind w:left="393" w:firstLine="8"/>
      </w:pPr>
      <w:r>
        <w:rPr>
          <w:w w:val="105"/>
        </w:rPr>
        <w:t>for each month of the remaining term of Provider's Standard Offer Service supply obligation, the sum of (i) the Replacement Energy Price and (ii) the Retail Adder.</w:t>
      </w:r>
    </w:p>
    <w:sectPr w:rsidR="006768BF">
      <w:type w:val="continuous"/>
      <w:pgSz w:w="12240" w:h="15840"/>
      <w:pgMar w:top="1500" w:right="1560" w:bottom="280" w:left="1260" w:header="720" w:footer="720" w:gutter="0"/>
      <w:cols w:num="2" w:space="720" w:equalWidth="0">
        <w:col w:w="2572" w:space="188"/>
        <w:col w:w="6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F71BF"/>
    <w:multiLevelType w:val="hybridMultilevel"/>
    <w:tmpl w:val="E3F84A68"/>
    <w:lvl w:ilvl="0" w:tplc="02B43288">
      <w:start w:val="1"/>
      <w:numFmt w:val="lowerRoman"/>
      <w:lvlText w:val="(%1)"/>
      <w:lvlJc w:val="left"/>
      <w:pPr>
        <w:ind w:left="3163" w:hanging="685"/>
        <w:jc w:val="left"/>
      </w:pPr>
      <w:rPr>
        <w:rFonts w:ascii="Arial" w:eastAsia="Arial" w:hAnsi="Arial" w:cs="Arial" w:hint="default"/>
        <w:spacing w:val="-1"/>
        <w:w w:val="110"/>
        <w:sz w:val="22"/>
        <w:szCs w:val="22"/>
      </w:rPr>
    </w:lvl>
    <w:lvl w:ilvl="1" w:tplc="01D814E2">
      <w:numFmt w:val="bullet"/>
      <w:lvlText w:val="•"/>
      <w:lvlJc w:val="left"/>
      <w:pPr>
        <w:ind w:left="3786" w:hanging="685"/>
      </w:pPr>
      <w:rPr>
        <w:rFonts w:hint="default"/>
      </w:rPr>
    </w:lvl>
    <w:lvl w:ilvl="2" w:tplc="A822A36E">
      <w:numFmt w:val="bullet"/>
      <w:lvlText w:val="•"/>
      <w:lvlJc w:val="left"/>
      <w:pPr>
        <w:ind w:left="4412" w:hanging="685"/>
      </w:pPr>
      <w:rPr>
        <w:rFonts w:hint="default"/>
      </w:rPr>
    </w:lvl>
    <w:lvl w:ilvl="3" w:tplc="28C8C5EA">
      <w:numFmt w:val="bullet"/>
      <w:lvlText w:val="•"/>
      <w:lvlJc w:val="left"/>
      <w:pPr>
        <w:ind w:left="5038" w:hanging="685"/>
      </w:pPr>
      <w:rPr>
        <w:rFonts w:hint="default"/>
      </w:rPr>
    </w:lvl>
    <w:lvl w:ilvl="4" w:tplc="1F625516">
      <w:numFmt w:val="bullet"/>
      <w:lvlText w:val="•"/>
      <w:lvlJc w:val="left"/>
      <w:pPr>
        <w:ind w:left="5664" w:hanging="685"/>
      </w:pPr>
      <w:rPr>
        <w:rFonts w:hint="default"/>
      </w:rPr>
    </w:lvl>
    <w:lvl w:ilvl="5" w:tplc="AE964930">
      <w:numFmt w:val="bullet"/>
      <w:lvlText w:val="•"/>
      <w:lvlJc w:val="left"/>
      <w:pPr>
        <w:ind w:left="6290" w:hanging="685"/>
      </w:pPr>
      <w:rPr>
        <w:rFonts w:hint="default"/>
      </w:rPr>
    </w:lvl>
    <w:lvl w:ilvl="6" w:tplc="1126266E">
      <w:numFmt w:val="bullet"/>
      <w:lvlText w:val="•"/>
      <w:lvlJc w:val="left"/>
      <w:pPr>
        <w:ind w:left="6916" w:hanging="685"/>
      </w:pPr>
      <w:rPr>
        <w:rFonts w:hint="default"/>
      </w:rPr>
    </w:lvl>
    <w:lvl w:ilvl="7" w:tplc="99583F16">
      <w:numFmt w:val="bullet"/>
      <w:lvlText w:val="•"/>
      <w:lvlJc w:val="left"/>
      <w:pPr>
        <w:ind w:left="7542" w:hanging="685"/>
      </w:pPr>
      <w:rPr>
        <w:rFonts w:hint="default"/>
      </w:rPr>
    </w:lvl>
    <w:lvl w:ilvl="8" w:tplc="95F43456">
      <w:numFmt w:val="bullet"/>
      <w:lvlText w:val="•"/>
      <w:lvlJc w:val="left"/>
      <w:pPr>
        <w:ind w:left="8168" w:hanging="685"/>
      </w:pPr>
      <w:rPr>
        <w:rFonts w:hint="default"/>
      </w:rPr>
    </w:lvl>
  </w:abstractNum>
  <w:num w:numId="1" w16cid:durableId="24196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F"/>
    <w:rsid w:val="0007235F"/>
    <w:rsid w:val="00136C17"/>
    <w:rsid w:val="00181F0C"/>
    <w:rsid w:val="002F3CB9"/>
    <w:rsid w:val="006768BF"/>
    <w:rsid w:val="00AE459D"/>
    <w:rsid w:val="00BD4B7A"/>
    <w:rsid w:val="00BF3787"/>
    <w:rsid w:val="00C33F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1E24"/>
  <w15:docId w15:val="{2AEBAF87-5376-4C0C-BB9B-A1A62A5B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59" w:hanging="691"/>
    </w:pPr>
  </w:style>
  <w:style w:type="paragraph" w:customStyle="1" w:styleId="TableParagraph">
    <w:name w:val="Table Paragraph"/>
    <w:basedOn w:val="Normal"/>
    <w:uiPriority w:val="1"/>
    <w:qFormat/>
  </w:style>
  <w:style w:type="paragraph" w:styleId="Revision">
    <w:name w:val="Revision"/>
    <w:hidden/>
    <w:uiPriority w:val="99"/>
    <w:semiHidden/>
    <w:rsid w:val="00C33F9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Matt (HO)</dc:creator>
  <cp:lastModifiedBy>Cracolici, Benedict</cp:lastModifiedBy>
  <cp:revision>4</cp:revision>
  <cp:lastPrinted>2023-08-31T16:55:00Z</cp:lastPrinted>
  <dcterms:created xsi:type="dcterms:W3CDTF">2023-08-31T13:16:00Z</dcterms:created>
  <dcterms:modified xsi:type="dcterms:W3CDTF">2023-08-31T16:59:00Z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LastSaved">
    <vt:filetime>2016-10-27T00:00:00Z</vt:filetime>
  </property>
</Properties>
</file>