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3" w:rsidRDefault="00211903">
      <w:pPr>
        <w:pStyle w:val="DefaultText"/>
        <w:tabs>
          <w:tab w:val="left" w:pos="6480"/>
        </w:tabs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4"/>
            </w:rPr>
            <w:t>MAINE</w:t>
          </w:r>
        </w:smartTag>
      </w:smartTag>
      <w:r>
        <w:rPr>
          <w:rFonts w:ascii="Arial" w:hAnsi="Arial"/>
          <w:sz w:val="24"/>
        </w:rPr>
        <w:tab/>
        <w:t>Docket No. 2006-234</w:t>
      </w:r>
    </w:p>
    <w:p w:rsidR="00211903" w:rsidRDefault="00211903">
      <w:pPr>
        <w:pStyle w:val="DefaultText"/>
        <w:tabs>
          <w:tab w:val="left" w:pos="64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PUBLIC UTILITIES COMMISSION</w:t>
      </w:r>
      <w:r>
        <w:rPr>
          <w:rFonts w:ascii="Arial" w:hAnsi="Arial"/>
          <w:sz w:val="24"/>
        </w:rPr>
        <w:tab/>
      </w:r>
    </w:p>
    <w:p w:rsidR="00211903" w:rsidRDefault="00211903">
      <w:pPr>
        <w:pStyle w:val="DefaultText"/>
        <w:tabs>
          <w:tab w:val="left" w:pos="64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April 1</w:t>
      </w:r>
      <w:r w:rsidR="002E3014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, 2006</w:t>
      </w:r>
    </w:p>
    <w:p w:rsidR="00211903" w:rsidRDefault="00211903">
      <w:pPr>
        <w:pStyle w:val="DefaultText"/>
        <w:tabs>
          <w:tab w:val="left" w:pos="6480"/>
        </w:tabs>
        <w:rPr>
          <w:rFonts w:ascii="Arial" w:hAnsi="Arial"/>
          <w:sz w:val="24"/>
        </w:rPr>
      </w:pPr>
    </w:p>
    <w:p w:rsidR="00211903" w:rsidRDefault="00211903">
      <w:pPr>
        <w:pStyle w:val="DefaultText"/>
        <w:tabs>
          <w:tab w:val="left" w:pos="6480"/>
        </w:tabs>
        <w:rPr>
          <w:rFonts w:ascii="Arial" w:hAnsi="Arial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4"/>
            </w:rPr>
            <w:t>MAINE</w:t>
          </w:r>
        </w:smartTag>
      </w:smartTag>
      <w:r>
        <w:rPr>
          <w:rFonts w:ascii="Arial" w:hAnsi="Arial"/>
          <w:sz w:val="24"/>
        </w:rPr>
        <w:t xml:space="preserve"> PUBLIC UTILITIES COMMISSION</w:t>
      </w:r>
      <w:r>
        <w:rPr>
          <w:rFonts w:ascii="Arial" w:hAnsi="Arial"/>
          <w:sz w:val="24"/>
        </w:rPr>
        <w:tab/>
        <w:t>ORDER ON MARKET</w:t>
      </w:r>
    </w:p>
    <w:p w:rsidR="00211903" w:rsidRDefault="00822A03">
      <w:pPr>
        <w:pStyle w:val="DefaultText"/>
        <w:tabs>
          <w:tab w:val="left" w:pos="64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Market Risk Disclosure Language </w:t>
      </w:r>
      <w:r>
        <w:rPr>
          <w:rFonts w:ascii="Arial" w:hAnsi="Arial"/>
          <w:sz w:val="24"/>
        </w:rPr>
        <w:tab/>
      </w:r>
      <w:r w:rsidR="00211903">
        <w:rPr>
          <w:rFonts w:ascii="Arial" w:hAnsi="Arial"/>
          <w:sz w:val="24"/>
        </w:rPr>
        <w:t>RISK DISCLOSURE</w:t>
      </w:r>
    </w:p>
    <w:p w:rsidR="00211903" w:rsidRPr="00822A03" w:rsidRDefault="00822A03">
      <w:pPr>
        <w:pStyle w:val="DefaultText"/>
        <w:tabs>
          <w:tab w:val="left" w:pos="6480"/>
        </w:tabs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(Chapter 305)</w:t>
      </w:r>
    </w:p>
    <w:p w:rsidR="00211903" w:rsidRDefault="00211903">
      <w:pPr>
        <w:pStyle w:val="DefaultText"/>
        <w:jc w:val="both"/>
        <w:rPr>
          <w:rFonts w:ascii="Arial" w:hAnsi="Arial"/>
          <w:sz w:val="24"/>
        </w:rPr>
      </w:pPr>
    </w:p>
    <w:p w:rsidR="00211903" w:rsidRDefault="00211903">
      <w:pPr>
        <w:pStyle w:val="DefaultTex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ADAMS, Chairman; DIAMOND and REISHUS, Commissioners</w:t>
      </w:r>
    </w:p>
    <w:p w:rsidR="00211903" w:rsidRDefault="00211903">
      <w:pPr>
        <w:pStyle w:val="DefaultTex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:rsidR="00211903" w:rsidRDefault="00211903"/>
    <w:p w:rsidR="006F61FB" w:rsidRDefault="00963778" w:rsidP="006F61FB">
      <w:pPr>
        <w:rPr>
          <w:rFonts w:ascii="Arial" w:hAnsi="Arial" w:cs="Arial"/>
        </w:rPr>
      </w:pPr>
      <w:r>
        <w:rPr>
          <w:rFonts w:ascii="Arial" w:hAnsi="Arial" w:cs="Arial"/>
        </w:rPr>
        <w:tab/>
        <w:t>On March 9, 2006, the Commission adopted amendments to its licensing and consumer protection rules for the provision of competiti</w:t>
      </w:r>
      <w:r w:rsidR="00822A03">
        <w:rPr>
          <w:rFonts w:ascii="Arial" w:hAnsi="Arial" w:cs="Arial"/>
        </w:rPr>
        <w:t>ve electricity service (Chapter </w:t>
      </w:r>
      <w:r>
        <w:rPr>
          <w:rFonts w:ascii="Arial" w:hAnsi="Arial" w:cs="Arial"/>
        </w:rPr>
        <w:t xml:space="preserve">305).  </w:t>
      </w:r>
      <w:r>
        <w:rPr>
          <w:rFonts w:ascii="Arial" w:hAnsi="Arial" w:cs="Arial"/>
          <w:i/>
        </w:rPr>
        <w:t>Order Adopting Rule and Statement of Factual and Policy Basis, Docket</w:t>
      </w:r>
      <w:r>
        <w:rPr>
          <w:rFonts w:ascii="Arial" w:hAnsi="Arial" w:cs="Arial"/>
        </w:rPr>
        <w:t xml:space="preserve"> No. 2005-608 (Mar. 9, 2006)</w:t>
      </w:r>
      <w:r w:rsidR="00C45E6D">
        <w:rPr>
          <w:rFonts w:ascii="Arial" w:hAnsi="Arial" w:cs="Arial"/>
        </w:rPr>
        <w:t xml:space="preserve">.  </w:t>
      </w:r>
      <w:r w:rsidR="005768F5">
        <w:rPr>
          <w:rFonts w:ascii="Arial" w:hAnsi="Arial" w:cs="Arial"/>
        </w:rPr>
        <w:t xml:space="preserve">These amendments became effective on </w:t>
      </w:r>
      <w:r w:rsidR="00336A65">
        <w:rPr>
          <w:rFonts w:ascii="Arial" w:hAnsi="Arial" w:cs="Arial"/>
        </w:rPr>
        <w:t>March 19, 2006</w:t>
      </w:r>
      <w:r w:rsidR="005768F5">
        <w:rPr>
          <w:rFonts w:ascii="Arial" w:hAnsi="Arial" w:cs="Arial"/>
        </w:rPr>
        <w:t>.</w:t>
      </w:r>
      <w:r w:rsidR="006F61FB">
        <w:rPr>
          <w:rFonts w:ascii="Arial" w:hAnsi="Arial" w:cs="Arial"/>
        </w:rPr>
        <w:t xml:space="preserve">  </w:t>
      </w:r>
      <w:r w:rsidR="00C45E6D">
        <w:rPr>
          <w:rFonts w:ascii="Arial" w:hAnsi="Arial" w:cs="Arial"/>
        </w:rPr>
        <w:t xml:space="preserve">Among the </w:t>
      </w:r>
      <w:r w:rsidR="00DE6B8F">
        <w:rPr>
          <w:rFonts w:ascii="Arial" w:hAnsi="Arial" w:cs="Arial"/>
        </w:rPr>
        <w:t>a</w:t>
      </w:r>
      <w:r w:rsidR="00C45E6D">
        <w:rPr>
          <w:rFonts w:ascii="Arial" w:hAnsi="Arial" w:cs="Arial"/>
        </w:rPr>
        <w:t>mendments, the Commission adopted a market risk disclosure requirement applicable to Competitive Electricity Providers (CEP</w:t>
      </w:r>
      <w:r w:rsidR="005768F5">
        <w:rPr>
          <w:rFonts w:ascii="Arial" w:hAnsi="Arial" w:cs="Arial"/>
        </w:rPr>
        <w:t>s</w:t>
      </w:r>
      <w:r w:rsidR="00C45E6D">
        <w:rPr>
          <w:rFonts w:ascii="Arial" w:hAnsi="Arial" w:cs="Arial"/>
        </w:rPr>
        <w:t xml:space="preserve">) </w:t>
      </w:r>
      <w:r w:rsidR="002E3014">
        <w:rPr>
          <w:rFonts w:ascii="Arial" w:hAnsi="Arial" w:cs="Arial"/>
        </w:rPr>
        <w:t xml:space="preserve">(including electricity suppliers, brokers and aggregators) </w:t>
      </w:r>
      <w:r w:rsidR="00C45E6D">
        <w:rPr>
          <w:rFonts w:ascii="Arial" w:hAnsi="Arial" w:cs="Arial"/>
        </w:rPr>
        <w:t>who offer an electricity product in which the price varies with energy prices or an energy price index</w:t>
      </w:r>
      <w:r w:rsidR="0080678F">
        <w:rPr>
          <w:rFonts w:ascii="Arial" w:hAnsi="Arial" w:cs="Arial"/>
        </w:rPr>
        <w:t xml:space="preserve"> (often referred to as real-time electricity pr</w:t>
      </w:r>
      <w:r w:rsidR="00ED681C">
        <w:rPr>
          <w:rFonts w:ascii="Arial" w:hAnsi="Arial" w:cs="Arial"/>
        </w:rPr>
        <w:t>oducts</w:t>
      </w:r>
      <w:r w:rsidR="00EC7E76">
        <w:rPr>
          <w:rFonts w:ascii="Arial" w:hAnsi="Arial" w:cs="Arial"/>
        </w:rPr>
        <w:t>)</w:t>
      </w:r>
      <w:r w:rsidR="00ED681C">
        <w:rPr>
          <w:rFonts w:ascii="Arial" w:hAnsi="Arial" w:cs="Arial"/>
        </w:rPr>
        <w:t xml:space="preserve">.  </w:t>
      </w:r>
      <w:smartTag w:uri="urn:schemas-microsoft-com:office:smarttags" w:element="place">
        <w:smartTag w:uri="urn:schemas-microsoft-com:office:smarttags" w:element="country-region">
          <w:r w:rsidR="00ED681C">
            <w:rPr>
              <w:rFonts w:ascii="Arial" w:hAnsi="Arial" w:cs="Arial"/>
            </w:rPr>
            <w:t>Ch.</w:t>
          </w:r>
        </w:smartTag>
      </w:smartTag>
      <w:r w:rsidR="00ED681C">
        <w:rPr>
          <w:rFonts w:ascii="Arial" w:hAnsi="Arial" w:cs="Arial"/>
        </w:rPr>
        <w:t xml:space="preserve"> 305 § 4(D).</w:t>
      </w:r>
      <w:r>
        <w:rPr>
          <w:rFonts w:ascii="Arial" w:hAnsi="Arial" w:cs="Arial"/>
        </w:rPr>
        <w:t xml:space="preserve"> </w:t>
      </w:r>
      <w:r w:rsidR="00DE6B8F">
        <w:rPr>
          <w:rFonts w:ascii="Arial" w:hAnsi="Arial" w:cs="Arial"/>
        </w:rPr>
        <w:t xml:space="preserve">  </w:t>
      </w:r>
      <w:r w:rsidR="001E3904">
        <w:rPr>
          <w:rFonts w:ascii="Arial" w:hAnsi="Arial" w:cs="Arial"/>
        </w:rPr>
        <w:t>The disclosure must be included in the contract for service with the customer acknowledging the disclosure by signature or initials, or on a separate document provided to the customer before or at the time of contracting.</w:t>
      </w:r>
      <w:r w:rsidR="006F61FB">
        <w:rPr>
          <w:rFonts w:ascii="Arial" w:hAnsi="Arial" w:cs="Arial"/>
        </w:rPr>
        <w:t xml:space="preserve"> </w:t>
      </w:r>
    </w:p>
    <w:p w:rsidR="006F61FB" w:rsidRDefault="006F61FB" w:rsidP="006F61FB">
      <w:pPr>
        <w:rPr>
          <w:rFonts w:ascii="Arial" w:hAnsi="Arial" w:cs="Arial"/>
        </w:rPr>
      </w:pPr>
    </w:p>
    <w:p w:rsidR="006F61FB" w:rsidRDefault="00DE6B8F" w:rsidP="006F61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rule does not </w:t>
      </w:r>
      <w:r w:rsidR="00F01DD5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>the language to be included in the disclosure, but states that the Commission or its Director of Technical Analysis</w:t>
      </w:r>
      <w:r w:rsidR="00F01DD5">
        <w:rPr>
          <w:rFonts w:ascii="Arial" w:hAnsi="Arial" w:cs="Arial"/>
        </w:rPr>
        <w:t xml:space="preserve"> shall by order specify the market risk disclosure language</w:t>
      </w:r>
      <w:r w:rsidR="00E302E7">
        <w:rPr>
          <w:rFonts w:ascii="Arial" w:hAnsi="Arial" w:cs="Arial"/>
        </w:rPr>
        <w:t>.  Through this Order, the required market risk disclosure language</w:t>
      </w:r>
      <w:r w:rsidR="001E3904">
        <w:rPr>
          <w:rFonts w:ascii="Arial" w:hAnsi="Arial" w:cs="Arial"/>
        </w:rPr>
        <w:t xml:space="preserve"> is specified</w:t>
      </w:r>
      <w:r w:rsidR="00E302E7">
        <w:rPr>
          <w:rFonts w:ascii="Arial" w:hAnsi="Arial" w:cs="Arial"/>
        </w:rPr>
        <w:t xml:space="preserve">.  </w:t>
      </w:r>
      <w:r w:rsidR="001E3904">
        <w:rPr>
          <w:rFonts w:ascii="Arial" w:hAnsi="Arial" w:cs="Arial"/>
        </w:rPr>
        <w:t>P</w:t>
      </w:r>
      <w:r w:rsidR="00E302E7">
        <w:rPr>
          <w:rFonts w:ascii="Arial" w:hAnsi="Arial" w:cs="Arial"/>
        </w:rPr>
        <w:t>ursuant to the rule, CEPs</w:t>
      </w:r>
      <w:r w:rsidR="00F01DD5">
        <w:rPr>
          <w:rFonts w:ascii="Arial" w:hAnsi="Arial" w:cs="Arial"/>
        </w:rPr>
        <w:t xml:space="preserve"> </w:t>
      </w:r>
      <w:r w:rsidR="00E302E7">
        <w:rPr>
          <w:rFonts w:ascii="Arial" w:hAnsi="Arial" w:cs="Arial"/>
        </w:rPr>
        <w:t>may request approval to use alternative language</w:t>
      </w:r>
      <w:r w:rsidR="00D00052">
        <w:rPr>
          <w:rFonts w:ascii="Arial" w:hAnsi="Arial" w:cs="Arial"/>
        </w:rPr>
        <w:t>.  The required market risk disclosure</w:t>
      </w:r>
      <w:r w:rsidR="006F61FB">
        <w:rPr>
          <w:rFonts w:ascii="Arial" w:hAnsi="Arial" w:cs="Arial"/>
        </w:rPr>
        <w:t xml:space="preserve"> is attached to this Order.</w:t>
      </w: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822A03" w:rsidP="00822A03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BY ORDER OF THE DIRECTOR OF TECHNICAL ANALYSIS</w:t>
      </w:r>
    </w:p>
    <w:p w:rsidR="00822A03" w:rsidRDefault="00822A03" w:rsidP="00822A03">
      <w:pPr>
        <w:ind w:firstLine="720"/>
        <w:jc w:val="center"/>
        <w:rPr>
          <w:rFonts w:ascii="Arial" w:hAnsi="Arial" w:cs="Arial"/>
        </w:rPr>
      </w:pPr>
    </w:p>
    <w:p w:rsidR="00822A03" w:rsidRDefault="00822A03" w:rsidP="00822A03">
      <w:pPr>
        <w:ind w:firstLine="720"/>
        <w:jc w:val="center"/>
        <w:rPr>
          <w:rFonts w:ascii="Arial" w:hAnsi="Arial" w:cs="Arial"/>
        </w:rPr>
      </w:pPr>
    </w:p>
    <w:p w:rsidR="00822A03" w:rsidRDefault="00822A03" w:rsidP="00822A03">
      <w:pPr>
        <w:ind w:firstLine="720"/>
        <w:jc w:val="center"/>
        <w:rPr>
          <w:rFonts w:ascii="Arial" w:hAnsi="Arial" w:cs="Arial"/>
        </w:rPr>
      </w:pPr>
    </w:p>
    <w:p w:rsidR="00822A03" w:rsidRDefault="00822A03" w:rsidP="00822A03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822A03" w:rsidRDefault="00822A03" w:rsidP="00822A03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Faith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Huntington</w:t>
          </w:r>
        </w:smartTag>
      </w:smartTag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6F61FB">
      <w:pPr>
        <w:ind w:firstLine="720"/>
        <w:rPr>
          <w:rFonts w:ascii="Arial" w:hAnsi="Arial" w:cs="Arial"/>
        </w:rPr>
      </w:pPr>
    </w:p>
    <w:p w:rsidR="006F61FB" w:rsidRDefault="006F61FB" w:rsidP="00BC6DFE">
      <w:pPr>
        <w:ind w:firstLine="72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Attachment</w:t>
      </w:r>
    </w:p>
    <w:p w:rsidR="006F61FB" w:rsidRDefault="006F61FB" w:rsidP="006F61FB">
      <w:pPr>
        <w:ind w:firstLine="720"/>
        <w:rPr>
          <w:rFonts w:ascii="Arial" w:hAnsi="Arial" w:cs="Arial"/>
          <w:u w:val="single"/>
        </w:rPr>
      </w:pPr>
    </w:p>
    <w:p w:rsidR="006F61FB" w:rsidRDefault="006F61FB" w:rsidP="006F61FB">
      <w:pPr>
        <w:ind w:firstLine="720"/>
        <w:rPr>
          <w:rFonts w:ascii="Arial" w:hAnsi="Arial" w:cs="Arial"/>
          <w:u w:val="single"/>
        </w:rPr>
      </w:pPr>
    </w:p>
    <w:p w:rsidR="00963778" w:rsidRDefault="005768F5" w:rsidP="006F61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61FB">
        <w:rPr>
          <w:rFonts w:ascii="Arial" w:hAnsi="Arial" w:cs="Arial"/>
        </w:rPr>
        <w:t xml:space="preserve"> </w:t>
      </w:r>
    </w:p>
    <w:p w:rsidR="00D00052" w:rsidRDefault="00D00052">
      <w:pPr>
        <w:rPr>
          <w:rFonts w:ascii="Arial" w:hAnsi="Arial" w:cs="Arial"/>
        </w:rPr>
      </w:pPr>
    </w:p>
    <w:p w:rsidR="00D00052" w:rsidRDefault="00D000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Disclosure</w:t>
      </w:r>
      <w:r w:rsidR="00B036F2">
        <w:rPr>
          <w:rFonts w:ascii="Arial" w:hAnsi="Arial" w:cs="Arial"/>
          <w:b/>
        </w:rPr>
        <w:t xml:space="preserve"> of Risks and Costs Associated With Real-Time or Indexed Electricity Products </w:t>
      </w:r>
    </w:p>
    <w:p w:rsidR="00B036F2" w:rsidRDefault="00B036F2">
      <w:pPr>
        <w:rPr>
          <w:rFonts w:ascii="Arial" w:hAnsi="Arial" w:cs="Arial"/>
          <w:b/>
        </w:rPr>
      </w:pPr>
    </w:p>
    <w:p w:rsidR="00B036F2" w:rsidRDefault="00B036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Maine</w:t>
          </w:r>
        </w:smartTag>
      </w:smartTag>
      <w:r>
        <w:rPr>
          <w:rFonts w:ascii="Arial" w:hAnsi="Arial" w:cs="Arial"/>
        </w:rPr>
        <w:t xml:space="preserve"> regulations require that electricity suppliers</w:t>
      </w:r>
      <w:r w:rsidR="002855CC">
        <w:rPr>
          <w:rFonts w:ascii="Arial" w:hAnsi="Arial" w:cs="Arial"/>
        </w:rPr>
        <w:t xml:space="preserve">, brokers and aggregators provide the following disclosure to customers regarding electricity products in which </w:t>
      </w:r>
      <w:r w:rsidR="003A217B">
        <w:rPr>
          <w:rFonts w:ascii="Arial" w:hAnsi="Arial" w:cs="Arial"/>
        </w:rPr>
        <w:t xml:space="preserve">the </w:t>
      </w:r>
      <w:r w:rsidR="002855CC">
        <w:rPr>
          <w:rFonts w:ascii="Arial" w:hAnsi="Arial" w:cs="Arial"/>
        </w:rPr>
        <w:t xml:space="preserve">prices </w:t>
      </w:r>
      <w:r w:rsidR="003A217B">
        <w:rPr>
          <w:rFonts w:ascii="Arial" w:hAnsi="Arial" w:cs="Arial"/>
        </w:rPr>
        <w:t xml:space="preserve">paid by consumers </w:t>
      </w:r>
      <w:r w:rsidR="002855CC">
        <w:rPr>
          <w:rFonts w:ascii="Arial" w:hAnsi="Arial" w:cs="Arial"/>
        </w:rPr>
        <w:t xml:space="preserve">vary with changes in wholesale </w:t>
      </w:r>
      <w:r w:rsidR="00FD67FD">
        <w:rPr>
          <w:rFonts w:ascii="Arial" w:hAnsi="Arial" w:cs="Arial"/>
        </w:rPr>
        <w:t xml:space="preserve">electricity </w:t>
      </w:r>
      <w:r w:rsidR="003A217B">
        <w:rPr>
          <w:rFonts w:ascii="Arial" w:hAnsi="Arial" w:cs="Arial"/>
        </w:rPr>
        <w:t xml:space="preserve">prices, </w:t>
      </w:r>
      <w:r w:rsidR="00FD67FD">
        <w:rPr>
          <w:rFonts w:ascii="Arial" w:hAnsi="Arial" w:cs="Arial"/>
        </w:rPr>
        <w:t xml:space="preserve">other energy </w:t>
      </w:r>
      <w:r w:rsidR="002855CC">
        <w:rPr>
          <w:rFonts w:ascii="Arial" w:hAnsi="Arial" w:cs="Arial"/>
        </w:rPr>
        <w:t xml:space="preserve">prices, </w:t>
      </w:r>
      <w:r w:rsidR="003A217B">
        <w:rPr>
          <w:rFonts w:ascii="Arial" w:hAnsi="Arial" w:cs="Arial"/>
        </w:rPr>
        <w:t>or an energy price index.</w:t>
      </w:r>
    </w:p>
    <w:p w:rsidR="002855CC" w:rsidRDefault="002855CC">
      <w:pPr>
        <w:rPr>
          <w:rFonts w:ascii="Arial" w:hAnsi="Arial" w:cs="Arial"/>
        </w:rPr>
      </w:pPr>
    </w:p>
    <w:p w:rsidR="002855CC" w:rsidRDefault="002855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Volatility Risk:  </w:t>
      </w:r>
      <w:r>
        <w:rPr>
          <w:rFonts w:ascii="Arial" w:hAnsi="Arial" w:cs="Arial"/>
        </w:rPr>
        <w:t xml:space="preserve">Electricity prices may be subject to substantial volatility </w:t>
      </w:r>
      <w:r w:rsidR="00A555A9">
        <w:rPr>
          <w:rFonts w:ascii="Arial" w:hAnsi="Arial" w:cs="Arial"/>
        </w:rPr>
        <w:t>based on economic conditions, fuel prices, seasonal electricity demands, generator outages, weather and other factors.</w:t>
      </w:r>
    </w:p>
    <w:p w:rsidR="00A555A9" w:rsidRDefault="00A555A9">
      <w:pPr>
        <w:rPr>
          <w:rFonts w:ascii="Arial" w:hAnsi="Arial" w:cs="Arial"/>
        </w:rPr>
      </w:pPr>
    </w:p>
    <w:p w:rsidR="00A555A9" w:rsidRDefault="00A555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Future Performance:  </w:t>
      </w:r>
      <w:r>
        <w:rPr>
          <w:rFonts w:ascii="Arial" w:hAnsi="Arial" w:cs="Arial"/>
        </w:rPr>
        <w:t>Past results regarding particular electricity products are not necessarily an indication of future results.</w:t>
      </w:r>
    </w:p>
    <w:p w:rsidR="00A555A9" w:rsidRDefault="00A555A9">
      <w:pPr>
        <w:rPr>
          <w:rFonts w:ascii="Arial" w:hAnsi="Arial" w:cs="Arial"/>
        </w:rPr>
      </w:pPr>
    </w:p>
    <w:p w:rsidR="00A555A9" w:rsidRDefault="00A555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D67FD" w:rsidRPr="00CC1E41">
        <w:rPr>
          <w:rFonts w:ascii="Arial" w:hAnsi="Arial" w:cs="Arial"/>
          <w:b/>
        </w:rPr>
        <w:t xml:space="preserve">Additional </w:t>
      </w:r>
      <w:r w:rsidR="00CE2092">
        <w:rPr>
          <w:rFonts w:ascii="Arial" w:hAnsi="Arial" w:cs="Arial"/>
          <w:b/>
        </w:rPr>
        <w:t xml:space="preserve">Costs:  </w:t>
      </w:r>
      <w:r w:rsidR="00FD67FD">
        <w:rPr>
          <w:rFonts w:ascii="Arial" w:hAnsi="Arial" w:cs="Arial"/>
        </w:rPr>
        <w:t xml:space="preserve">Electricity supplied </w:t>
      </w:r>
      <w:r w:rsidR="00CC1E41">
        <w:rPr>
          <w:rFonts w:ascii="Arial" w:hAnsi="Arial" w:cs="Arial"/>
        </w:rPr>
        <w:t xml:space="preserve">directly </w:t>
      </w:r>
      <w:r w:rsidR="00FD67FD">
        <w:rPr>
          <w:rFonts w:ascii="Arial" w:hAnsi="Arial" w:cs="Arial"/>
        </w:rPr>
        <w:t>through</w:t>
      </w:r>
      <w:r w:rsidR="00CE2092">
        <w:rPr>
          <w:rFonts w:ascii="Arial" w:hAnsi="Arial" w:cs="Arial"/>
        </w:rPr>
        <w:t xml:space="preserve"> the</w:t>
      </w:r>
      <w:r w:rsidR="00FD67FD">
        <w:rPr>
          <w:rFonts w:ascii="Arial" w:hAnsi="Arial" w:cs="Arial"/>
        </w:rPr>
        <w:t xml:space="preserve"> ISO-NE administered day-ahead and </w:t>
      </w:r>
      <w:r w:rsidR="00CE2092">
        <w:rPr>
          <w:rFonts w:ascii="Arial" w:hAnsi="Arial" w:cs="Arial"/>
        </w:rPr>
        <w:t xml:space="preserve">real-time </w:t>
      </w:r>
      <w:r w:rsidR="00CC1E41">
        <w:rPr>
          <w:rFonts w:ascii="Arial" w:hAnsi="Arial" w:cs="Arial"/>
        </w:rPr>
        <w:t>energy markets</w:t>
      </w:r>
      <w:r w:rsidR="00CE2092">
        <w:rPr>
          <w:rFonts w:ascii="Arial" w:hAnsi="Arial" w:cs="Arial"/>
        </w:rPr>
        <w:t xml:space="preserve"> can involve substantial direct and indirect costs, including but not limited to </w:t>
      </w:r>
      <w:r w:rsidR="00A83FDB">
        <w:rPr>
          <w:rFonts w:ascii="Arial" w:hAnsi="Arial" w:cs="Arial"/>
        </w:rPr>
        <w:t xml:space="preserve">capacity and </w:t>
      </w:r>
      <w:r w:rsidR="00CE2092">
        <w:rPr>
          <w:rFonts w:ascii="Arial" w:hAnsi="Arial" w:cs="Arial"/>
        </w:rPr>
        <w:t xml:space="preserve">ancillary service costs, credit assurances, </w:t>
      </w:r>
      <w:r w:rsidR="006F61FB">
        <w:rPr>
          <w:rFonts w:ascii="Arial" w:hAnsi="Arial" w:cs="Arial"/>
        </w:rPr>
        <w:t xml:space="preserve">and </w:t>
      </w:r>
      <w:r w:rsidR="00CE2092">
        <w:rPr>
          <w:rFonts w:ascii="Arial" w:hAnsi="Arial" w:cs="Arial"/>
        </w:rPr>
        <w:t>NEPOOL and ISO expense assessments</w:t>
      </w:r>
      <w:r w:rsidR="006F61FB">
        <w:rPr>
          <w:rFonts w:ascii="Arial" w:hAnsi="Arial" w:cs="Arial"/>
        </w:rPr>
        <w:t>.</w:t>
      </w:r>
      <w:r w:rsidR="00A83FDB">
        <w:rPr>
          <w:rFonts w:ascii="Arial" w:hAnsi="Arial" w:cs="Arial"/>
        </w:rPr>
        <w:t xml:space="preserve">  In addition, participation in these markets may require </w:t>
      </w:r>
      <w:r w:rsidR="002665B0">
        <w:rPr>
          <w:rFonts w:ascii="Arial" w:hAnsi="Arial" w:cs="Arial"/>
        </w:rPr>
        <w:t xml:space="preserve">processes such as load forecasting, </w:t>
      </w:r>
      <w:r w:rsidR="00A83FDB">
        <w:rPr>
          <w:rFonts w:ascii="Arial" w:hAnsi="Arial" w:cs="Arial"/>
        </w:rPr>
        <w:t>schedul</w:t>
      </w:r>
      <w:r w:rsidR="002665B0">
        <w:rPr>
          <w:rFonts w:ascii="Arial" w:hAnsi="Arial" w:cs="Arial"/>
        </w:rPr>
        <w:t>ing, and settlement in accordance with ISO-NE market rules.</w:t>
      </w:r>
      <w:r w:rsidR="00A618C4" w:rsidRPr="00CC1E41">
        <w:rPr>
          <w:rStyle w:val="FootnoteReference"/>
          <w:rFonts w:ascii="Arial" w:hAnsi="Arial" w:cs="Arial"/>
        </w:rPr>
        <w:footnoteReference w:id="1"/>
      </w:r>
    </w:p>
    <w:p w:rsidR="000E6F1B" w:rsidRDefault="000E6F1B">
      <w:pPr>
        <w:rPr>
          <w:rFonts w:ascii="Arial" w:hAnsi="Arial" w:cs="Arial"/>
        </w:rPr>
      </w:pPr>
    </w:p>
    <w:p w:rsidR="000E6F1B" w:rsidRPr="002665B0" w:rsidRDefault="000E6F1B">
      <w:pPr>
        <w:rPr>
          <w:rFonts w:ascii="Arial" w:hAnsi="Arial" w:cs="Arial"/>
          <w:b/>
          <w:i/>
        </w:rPr>
      </w:pPr>
    </w:p>
    <w:p w:rsidR="006F61FB" w:rsidRPr="002665B0" w:rsidRDefault="006F61FB">
      <w:pPr>
        <w:rPr>
          <w:rFonts w:ascii="Arial" w:hAnsi="Arial" w:cs="Arial"/>
          <w:b/>
          <w:i/>
        </w:rPr>
      </w:pPr>
    </w:p>
    <w:p w:rsidR="006F61FB" w:rsidRDefault="006F61FB">
      <w:pPr>
        <w:rPr>
          <w:rFonts w:ascii="Arial" w:hAnsi="Arial" w:cs="Arial"/>
        </w:rPr>
      </w:pPr>
    </w:p>
    <w:p w:rsidR="00D00052" w:rsidRDefault="006F61F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D00052" w:rsidRDefault="00D00052">
      <w:pPr>
        <w:rPr>
          <w:rFonts w:ascii="Arial" w:hAnsi="Arial" w:cs="Arial"/>
          <w:b/>
        </w:rPr>
      </w:pPr>
    </w:p>
    <w:p w:rsidR="00D00052" w:rsidRDefault="00D00052">
      <w:pPr>
        <w:rPr>
          <w:rFonts w:ascii="Arial" w:hAnsi="Arial" w:cs="Arial"/>
          <w:b/>
        </w:rPr>
      </w:pPr>
    </w:p>
    <w:p w:rsidR="00D00052" w:rsidRPr="00D00052" w:rsidRDefault="00D00052">
      <w:pPr>
        <w:rPr>
          <w:rFonts w:ascii="Arial" w:hAnsi="Arial" w:cs="Arial"/>
          <w:b/>
        </w:rPr>
      </w:pPr>
    </w:p>
    <w:sectPr w:rsidR="00D00052" w:rsidRPr="00D00052" w:rsidSect="0021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01" w:rsidRDefault="002B1101">
      <w:r>
        <w:separator/>
      </w:r>
    </w:p>
  </w:endnote>
  <w:endnote w:type="continuationSeparator" w:id="0">
    <w:p w:rsidR="002B1101" w:rsidRDefault="002B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01" w:rsidRDefault="002B1101">
      <w:r>
        <w:separator/>
      </w:r>
    </w:p>
  </w:footnote>
  <w:footnote w:type="continuationSeparator" w:id="0">
    <w:p w:rsidR="002B1101" w:rsidRDefault="002B1101">
      <w:r>
        <w:continuationSeparator/>
      </w:r>
    </w:p>
  </w:footnote>
  <w:footnote w:id="1">
    <w:p w:rsidR="00AD6CF4" w:rsidRPr="00983178" w:rsidRDefault="00AD6CF4">
      <w:pPr>
        <w:pStyle w:val="FootnoteText"/>
        <w:rPr>
          <w:rFonts w:ascii="Arial" w:hAnsi="Arial" w:cs="Arial"/>
          <w:sz w:val="24"/>
          <w:szCs w:val="24"/>
        </w:rPr>
      </w:pPr>
      <w:r w:rsidRPr="00983178">
        <w:rPr>
          <w:rStyle w:val="FootnoteReference"/>
          <w:rFonts w:ascii="Arial" w:hAnsi="Arial" w:cs="Arial"/>
          <w:sz w:val="24"/>
          <w:szCs w:val="24"/>
        </w:rPr>
        <w:footnoteRef/>
      </w:r>
      <w:r w:rsidRPr="00983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Provision is required only if applicable to the electricity product.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78"/>
    <w:rsid w:val="000E6F1B"/>
    <w:rsid w:val="001E3904"/>
    <w:rsid w:val="00211903"/>
    <w:rsid w:val="002665B0"/>
    <w:rsid w:val="002855CC"/>
    <w:rsid w:val="002B1101"/>
    <w:rsid w:val="002C3ADA"/>
    <w:rsid w:val="002E3014"/>
    <w:rsid w:val="00336A65"/>
    <w:rsid w:val="003A217B"/>
    <w:rsid w:val="003F5137"/>
    <w:rsid w:val="00456EFD"/>
    <w:rsid w:val="00495D5A"/>
    <w:rsid w:val="005768F5"/>
    <w:rsid w:val="00683A18"/>
    <w:rsid w:val="006F61FB"/>
    <w:rsid w:val="00765CFE"/>
    <w:rsid w:val="0080678F"/>
    <w:rsid w:val="00822A03"/>
    <w:rsid w:val="008B5BC9"/>
    <w:rsid w:val="008B5D3C"/>
    <w:rsid w:val="009476DD"/>
    <w:rsid w:val="00963778"/>
    <w:rsid w:val="00983178"/>
    <w:rsid w:val="00A555A9"/>
    <w:rsid w:val="00A618C4"/>
    <w:rsid w:val="00A83FDB"/>
    <w:rsid w:val="00AD6CF4"/>
    <w:rsid w:val="00B036F2"/>
    <w:rsid w:val="00BA0626"/>
    <w:rsid w:val="00BC6DFE"/>
    <w:rsid w:val="00C45E6D"/>
    <w:rsid w:val="00CC1E41"/>
    <w:rsid w:val="00CC2665"/>
    <w:rsid w:val="00CE2092"/>
    <w:rsid w:val="00D00052"/>
    <w:rsid w:val="00DE6B8F"/>
    <w:rsid w:val="00E302E7"/>
    <w:rsid w:val="00EC7E76"/>
    <w:rsid w:val="00ED3279"/>
    <w:rsid w:val="00ED681C"/>
    <w:rsid w:val="00F01DD5"/>
    <w:rsid w:val="00FD401F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A618C4"/>
    <w:rPr>
      <w:sz w:val="20"/>
      <w:szCs w:val="20"/>
    </w:rPr>
  </w:style>
  <w:style w:type="character" w:styleId="FootnoteReference">
    <w:name w:val="footnote reference"/>
    <w:semiHidden/>
    <w:rsid w:val="00A618C4"/>
    <w:rPr>
      <w:vertAlign w:val="superscript"/>
    </w:rPr>
  </w:style>
  <w:style w:type="paragraph" w:customStyle="1" w:styleId="DefaultText">
    <w:name w:val="Default Text"/>
    <w:basedOn w:val="Normal"/>
    <w:rsid w:val="0021190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A618C4"/>
    <w:rPr>
      <w:sz w:val="20"/>
      <w:szCs w:val="20"/>
    </w:rPr>
  </w:style>
  <w:style w:type="character" w:styleId="FootnoteReference">
    <w:name w:val="footnote reference"/>
    <w:semiHidden/>
    <w:rsid w:val="00A618C4"/>
    <w:rPr>
      <w:vertAlign w:val="superscript"/>
    </w:rPr>
  </w:style>
  <w:style w:type="paragraph" w:customStyle="1" w:styleId="DefaultText">
    <w:name w:val="Default Text"/>
    <w:basedOn w:val="Normal"/>
    <w:rsid w:val="0021190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Market Risk Disclosure</vt:lpstr>
    </vt:vector>
  </TitlesOfParts>
  <Company>State of Maine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Market Risk Disclosure</dc:title>
  <dc:creator>Mitchell Tannenbaum</dc:creator>
  <cp:lastModifiedBy>Johnson, Michael R</cp:lastModifiedBy>
  <cp:revision>2</cp:revision>
  <cp:lastPrinted>2006-04-18T15:12:00Z</cp:lastPrinted>
  <dcterms:created xsi:type="dcterms:W3CDTF">2015-04-28T12:40:00Z</dcterms:created>
  <dcterms:modified xsi:type="dcterms:W3CDTF">2015-04-28T12:40:00Z</dcterms:modified>
</cp:coreProperties>
</file>