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96" w:rsidRDefault="00D57796" w:rsidP="00766EAE">
      <w:pPr>
        <w:pStyle w:val="DefaultText"/>
        <w:overflowPunct/>
        <w:autoSpaceDE/>
        <w:autoSpaceDN/>
        <w:adjustRightInd/>
        <w:textAlignment w:val="auto"/>
        <w:rPr>
          <w:rFonts w:ascii="Arial" w:hAnsi="Arial"/>
          <w:szCs w:val="24"/>
        </w:rPr>
      </w:pPr>
      <w:r>
        <w:rPr>
          <w:rFonts w:ascii="Arial" w:hAnsi="Arial"/>
          <w:szCs w:val="24"/>
        </w:rPr>
        <w:t xml:space="preserve">STATE OF </w:t>
      </w:r>
      <w:smartTag w:uri="urn:schemas-microsoft-com:office:smarttags" w:element="place">
        <w:smartTag w:uri="urn:schemas-microsoft-com:office:smarttags" w:element="State">
          <w:r>
            <w:rPr>
              <w:rFonts w:ascii="Arial" w:hAnsi="Arial"/>
              <w:szCs w:val="24"/>
            </w:rPr>
            <w:t>MAINE</w:t>
          </w:r>
        </w:smartTag>
      </w:smartTag>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Docket No. 201</w:t>
      </w:r>
      <w:r w:rsidR="00765AA8">
        <w:rPr>
          <w:rFonts w:ascii="Arial" w:hAnsi="Arial"/>
          <w:szCs w:val="24"/>
        </w:rPr>
        <w:t>2-</w:t>
      </w:r>
      <w:r w:rsidR="0001650C">
        <w:rPr>
          <w:rFonts w:ascii="Arial" w:hAnsi="Arial"/>
          <w:szCs w:val="24"/>
        </w:rPr>
        <w:t>534</w:t>
      </w:r>
    </w:p>
    <w:p w:rsidR="00D57796" w:rsidRDefault="00D57796" w:rsidP="00766EAE">
      <w:r>
        <w:t>PUBLIC UTILITIES COMMISSION</w:t>
      </w:r>
      <w:r>
        <w:tab/>
      </w:r>
      <w:r>
        <w:tab/>
      </w:r>
      <w:r>
        <w:tab/>
      </w:r>
      <w:r>
        <w:tab/>
      </w:r>
    </w:p>
    <w:p w:rsidR="00D57796" w:rsidRDefault="00D57796" w:rsidP="00766EAE">
      <w:r>
        <w:tab/>
      </w:r>
      <w:r>
        <w:tab/>
      </w:r>
      <w:r>
        <w:tab/>
      </w:r>
      <w:r>
        <w:tab/>
      </w:r>
      <w:r>
        <w:tab/>
      </w:r>
      <w:r>
        <w:tab/>
      </w:r>
      <w:r>
        <w:tab/>
      </w:r>
      <w:r>
        <w:tab/>
      </w:r>
      <w:r>
        <w:tab/>
      </w:r>
      <w:r w:rsidR="00FF3A5B">
        <w:t>March 18</w:t>
      </w:r>
      <w:r w:rsidR="009317B2">
        <w:t>, 2013</w:t>
      </w:r>
    </w:p>
    <w:p w:rsidR="00D57796" w:rsidRDefault="00D57796" w:rsidP="00766EAE"/>
    <w:p w:rsidR="008E6F93" w:rsidRDefault="00D57796" w:rsidP="00B7724D">
      <w:smartTag w:uri="urn:schemas-microsoft-com:office:smarttags" w:element="State">
        <w:smartTag w:uri="urn:schemas-microsoft-com:office:smarttags" w:element="place">
          <w:r w:rsidRPr="00201312">
            <w:t>MAINE</w:t>
          </w:r>
        </w:smartTag>
      </w:smartTag>
      <w:r w:rsidRPr="00201312">
        <w:t xml:space="preserve"> PUBLIC UTILITIES COMMISSION</w:t>
      </w:r>
      <w:r w:rsidRPr="00201312">
        <w:tab/>
      </w:r>
      <w:r w:rsidRPr="00201312">
        <w:tab/>
      </w:r>
      <w:r w:rsidRPr="00201312">
        <w:tab/>
        <w:t>ORDER</w:t>
      </w:r>
      <w:r w:rsidR="003A13C5">
        <w:t xml:space="preserve"> </w:t>
      </w:r>
      <w:r w:rsidR="00493F89">
        <w:t xml:space="preserve">SETTING </w:t>
      </w:r>
      <w:r w:rsidRPr="00201312">
        <w:t xml:space="preserve"> </w:t>
      </w:r>
      <w:r w:rsidR="008E6F93">
        <w:tab/>
      </w:r>
    </w:p>
    <w:p w:rsidR="00D57796" w:rsidRPr="00201312" w:rsidRDefault="00D57796" w:rsidP="00B7724D">
      <w:r w:rsidRPr="00201312">
        <w:t>Standard Offer Bidding Proce</w:t>
      </w:r>
      <w:r w:rsidR="001474A2">
        <w:t>ss</w:t>
      </w:r>
      <w:r w:rsidRPr="00201312">
        <w:t xml:space="preserve"> for </w:t>
      </w:r>
      <w:r w:rsidRPr="00201312">
        <w:tab/>
      </w:r>
      <w:r w:rsidRPr="00201312">
        <w:tab/>
      </w:r>
      <w:r w:rsidRPr="00201312">
        <w:tab/>
      </w:r>
      <w:r w:rsidRPr="00201312">
        <w:tab/>
      </w:r>
      <w:r w:rsidR="00493F89" w:rsidRPr="00201312">
        <w:t>STANDARD OFFER</w:t>
      </w:r>
      <w:r w:rsidR="00493F89">
        <w:t xml:space="preserve"> </w:t>
      </w:r>
    </w:p>
    <w:p w:rsidR="008E6F93" w:rsidRDefault="00765AA8" w:rsidP="00B7724D">
      <w:r>
        <w:t xml:space="preserve">CMP and BHE Medium and Large Non-Residential </w:t>
      </w:r>
      <w:r>
        <w:tab/>
      </w:r>
      <w:r w:rsidR="001474A2">
        <w:tab/>
      </w:r>
      <w:r w:rsidR="00493F89">
        <w:t>ENERGY PRICES</w:t>
      </w:r>
      <w:r w:rsidR="008E6F93">
        <w:t xml:space="preserve"> </w:t>
      </w:r>
    </w:p>
    <w:p w:rsidR="001474A2" w:rsidRDefault="00765AA8" w:rsidP="00B7724D">
      <w:r>
        <w:t>Customers</w:t>
      </w:r>
      <w:r>
        <w:tab/>
      </w:r>
      <w:r>
        <w:tab/>
      </w:r>
      <w:r>
        <w:tab/>
      </w:r>
      <w:r>
        <w:tab/>
      </w:r>
      <w:r>
        <w:tab/>
      </w:r>
      <w:r w:rsidR="00D57796" w:rsidRPr="00201312">
        <w:t xml:space="preserve"> </w:t>
      </w:r>
      <w:r w:rsidR="008E6F93">
        <w:tab/>
      </w:r>
      <w:r w:rsidR="008E6F93">
        <w:tab/>
      </w:r>
      <w:r w:rsidR="008E6F93">
        <w:tab/>
        <w:t>FOR CMP</w:t>
      </w:r>
      <w:r w:rsidR="00493F89">
        <w:t xml:space="preserve"> AND BHE </w:t>
      </w:r>
    </w:p>
    <w:p w:rsidR="00D57796" w:rsidRPr="00201312" w:rsidRDefault="00765AA8" w:rsidP="00B7724D">
      <w:r>
        <w:tab/>
      </w:r>
      <w:r>
        <w:tab/>
      </w:r>
      <w:r>
        <w:tab/>
      </w:r>
      <w:r>
        <w:tab/>
      </w:r>
      <w:r>
        <w:tab/>
      </w:r>
      <w:r>
        <w:tab/>
      </w:r>
      <w:r>
        <w:tab/>
      </w:r>
      <w:r w:rsidR="008E6F93">
        <w:tab/>
      </w:r>
      <w:r w:rsidR="008E6F93">
        <w:tab/>
      </w:r>
      <w:r w:rsidR="00493F89">
        <w:t xml:space="preserve">LARGE </w:t>
      </w:r>
      <w:r w:rsidR="008E6F93">
        <w:t>CLASS</w:t>
      </w:r>
    </w:p>
    <w:p w:rsidR="00D57796" w:rsidRPr="00201312" w:rsidRDefault="00D57796" w:rsidP="00B7724D">
      <w:pPr>
        <w:pBdr>
          <w:bottom w:val="single" w:sz="12" w:space="0" w:color="auto"/>
        </w:pBdr>
        <w:ind w:left="3600" w:hanging="3600"/>
      </w:pPr>
      <w:r w:rsidRPr="00201312">
        <w:tab/>
      </w:r>
      <w:r w:rsidRPr="00201312">
        <w:tab/>
      </w:r>
      <w:r w:rsidRPr="00201312">
        <w:tab/>
      </w:r>
      <w:r w:rsidRPr="00201312">
        <w:tab/>
      </w:r>
      <w:r w:rsidR="00493F89">
        <w:tab/>
        <w:t>(</w:t>
      </w:r>
      <w:r w:rsidR="00FF3A5B">
        <w:t>April</w:t>
      </w:r>
      <w:r w:rsidR="009317B2">
        <w:t xml:space="preserve"> </w:t>
      </w:r>
      <w:r w:rsidR="0086395C">
        <w:t>2013</w:t>
      </w:r>
      <w:r w:rsidR="00493F89">
        <w:t>)</w:t>
      </w:r>
    </w:p>
    <w:p w:rsidR="00D57796" w:rsidRDefault="00D57796" w:rsidP="00B7724D">
      <w:pPr>
        <w:pBdr>
          <w:bottom w:val="single" w:sz="12" w:space="0" w:color="auto"/>
        </w:pBdr>
        <w:ind w:left="3600" w:hanging="3600"/>
      </w:pPr>
      <w:r>
        <w:tab/>
      </w:r>
      <w:r>
        <w:tab/>
      </w:r>
      <w:r>
        <w:tab/>
      </w:r>
      <w:r>
        <w:tab/>
      </w:r>
      <w:r>
        <w:tab/>
      </w:r>
    </w:p>
    <w:p w:rsidR="00556855" w:rsidRDefault="002F03DE" w:rsidP="00D95DD2">
      <w:pPr>
        <w:pBdr>
          <w:bottom w:val="single" w:sz="12" w:space="0" w:color="auto"/>
        </w:pBdr>
        <w:ind w:left="3600" w:hanging="3600"/>
        <w:jc w:val="center"/>
      </w:pPr>
      <w:r w:rsidRPr="000342DD">
        <w:rPr>
          <w:caps/>
        </w:rPr>
        <w:t>Welch</w:t>
      </w:r>
      <w:r w:rsidR="00556855">
        <w:t xml:space="preserve">, </w:t>
      </w:r>
      <w:r>
        <w:t>Chairman</w:t>
      </w:r>
      <w:r w:rsidR="00556855">
        <w:t xml:space="preserve">; </w:t>
      </w:r>
      <w:r w:rsidR="00D95DD2">
        <w:t>LITTELL</w:t>
      </w:r>
      <w:r w:rsidR="00202D69">
        <w:t xml:space="preserve"> and V</w:t>
      </w:r>
      <w:r w:rsidR="009E68F3">
        <w:t>ANNOY</w:t>
      </w:r>
      <w:r w:rsidR="00D95DD2">
        <w:t>, Commissioner</w:t>
      </w:r>
      <w:r w:rsidR="00202D69">
        <w:t>s</w:t>
      </w:r>
    </w:p>
    <w:p w:rsidR="00D57796" w:rsidRDefault="00D57796" w:rsidP="00991D38">
      <w:pPr>
        <w:pStyle w:val="Heading1"/>
      </w:pPr>
    </w:p>
    <w:p w:rsidR="00D57796" w:rsidRDefault="00D57796" w:rsidP="00B7724D">
      <w:pPr>
        <w:pStyle w:val="Heading1"/>
        <w:numPr>
          <w:ilvl w:val="0"/>
          <w:numId w:val="1"/>
        </w:numPr>
        <w:tabs>
          <w:tab w:val="clear" w:pos="1080"/>
        </w:tabs>
        <w:ind w:left="720"/>
      </w:pPr>
      <w:r>
        <w:t>SUMMARY</w:t>
      </w:r>
    </w:p>
    <w:p w:rsidR="00D57796" w:rsidRDefault="00D57796" w:rsidP="00847C97"/>
    <w:p w:rsidR="007E7766" w:rsidRDefault="00D57796" w:rsidP="00256EB3">
      <w:pPr>
        <w:ind w:firstLine="720"/>
      </w:pPr>
      <w:r>
        <w:t xml:space="preserve">Through this Order, we </w:t>
      </w:r>
      <w:r w:rsidR="00493F89">
        <w:t>set</w:t>
      </w:r>
      <w:r w:rsidR="007D1474">
        <w:t xml:space="preserve"> the energy component</w:t>
      </w:r>
      <w:r w:rsidR="00C860CE">
        <w:t>s</w:t>
      </w:r>
      <w:r w:rsidR="007D1474">
        <w:t xml:space="preserve"> </w:t>
      </w:r>
      <w:r w:rsidR="00AE29A5">
        <w:t xml:space="preserve">and resulting </w:t>
      </w:r>
      <w:r w:rsidR="00493F89">
        <w:t>standard offer</w:t>
      </w:r>
      <w:r w:rsidR="00AE29A5">
        <w:t xml:space="preserve"> energy</w:t>
      </w:r>
      <w:r w:rsidR="00493F89">
        <w:t xml:space="preserve"> prices</w:t>
      </w:r>
      <w:r w:rsidR="003E032D">
        <w:rPr>
          <w:rStyle w:val="FootnoteReference"/>
        </w:rPr>
        <w:footnoteReference w:id="1"/>
      </w:r>
      <w:r w:rsidR="00493F89">
        <w:t xml:space="preserve"> for the </w:t>
      </w:r>
      <w:r w:rsidR="00CD5360">
        <w:t>large non-residential classes in the service territory of Central Maine Power Company (CMP) and Bangor Hydro Electric Company (BHE)</w:t>
      </w:r>
      <w:r w:rsidR="00493F89">
        <w:t xml:space="preserve"> for </w:t>
      </w:r>
      <w:r w:rsidR="00FF3A5B">
        <w:t>April</w:t>
      </w:r>
      <w:r w:rsidR="0001650C">
        <w:t xml:space="preserve"> </w:t>
      </w:r>
      <w:r w:rsidR="0086395C">
        <w:t>2013</w:t>
      </w:r>
      <w:r w:rsidR="00921C0D">
        <w:t>.</w:t>
      </w:r>
      <w:r w:rsidR="00493F89">
        <w:t xml:space="preserve">  </w:t>
      </w:r>
      <w:r w:rsidR="003E032D">
        <w:t>T</w:t>
      </w:r>
      <w:r w:rsidR="00AE29A5">
        <w:t xml:space="preserve">he energy </w:t>
      </w:r>
      <w:r w:rsidR="00AE29A5" w:rsidRPr="00C13B09">
        <w:t>components</w:t>
      </w:r>
      <w:r w:rsidR="003E032D" w:rsidRPr="00C13B09">
        <w:t xml:space="preserve"> </w:t>
      </w:r>
      <w:r w:rsidR="003E032D" w:rsidRPr="00AE38B6">
        <w:t xml:space="preserve">are </w:t>
      </w:r>
      <w:r w:rsidR="0001650C">
        <w:t>$0.</w:t>
      </w:r>
      <w:r w:rsidR="00FF3A5B">
        <w:t>044</w:t>
      </w:r>
      <w:r w:rsidR="00084D88">
        <w:t>60</w:t>
      </w:r>
      <w:r w:rsidR="00AE29A5" w:rsidRPr="00AE38B6">
        <w:t xml:space="preserve">/kWh for CMP and </w:t>
      </w:r>
      <w:r w:rsidR="0001650C">
        <w:t>$0.</w:t>
      </w:r>
      <w:r w:rsidR="00FF3A5B">
        <w:t>0438</w:t>
      </w:r>
      <w:r w:rsidR="00084D88">
        <w:t>5</w:t>
      </w:r>
      <w:r w:rsidR="00AE29A5" w:rsidRPr="00AE38B6">
        <w:t>/kWh for BHE,</w:t>
      </w:r>
      <w:r w:rsidR="003E032D" w:rsidRPr="00AE38B6">
        <w:t xml:space="preserve"> and </w:t>
      </w:r>
      <w:r w:rsidR="00AE29A5" w:rsidRPr="00AE38B6">
        <w:t xml:space="preserve">the </w:t>
      </w:r>
      <w:r w:rsidR="003E032D" w:rsidRPr="00AE38B6">
        <w:t xml:space="preserve">resulting </w:t>
      </w:r>
      <w:r w:rsidR="00AE29A5" w:rsidRPr="00AE38B6">
        <w:t>standard offer energy prices</w:t>
      </w:r>
      <w:r w:rsidR="007D1474" w:rsidRPr="00AE38B6">
        <w:t xml:space="preserve"> </w:t>
      </w:r>
      <w:r w:rsidR="00E83250" w:rsidRPr="00AE38B6">
        <w:t xml:space="preserve">for </w:t>
      </w:r>
      <w:r w:rsidR="00FF3A5B">
        <w:t>April</w:t>
      </w:r>
      <w:r w:rsidR="0001650C">
        <w:t xml:space="preserve"> </w:t>
      </w:r>
      <w:r w:rsidR="0086395C">
        <w:t>2013</w:t>
      </w:r>
      <w:r w:rsidR="00E83250" w:rsidRPr="00AE38B6">
        <w:t xml:space="preserve"> will be </w:t>
      </w:r>
      <w:r w:rsidR="0001650C">
        <w:t>$0.</w:t>
      </w:r>
      <w:r w:rsidR="00FF3A5B">
        <w:t>0519</w:t>
      </w:r>
      <w:r w:rsidR="00084D88">
        <w:t>4</w:t>
      </w:r>
      <w:r w:rsidR="0067014F">
        <w:t>9</w:t>
      </w:r>
      <w:bookmarkStart w:id="0" w:name="_GoBack"/>
      <w:bookmarkEnd w:id="0"/>
      <w:r w:rsidR="00E83250" w:rsidRPr="00AE38B6">
        <w:t xml:space="preserve">/kWh for the CMP large class and </w:t>
      </w:r>
      <w:r w:rsidR="0001650C">
        <w:t>$0.</w:t>
      </w:r>
      <w:r w:rsidR="00FF3A5B">
        <w:t>0527</w:t>
      </w:r>
      <w:r w:rsidR="00084D88">
        <w:t>34</w:t>
      </w:r>
      <w:r w:rsidR="00E83250" w:rsidRPr="00AE38B6">
        <w:t>/kWh for the BHE large class.</w:t>
      </w:r>
      <w:r w:rsidR="00455BC1" w:rsidRPr="00AE38B6">
        <w:t xml:space="preserve">  </w:t>
      </w:r>
      <w:r w:rsidR="007D1474" w:rsidRPr="00AE38B6">
        <w:t>The standard offer price</w:t>
      </w:r>
      <w:r w:rsidR="003E032D" w:rsidRPr="00AE38B6">
        <w:t>s</w:t>
      </w:r>
      <w:r w:rsidR="007D1474" w:rsidRPr="00AE38B6">
        <w:t xml:space="preserve"> will include the</w:t>
      </w:r>
      <w:r w:rsidR="003E032D" w:rsidRPr="00AE38B6">
        <w:t>se</w:t>
      </w:r>
      <w:r w:rsidR="007D1474" w:rsidRPr="00AE38B6">
        <w:t xml:space="preserve"> energy </w:t>
      </w:r>
      <w:r w:rsidR="003E032D" w:rsidRPr="00AE38B6">
        <w:t>prices</w:t>
      </w:r>
      <w:r w:rsidR="007D1474" w:rsidRPr="00AE38B6">
        <w:t xml:space="preserve"> plus the capacity</w:t>
      </w:r>
      <w:r w:rsidR="007D1474" w:rsidRPr="00C13B09">
        <w:t xml:space="preserve"> components as specified in the </w:t>
      </w:r>
      <w:r w:rsidR="0001650C">
        <w:t>January 29, 2013</w:t>
      </w:r>
      <w:r w:rsidR="007D1474" w:rsidRPr="00C13B09">
        <w:t xml:space="preserve"> </w:t>
      </w:r>
      <w:r w:rsidR="00E32FD4">
        <w:t xml:space="preserve">Corrected </w:t>
      </w:r>
      <w:r w:rsidR="007D1474" w:rsidRPr="00C13B09">
        <w:t xml:space="preserve">Order.  The specified capacity </w:t>
      </w:r>
      <w:r w:rsidR="00C860CE" w:rsidRPr="00C13B09">
        <w:t>components</w:t>
      </w:r>
      <w:r w:rsidR="007D1474" w:rsidRPr="00C13B09">
        <w:t xml:space="preserve"> for </w:t>
      </w:r>
      <w:r w:rsidR="00FF3A5B">
        <w:t>April</w:t>
      </w:r>
      <w:r w:rsidR="0001650C">
        <w:t xml:space="preserve"> </w:t>
      </w:r>
      <w:r w:rsidR="0086395C">
        <w:t>2013</w:t>
      </w:r>
      <w:r w:rsidR="00256EB3" w:rsidRPr="00C13B09">
        <w:t xml:space="preserve"> are $</w:t>
      </w:r>
      <w:r w:rsidR="00765AA8">
        <w:t>3.5</w:t>
      </w:r>
      <w:r w:rsidR="0001650C">
        <w:t>3323</w:t>
      </w:r>
      <w:r w:rsidR="00256EB3" w:rsidRPr="00C13B09">
        <w:t xml:space="preserve">/kW-month for the CMP </w:t>
      </w:r>
      <w:r w:rsidR="00765AA8">
        <w:t xml:space="preserve">large class </w:t>
      </w:r>
      <w:r w:rsidR="00256EB3" w:rsidRPr="00C13B09">
        <w:t xml:space="preserve">and </w:t>
      </w:r>
      <w:r w:rsidR="00765AA8">
        <w:t>$3.</w:t>
      </w:r>
      <w:r w:rsidR="0001650C">
        <w:t>79000</w:t>
      </w:r>
      <w:r w:rsidR="00765AA8">
        <w:t xml:space="preserve">/kW-month for the </w:t>
      </w:r>
      <w:r w:rsidR="00256EB3" w:rsidRPr="00C13B09">
        <w:t>BHE large class.</w:t>
      </w:r>
    </w:p>
    <w:p w:rsidR="008A5602" w:rsidRDefault="008A5602" w:rsidP="008A5602">
      <w:pPr>
        <w:jc w:val="center"/>
      </w:pPr>
    </w:p>
    <w:p w:rsidR="00D57796" w:rsidRDefault="00D57796" w:rsidP="00847C97"/>
    <w:p w:rsidR="00D57796" w:rsidRDefault="00D57796" w:rsidP="00847C97">
      <w:pPr>
        <w:pStyle w:val="Heading1"/>
      </w:pPr>
      <w:r>
        <w:t>II.</w:t>
      </w:r>
      <w:r>
        <w:tab/>
        <w:t>BACKGROUND</w:t>
      </w:r>
    </w:p>
    <w:p w:rsidR="00D57796" w:rsidRDefault="00D57796" w:rsidP="00847C97">
      <w:pPr>
        <w:rPr>
          <w:b/>
          <w:bCs/>
        </w:rPr>
      </w:pPr>
    </w:p>
    <w:p w:rsidR="00E83250" w:rsidRDefault="00E83250" w:rsidP="003A13C5">
      <w:pPr>
        <w:ind w:firstLine="720"/>
        <w:rPr>
          <w:rFonts w:cs="Arial"/>
        </w:rPr>
      </w:pPr>
    </w:p>
    <w:p w:rsidR="00995880" w:rsidRDefault="00E83250" w:rsidP="003A13C5">
      <w:pPr>
        <w:ind w:firstLine="720"/>
        <w:rPr>
          <w:rFonts w:cs="Arial"/>
        </w:rPr>
      </w:pPr>
      <w:r>
        <w:rPr>
          <w:rFonts w:cs="Arial"/>
        </w:rPr>
        <w:t xml:space="preserve">On </w:t>
      </w:r>
      <w:r w:rsidR="0001650C">
        <w:rPr>
          <w:rFonts w:cs="Arial"/>
        </w:rPr>
        <w:t>January 29, 2013</w:t>
      </w:r>
      <w:r w:rsidR="0097455A">
        <w:rPr>
          <w:rFonts w:cs="Arial"/>
        </w:rPr>
        <w:t>, the Commission issued a Corrected</w:t>
      </w:r>
      <w:r>
        <w:rPr>
          <w:rFonts w:cs="Arial"/>
        </w:rPr>
        <w:t xml:space="preserve"> Order Designating Standard Offer Providers for CMP and BHE Large Class.  In that </w:t>
      </w:r>
      <w:r w:rsidR="0097455A">
        <w:rPr>
          <w:rFonts w:cs="Arial"/>
        </w:rPr>
        <w:t xml:space="preserve">Corrected </w:t>
      </w:r>
      <w:r>
        <w:rPr>
          <w:rFonts w:cs="Arial"/>
        </w:rPr>
        <w:t xml:space="preserve">Order, the Commission designated a </w:t>
      </w:r>
      <w:r>
        <w:t xml:space="preserve">standard offer provider for the CMP and BHE large customer standard offer classes for the six-month term beginning </w:t>
      </w:r>
      <w:r w:rsidR="0001650C">
        <w:t>March 1, 2013</w:t>
      </w:r>
      <w:r>
        <w:t xml:space="preserve"> and ending </w:t>
      </w:r>
      <w:r w:rsidR="0001650C">
        <w:t>August 31, 2013</w:t>
      </w:r>
      <w:r>
        <w:t>.</w:t>
      </w:r>
      <w:r w:rsidR="00455BC1">
        <w:t xml:space="preserve">  The </w:t>
      </w:r>
      <w:r w:rsidR="0001650C">
        <w:t>January 29, 2013</w:t>
      </w:r>
      <w:r w:rsidR="00455BC1">
        <w:t xml:space="preserve"> </w:t>
      </w:r>
      <w:r w:rsidR="0097455A">
        <w:t xml:space="preserve">Corrected </w:t>
      </w:r>
      <w:r w:rsidR="00455BC1">
        <w:t xml:space="preserve">Order specified that the actual energy prices for CMP and BHE’s large customer classes will be determined prior to each month of the </w:t>
      </w:r>
      <w:r w:rsidR="0001650C">
        <w:t>March-August</w:t>
      </w:r>
      <w:r w:rsidR="00455BC1">
        <w:t xml:space="preserve"> term based on ISO-NE Internal Hub Peak and Off-</w:t>
      </w:r>
      <w:r w:rsidR="00455BC1">
        <w:lastRenderedPageBreak/>
        <w:t>Peak Locational Marginal Pricing (</w:t>
      </w:r>
      <w:r w:rsidR="00455BC1" w:rsidRPr="00E20916">
        <w:t>LMP)</w:t>
      </w:r>
      <w:r w:rsidR="00455BC1">
        <w:t xml:space="preserve"> electricity futures </w:t>
      </w:r>
      <w:r w:rsidR="00455BC1" w:rsidRPr="00C20934">
        <w:t xml:space="preserve">as settled through CME Group on the </w:t>
      </w:r>
      <w:r w:rsidR="00455BC1">
        <w:t>15th</w:t>
      </w:r>
      <w:r w:rsidR="00455BC1" w:rsidRPr="00C20934">
        <w:t xml:space="preserve"> day of </w:t>
      </w:r>
      <w:r w:rsidR="00455BC1">
        <w:t xml:space="preserve">the </w:t>
      </w:r>
      <w:r w:rsidR="00455BC1" w:rsidRPr="00C20934">
        <w:t xml:space="preserve">prior </w:t>
      </w:r>
      <w:r w:rsidR="00455BC1">
        <w:t>month.</w:t>
      </w:r>
      <w:r w:rsidR="00455BC1">
        <w:rPr>
          <w:rStyle w:val="FootnoteReference"/>
        </w:rPr>
        <w:footnoteReference w:id="2"/>
      </w:r>
      <w:r w:rsidR="00455BC1">
        <w:t xml:space="preserve"> </w:t>
      </w:r>
    </w:p>
    <w:p w:rsidR="005033D6" w:rsidRDefault="005033D6" w:rsidP="003A13C5">
      <w:pPr>
        <w:ind w:firstLine="720"/>
        <w:rPr>
          <w:rFonts w:cs="Arial"/>
        </w:rPr>
      </w:pPr>
    </w:p>
    <w:p w:rsidR="00D57796" w:rsidRDefault="00C73790" w:rsidP="00847C97">
      <w:pPr>
        <w:pStyle w:val="Heading1"/>
      </w:pPr>
      <w:r>
        <w:t>I</w:t>
      </w:r>
      <w:r w:rsidR="00455BC1">
        <w:t>II.</w:t>
      </w:r>
      <w:r w:rsidR="00455BC1">
        <w:tab/>
        <w:t>DECISION</w:t>
      </w:r>
    </w:p>
    <w:p w:rsidR="00960D37" w:rsidRDefault="00960D37" w:rsidP="00960D37"/>
    <w:p w:rsidR="00455BC1" w:rsidRDefault="00455BC1" w:rsidP="00960D37">
      <w:r>
        <w:tab/>
        <w:t xml:space="preserve">Based on the methodology adopted in the Commission’s </w:t>
      </w:r>
      <w:r w:rsidR="0001650C">
        <w:t>January 29, 2013</w:t>
      </w:r>
      <w:r>
        <w:t xml:space="preserve"> </w:t>
      </w:r>
      <w:r w:rsidR="0097455A">
        <w:t xml:space="preserve">Corrected </w:t>
      </w:r>
      <w:r>
        <w:t xml:space="preserve">Order, the following standard offer energy </w:t>
      </w:r>
      <w:r w:rsidR="003E032D">
        <w:t>prices</w:t>
      </w:r>
      <w:r w:rsidR="00A63DE8">
        <w:rPr>
          <w:rStyle w:val="FootnoteReference"/>
        </w:rPr>
        <w:footnoteReference w:id="3"/>
      </w:r>
      <w:r>
        <w:t xml:space="preserve"> for </w:t>
      </w:r>
      <w:r w:rsidR="00FF3A5B">
        <w:t>April</w:t>
      </w:r>
      <w:r w:rsidR="0001650C">
        <w:t xml:space="preserve"> </w:t>
      </w:r>
      <w:r w:rsidR="0086395C">
        <w:t>2013</w:t>
      </w:r>
      <w:r>
        <w:t xml:space="preserve"> </w:t>
      </w:r>
      <w:proofErr w:type="gramStart"/>
      <w:r>
        <w:t>are</w:t>
      </w:r>
      <w:proofErr w:type="gramEnd"/>
      <w:r>
        <w:t xml:space="preserve"> established for the CMP and BHE large non-residential classes:</w:t>
      </w:r>
    </w:p>
    <w:p w:rsidR="00455BC1" w:rsidRDefault="00455BC1" w:rsidP="00960D37"/>
    <w:p w:rsidR="00455BC1" w:rsidRPr="00AE38B6" w:rsidRDefault="00455BC1" w:rsidP="00702D93">
      <w:pPr>
        <w:jc w:val="center"/>
      </w:pPr>
      <w:r w:rsidRPr="00AE38B6">
        <w:t>CMP--</w:t>
      </w:r>
      <w:r w:rsidR="0001650C">
        <w:t>$0.</w:t>
      </w:r>
      <w:r w:rsidR="00FF3A5B">
        <w:t>0519</w:t>
      </w:r>
      <w:r w:rsidR="00084D88">
        <w:t>49</w:t>
      </w:r>
      <w:r w:rsidRPr="00AE38B6">
        <w:t>/kWh</w:t>
      </w:r>
    </w:p>
    <w:p w:rsidR="00E466A6" w:rsidRPr="00AE38B6" w:rsidRDefault="00455BC1" w:rsidP="00702D93">
      <w:pPr>
        <w:jc w:val="center"/>
      </w:pPr>
      <w:r w:rsidRPr="00AE38B6">
        <w:t>BHE--</w:t>
      </w:r>
      <w:r w:rsidR="009D363D">
        <w:t>$0.</w:t>
      </w:r>
      <w:r w:rsidR="00FF3A5B">
        <w:t>0527</w:t>
      </w:r>
      <w:r w:rsidR="00084D88">
        <w:t>34</w:t>
      </w:r>
      <w:r w:rsidRPr="00AE38B6">
        <w:t>/kWh</w:t>
      </w:r>
    </w:p>
    <w:p w:rsidR="00702D93" w:rsidRPr="00AE38B6" w:rsidRDefault="00702D93" w:rsidP="00702D93">
      <w:pPr>
        <w:jc w:val="center"/>
      </w:pPr>
    </w:p>
    <w:p w:rsidR="00702D93" w:rsidRPr="00AE38B6" w:rsidRDefault="00A63DE8" w:rsidP="00702D93">
      <w:r w:rsidRPr="00AE38B6">
        <w:t xml:space="preserve">As specified in the </w:t>
      </w:r>
      <w:r w:rsidR="007229CD">
        <w:t xml:space="preserve">January 29, 2013 </w:t>
      </w:r>
      <w:r w:rsidR="0097455A">
        <w:t xml:space="preserve">Corrected </w:t>
      </w:r>
      <w:r w:rsidRPr="00AE38B6">
        <w:t xml:space="preserve">Order, the capacity </w:t>
      </w:r>
      <w:r w:rsidR="007D1474" w:rsidRPr="00AE38B6">
        <w:t xml:space="preserve">components </w:t>
      </w:r>
      <w:r w:rsidRPr="00AE38B6">
        <w:t xml:space="preserve">for </w:t>
      </w:r>
      <w:r w:rsidR="00FF3A5B">
        <w:t>April</w:t>
      </w:r>
      <w:r w:rsidR="0086395C">
        <w:t xml:space="preserve"> 2013</w:t>
      </w:r>
      <w:r w:rsidRPr="00AE38B6">
        <w:t xml:space="preserve"> </w:t>
      </w:r>
      <w:r w:rsidR="0008640B" w:rsidRPr="00AE38B6">
        <w:t>are</w:t>
      </w:r>
      <w:r w:rsidRPr="00AE38B6">
        <w:t>:</w:t>
      </w:r>
    </w:p>
    <w:p w:rsidR="00A63DE8" w:rsidRPr="00AE38B6" w:rsidRDefault="00A63DE8" w:rsidP="00702D93"/>
    <w:p w:rsidR="00A63DE8" w:rsidRPr="00AE38B6" w:rsidRDefault="00A63DE8" w:rsidP="00A63DE8">
      <w:pPr>
        <w:jc w:val="center"/>
      </w:pPr>
      <w:r w:rsidRPr="00AE38B6">
        <w:t>CMP--$</w:t>
      </w:r>
      <w:r w:rsidR="00765AA8" w:rsidRPr="00AE38B6">
        <w:t>3.5</w:t>
      </w:r>
      <w:r w:rsidR="0001650C">
        <w:t>3323</w:t>
      </w:r>
      <w:r w:rsidRPr="00AE38B6">
        <w:t>/kW-</w:t>
      </w:r>
      <w:proofErr w:type="spellStart"/>
      <w:r w:rsidRPr="00AE38B6">
        <w:t>mo</w:t>
      </w:r>
      <w:proofErr w:type="spellEnd"/>
    </w:p>
    <w:p w:rsidR="00A63DE8" w:rsidRDefault="00A63DE8" w:rsidP="00A63DE8">
      <w:pPr>
        <w:jc w:val="center"/>
      </w:pPr>
      <w:r w:rsidRPr="00AE38B6">
        <w:t>BHE--$</w:t>
      </w:r>
      <w:r w:rsidR="00765AA8" w:rsidRPr="00AE38B6">
        <w:t>3.</w:t>
      </w:r>
      <w:r w:rsidR="0001650C">
        <w:t>79000</w:t>
      </w:r>
      <w:r w:rsidRPr="00AE38B6">
        <w:t>/kW-</w:t>
      </w:r>
      <w:proofErr w:type="spellStart"/>
      <w:r w:rsidRPr="00AE38B6">
        <w:t>mo</w:t>
      </w:r>
      <w:proofErr w:type="spellEnd"/>
    </w:p>
    <w:p w:rsidR="00960D37" w:rsidRDefault="00960D37" w:rsidP="00960D37">
      <w:pPr>
        <w:pStyle w:val="DefaultText"/>
        <w:jc w:val="center"/>
        <w:rPr>
          <w:rStyle w:val="InitialStyle"/>
          <w:rFonts w:ascii="Arial" w:hAnsi="Arial"/>
        </w:rPr>
      </w:pPr>
    </w:p>
    <w:p w:rsidR="00C860CE" w:rsidRDefault="00C860CE" w:rsidP="00960D37">
      <w:pPr>
        <w:pStyle w:val="DefaultText"/>
        <w:jc w:val="center"/>
        <w:rPr>
          <w:rStyle w:val="InitialStyle"/>
          <w:rFonts w:ascii="Arial" w:hAnsi="Arial"/>
        </w:rPr>
      </w:pPr>
    </w:p>
    <w:p w:rsidR="00D57796" w:rsidRDefault="00D57796" w:rsidP="00847C97">
      <w:pPr>
        <w:tabs>
          <w:tab w:val="left" w:pos="720"/>
          <w:tab w:val="left" w:pos="1440"/>
          <w:tab w:val="left" w:pos="2160"/>
          <w:tab w:val="left" w:pos="2880"/>
          <w:tab w:val="left" w:pos="3600"/>
          <w:tab w:val="left" w:pos="5472"/>
          <w:tab w:val="left" w:pos="11666"/>
        </w:tabs>
        <w:autoSpaceDE w:val="0"/>
        <w:autoSpaceDN w:val="0"/>
        <w:adjustRightInd w:val="0"/>
        <w:jc w:val="center"/>
        <w:rPr>
          <w:rFonts w:cs="Arial"/>
        </w:rPr>
      </w:pPr>
      <w:r>
        <w:rPr>
          <w:rFonts w:cs="Arial"/>
        </w:rPr>
        <w:t xml:space="preserve">BY ORDER OF THE </w:t>
      </w:r>
      <w:r w:rsidR="00702D93">
        <w:rPr>
          <w:rFonts w:cs="Arial"/>
        </w:rPr>
        <w:t>DIRECTOR OF THE ELECTRIC AND GAS</w:t>
      </w:r>
    </w:p>
    <w:p w:rsidR="00D57796" w:rsidRDefault="00702D93" w:rsidP="00702D93">
      <w:pPr>
        <w:tabs>
          <w:tab w:val="left" w:pos="720"/>
          <w:tab w:val="left" w:pos="1440"/>
          <w:tab w:val="left" w:pos="2160"/>
          <w:tab w:val="left" w:pos="2880"/>
          <w:tab w:val="left" w:pos="3600"/>
          <w:tab w:val="left" w:pos="5472"/>
          <w:tab w:val="left" w:pos="11666"/>
        </w:tabs>
        <w:autoSpaceDE w:val="0"/>
        <w:autoSpaceDN w:val="0"/>
        <w:adjustRightInd w:val="0"/>
        <w:jc w:val="center"/>
        <w:rPr>
          <w:rFonts w:cs="Arial"/>
        </w:rPr>
      </w:pPr>
      <w:r>
        <w:rPr>
          <w:rFonts w:cs="Arial"/>
        </w:rPr>
        <w:t>UTILITY INDUSTRIES</w:t>
      </w:r>
    </w:p>
    <w:p w:rsidR="00D57796" w:rsidRDefault="00E345B4" w:rsidP="00847C97">
      <w:pPr>
        <w:tabs>
          <w:tab w:val="left" w:pos="720"/>
          <w:tab w:val="left" w:pos="1440"/>
          <w:tab w:val="left" w:pos="2160"/>
          <w:tab w:val="left" w:pos="2880"/>
          <w:tab w:val="left" w:pos="3600"/>
          <w:tab w:val="left" w:pos="5472"/>
          <w:tab w:val="left" w:pos="11666"/>
        </w:tabs>
        <w:autoSpaceDE w:val="0"/>
        <w:autoSpaceDN w:val="0"/>
        <w:adjustRightInd w:val="0"/>
        <w:jc w:val="both"/>
        <w:rPr>
          <w:rFonts w:cs="Arial"/>
        </w:rPr>
      </w:pPr>
      <w:r>
        <w:rPr>
          <w:rFonts w:cs="Arial"/>
        </w:rPr>
        <w:tab/>
      </w:r>
      <w:r>
        <w:rPr>
          <w:rFonts w:cs="Arial"/>
        </w:rPr>
        <w:tab/>
      </w:r>
      <w:r>
        <w:rPr>
          <w:rFonts w:cs="Arial"/>
        </w:rPr>
        <w:tab/>
      </w:r>
    </w:p>
    <w:p w:rsidR="00E345B4" w:rsidRDefault="00E345B4" w:rsidP="00847C97">
      <w:pPr>
        <w:tabs>
          <w:tab w:val="left" w:pos="720"/>
          <w:tab w:val="left" w:pos="1440"/>
          <w:tab w:val="left" w:pos="2160"/>
          <w:tab w:val="left" w:pos="2880"/>
          <w:tab w:val="left" w:pos="3600"/>
          <w:tab w:val="left" w:pos="5472"/>
          <w:tab w:val="left" w:pos="11666"/>
        </w:tabs>
        <w:autoSpaceDE w:val="0"/>
        <w:autoSpaceDN w:val="0"/>
        <w:adjustRightInd w:val="0"/>
        <w:jc w:val="both"/>
        <w:rPr>
          <w:rFonts w:cs="Arial"/>
        </w:rPr>
      </w:pPr>
    </w:p>
    <w:p w:rsidR="00E345B4" w:rsidRDefault="00E345B4" w:rsidP="00847C97">
      <w:pPr>
        <w:tabs>
          <w:tab w:val="left" w:pos="720"/>
          <w:tab w:val="left" w:pos="1440"/>
          <w:tab w:val="left" w:pos="2160"/>
          <w:tab w:val="left" w:pos="2880"/>
          <w:tab w:val="left" w:pos="3600"/>
          <w:tab w:val="left" w:pos="5472"/>
          <w:tab w:val="left" w:pos="11666"/>
        </w:tabs>
        <w:autoSpaceDE w:val="0"/>
        <w:autoSpaceDN w:val="0"/>
        <w:adjustRightInd w:val="0"/>
        <w:jc w:val="both"/>
        <w:rPr>
          <w:rFonts w:cs="Arial"/>
        </w:rPr>
      </w:pPr>
      <w:r>
        <w:rPr>
          <w:rFonts w:cs="Arial"/>
        </w:rPr>
        <w:tab/>
      </w:r>
      <w:r>
        <w:rPr>
          <w:rFonts w:cs="Arial"/>
        </w:rPr>
        <w:tab/>
      </w:r>
      <w:r>
        <w:rPr>
          <w:rFonts w:cs="Arial"/>
        </w:rPr>
        <w:tab/>
      </w:r>
      <w:r>
        <w:rPr>
          <w:rFonts w:cs="Arial"/>
        </w:rPr>
        <w:tab/>
      </w:r>
      <w:r w:rsidR="00665149">
        <w:rPr>
          <w:rFonts w:cs="Arial"/>
          <w:noProof/>
        </w:rPr>
        <w:drawing>
          <wp:inline distT="0" distB="0" distL="0" distR="0" wp14:anchorId="79190CA7" wp14:editId="51075DC6">
            <wp:extent cx="240982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609600"/>
                    </a:xfrm>
                    <a:prstGeom prst="rect">
                      <a:avLst/>
                    </a:prstGeom>
                    <a:noFill/>
                  </pic:spPr>
                </pic:pic>
              </a:graphicData>
            </a:graphic>
          </wp:inline>
        </w:drawing>
      </w:r>
    </w:p>
    <w:p w:rsidR="00D57796" w:rsidRDefault="00D57796" w:rsidP="00847C97">
      <w:pPr>
        <w:tabs>
          <w:tab w:val="left" w:pos="720"/>
          <w:tab w:val="left" w:pos="1440"/>
          <w:tab w:val="left" w:pos="2160"/>
          <w:tab w:val="left" w:pos="2880"/>
          <w:tab w:val="left" w:pos="3600"/>
          <w:tab w:val="left" w:pos="5472"/>
          <w:tab w:val="left" w:pos="11666"/>
        </w:tabs>
        <w:autoSpaceDE w:val="0"/>
        <w:autoSpaceDN w:val="0"/>
        <w:adjustRightInd w:val="0"/>
        <w:jc w:val="center"/>
        <w:rPr>
          <w:rFonts w:cs="Arial"/>
        </w:rPr>
      </w:pPr>
      <w:r>
        <w:rPr>
          <w:rFonts w:cs="Arial"/>
        </w:rPr>
        <w:t>_______________________________</w:t>
      </w:r>
    </w:p>
    <w:p w:rsidR="00D57796" w:rsidRDefault="00702D93" w:rsidP="00702D93">
      <w:pPr>
        <w:autoSpaceDE w:val="0"/>
        <w:autoSpaceDN w:val="0"/>
        <w:adjustRightInd w:val="0"/>
        <w:jc w:val="center"/>
        <w:rPr>
          <w:rFonts w:cs="Arial"/>
        </w:rPr>
      </w:pPr>
      <w:r>
        <w:rPr>
          <w:rFonts w:cs="Arial"/>
        </w:rPr>
        <w:t xml:space="preserve">Faith </w:t>
      </w:r>
      <w:smartTag w:uri="urn:schemas-microsoft-com:office:smarttags" w:element="City">
        <w:smartTag w:uri="urn:schemas-microsoft-com:office:smarttags" w:element="place">
          <w:r>
            <w:rPr>
              <w:rFonts w:cs="Arial"/>
            </w:rPr>
            <w:t>Huntington</w:t>
          </w:r>
        </w:smartTag>
      </w:smartTag>
    </w:p>
    <w:p w:rsidR="00C33309" w:rsidRDefault="00C33309" w:rsidP="003B73E1">
      <w:pPr>
        <w:jc w:val="center"/>
        <w:rPr>
          <w:rFonts w:cs="Arial"/>
        </w:rPr>
      </w:pPr>
    </w:p>
    <w:p w:rsidR="00C33309" w:rsidRDefault="00C33309" w:rsidP="003B73E1">
      <w:pPr>
        <w:jc w:val="center"/>
        <w:rPr>
          <w:rFonts w:cs="Arial"/>
        </w:rPr>
      </w:pPr>
    </w:p>
    <w:p w:rsidR="00DA1E55" w:rsidRDefault="00DA1E55" w:rsidP="00DA1E55">
      <w:pPr>
        <w:rPr>
          <w:rFonts w:cs="Arial"/>
        </w:rPr>
        <w:sectPr w:rsidR="00DA1E55" w:rsidSect="00570821">
          <w:headerReference w:type="default" r:id="rId10"/>
          <w:pgSz w:w="12240" w:h="15840" w:code="1"/>
          <w:pgMar w:top="1440" w:right="1440" w:bottom="1440" w:left="1440" w:header="720" w:footer="720" w:gutter="0"/>
          <w:cols w:space="720"/>
          <w:titlePg/>
          <w:docGrid w:linePitch="326"/>
        </w:sectPr>
      </w:pPr>
    </w:p>
    <w:p w:rsidR="0094099E" w:rsidRDefault="0094099E" w:rsidP="0094099E">
      <w:pPr>
        <w:jc w:val="center"/>
        <w:rPr>
          <w:rFonts w:cs="Arial"/>
        </w:rPr>
      </w:pPr>
      <w:r>
        <w:rPr>
          <w:rFonts w:cs="Arial"/>
        </w:rPr>
        <w:lastRenderedPageBreak/>
        <w:t>NOTICE OF RIGHTS TO REVIEW OR APPEAL</w:t>
      </w:r>
    </w:p>
    <w:p w:rsidR="0094099E" w:rsidRDefault="0094099E" w:rsidP="0094099E">
      <w:pPr>
        <w:autoSpaceDE w:val="0"/>
        <w:autoSpaceDN w:val="0"/>
        <w:jc w:val="both"/>
        <w:rPr>
          <w:rFonts w:cs="Arial"/>
        </w:rPr>
      </w:pPr>
    </w:p>
    <w:p w:rsidR="0094099E" w:rsidRDefault="0094099E" w:rsidP="0094099E">
      <w:pPr>
        <w:autoSpaceDE w:val="0"/>
        <w:autoSpaceDN w:val="0"/>
        <w:rPr>
          <w:rFonts w:cs="Arial"/>
        </w:rPr>
      </w:pPr>
      <w:r>
        <w:t xml:space="preserve">            </w:t>
      </w:r>
      <w:r>
        <w:rPr>
          <w:rFonts w:cs="Arial"/>
        </w:rPr>
        <w:t>5 M.R.S.A. § 9061 requires the Public Utilities Commission to give each party to an adjudicatory proceeding written notice of the party's rights to review or appeal of its decision made at the conclusion of the adjudicatory proceeding.  The methods of review or appeal of PUC decisions at the conclusion of an adjudicatory proceeding are as follows:</w:t>
      </w:r>
    </w:p>
    <w:p w:rsidR="0094099E" w:rsidRDefault="0094099E" w:rsidP="0094099E">
      <w:pPr>
        <w:autoSpaceDE w:val="0"/>
        <w:autoSpaceDN w:val="0"/>
        <w:rPr>
          <w:rFonts w:cs="Arial"/>
        </w:rPr>
      </w:pPr>
    </w:p>
    <w:p w:rsidR="0094099E" w:rsidRDefault="0094099E" w:rsidP="0094099E">
      <w:pPr>
        <w:autoSpaceDE w:val="0"/>
        <w:autoSpaceDN w:val="0"/>
        <w:ind w:left="720" w:hanging="720"/>
        <w:rPr>
          <w:rFonts w:cs="Arial"/>
        </w:rPr>
      </w:pPr>
      <w:r>
        <w:rPr>
          <w:rFonts w:cs="Arial"/>
        </w:rPr>
        <w:t xml:space="preserve">            1.         </w:t>
      </w:r>
      <w:r>
        <w:rPr>
          <w:rFonts w:cs="Arial"/>
          <w:u w:val="single"/>
        </w:rPr>
        <w:t>Reconsideration</w:t>
      </w:r>
      <w:r>
        <w:rPr>
          <w:rFonts w:cs="Arial"/>
        </w:rPr>
        <w:t xml:space="preserve"> of the Commission's Order may be requested under Section 1004 of the Commission's Rules of Practice and Procedure (65-407 C.M.R.110) within </w:t>
      </w:r>
      <w:r w:rsidRPr="009C4934">
        <w:rPr>
          <w:rFonts w:cs="Arial"/>
          <w:b/>
        </w:rPr>
        <w:t>20</w:t>
      </w:r>
      <w:r>
        <w:rPr>
          <w:rFonts w:cs="Arial"/>
        </w:rPr>
        <w:t xml:space="preserve"> days of the date of the Order by filing a petition with the Commission stating the grounds upon which reconsideration is sought.  Any petition not granted within </w:t>
      </w:r>
      <w:r w:rsidRPr="009C4934">
        <w:rPr>
          <w:rFonts w:cs="Arial"/>
          <w:bCs/>
        </w:rPr>
        <w:t>20</w:t>
      </w:r>
      <w:r>
        <w:rPr>
          <w:rFonts w:cs="Arial"/>
        </w:rPr>
        <w:t xml:space="preserve"> days from the date of filing is denied.</w:t>
      </w:r>
    </w:p>
    <w:p w:rsidR="0094099E" w:rsidRDefault="0094099E" w:rsidP="0094099E">
      <w:pPr>
        <w:autoSpaceDE w:val="0"/>
        <w:autoSpaceDN w:val="0"/>
        <w:rPr>
          <w:rFonts w:cs="Arial"/>
        </w:rPr>
      </w:pPr>
    </w:p>
    <w:p w:rsidR="0094099E" w:rsidRDefault="0094099E" w:rsidP="0094099E">
      <w:pPr>
        <w:autoSpaceDE w:val="0"/>
        <w:autoSpaceDN w:val="0"/>
        <w:ind w:left="720" w:hanging="720"/>
        <w:rPr>
          <w:rFonts w:cs="Arial"/>
        </w:rPr>
      </w:pPr>
      <w:r>
        <w:rPr>
          <w:rFonts w:cs="Arial"/>
        </w:rPr>
        <w:t xml:space="preserve">            2.         </w:t>
      </w:r>
      <w:r>
        <w:rPr>
          <w:rFonts w:cs="Arial"/>
          <w:u w:val="single"/>
        </w:rPr>
        <w:t>Appeal of a final decision</w:t>
      </w:r>
      <w:r>
        <w:rPr>
          <w:rFonts w:cs="Arial"/>
        </w:rPr>
        <w:t xml:space="preserve"> of the Commission may be taken to the Law Court by filing, within </w:t>
      </w:r>
      <w:r>
        <w:rPr>
          <w:rFonts w:cs="Arial"/>
          <w:b/>
          <w:bCs/>
        </w:rPr>
        <w:t>21</w:t>
      </w:r>
      <w:r>
        <w:rPr>
          <w:rFonts w:cs="Arial"/>
        </w:rPr>
        <w:t xml:space="preserve"> days of the date of the Order, a Notice of Appeal with the Administrative Director of the Commission, pursuant to 35-A M.R.S.A. § 1320(1)-(4) and the Maine Rules of Appellate Procedure.</w:t>
      </w:r>
    </w:p>
    <w:p w:rsidR="0094099E" w:rsidRDefault="0094099E" w:rsidP="0094099E">
      <w:pPr>
        <w:autoSpaceDE w:val="0"/>
        <w:autoSpaceDN w:val="0"/>
        <w:rPr>
          <w:rFonts w:cs="Arial"/>
        </w:rPr>
      </w:pPr>
    </w:p>
    <w:p w:rsidR="0094099E" w:rsidRDefault="0094099E" w:rsidP="0094099E">
      <w:pPr>
        <w:autoSpaceDE w:val="0"/>
        <w:autoSpaceDN w:val="0"/>
        <w:ind w:left="720" w:hanging="720"/>
        <w:rPr>
          <w:rFonts w:cs="Arial"/>
        </w:rPr>
      </w:pPr>
      <w:r>
        <w:rPr>
          <w:rFonts w:cs="Arial"/>
        </w:rPr>
        <w:t xml:space="preserve">            3.         </w:t>
      </w:r>
      <w:r>
        <w:rPr>
          <w:rFonts w:cs="Arial"/>
          <w:u w:val="single"/>
        </w:rPr>
        <w:t>Additional court review</w:t>
      </w:r>
      <w:r>
        <w:rPr>
          <w:rFonts w:cs="Arial"/>
        </w:rPr>
        <w:t xml:space="preserve"> of constitutional issues or issues involving the justness or reasonableness of rates may be had by the filing of an appeal with the Law Court, pursuant to 35-A M.R.S.A. § 1320(5).</w:t>
      </w:r>
    </w:p>
    <w:p w:rsidR="0094099E" w:rsidRDefault="0094099E" w:rsidP="0094099E">
      <w:pPr>
        <w:autoSpaceDE w:val="0"/>
        <w:autoSpaceDN w:val="0"/>
        <w:rPr>
          <w:rFonts w:cs="Arial"/>
        </w:rPr>
      </w:pPr>
    </w:p>
    <w:p w:rsidR="0094099E" w:rsidRDefault="0094099E" w:rsidP="0094099E">
      <w:pPr>
        <w:rPr>
          <w:rFonts w:cs="Arial"/>
          <w:sz w:val="28"/>
          <w:szCs w:val="28"/>
        </w:rPr>
      </w:pPr>
      <w:r>
        <w:rPr>
          <w:rFonts w:cs="Arial"/>
          <w:u w:val="single"/>
        </w:rPr>
        <w:t>Note</w:t>
      </w:r>
      <w:r>
        <w:rPr>
          <w:rFonts w:cs="Arial"/>
        </w:rPr>
        <w:t>:   The attachment of this Notice to a document does not indicate the Commission's view that the particular document may be subject to review or appeal.  Similarly, the failure of the Commission to attach a copy of this Notice to a document does not indicate the Commission's view that the document is not subject to review or appeal.</w:t>
      </w:r>
    </w:p>
    <w:p w:rsidR="0094099E" w:rsidRPr="00DB2683" w:rsidRDefault="0094099E" w:rsidP="0094099E">
      <w:pPr>
        <w:jc w:val="center"/>
        <w:rPr>
          <w:rFonts w:cs="Arial"/>
        </w:rPr>
      </w:pPr>
      <w:r w:rsidRPr="00DB2683">
        <w:rPr>
          <w:rFonts w:cs="Arial"/>
        </w:rPr>
        <w:t xml:space="preserve"> </w:t>
      </w:r>
    </w:p>
    <w:p w:rsidR="0094099E" w:rsidRPr="00DB2683" w:rsidRDefault="0094099E" w:rsidP="0094099E">
      <w:pPr>
        <w:rPr>
          <w:rFonts w:cs="Arial"/>
        </w:rPr>
      </w:pPr>
    </w:p>
    <w:p w:rsidR="00D57796" w:rsidRDefault="00D57796">
      <w:pPr>
        <w:pStyle w:val="DefaultText"/>
        <w:overflowPunct/>
        <w:autoSpaceDE/>
        <w:autoSpaceDN/>
        <w:adjustRightInd/>
        <w:textAlignment w:val="auto"/>
        <w:rPr>
          <w:rFonts w:ascii="Arial" w:hAnsi="Arial"/>
          <w:szCs w:val="24"/>
        </w:rPr>
      </w:pPr>
    </w:p>
    <w:sectPr w:rsidR="00D57796" w:rsidSect="00570821">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8DA" w:rsidRDefault="008308DA">
      <w:r>
        <w:separator/>
      </w:r>
    </w:p>
  </w:endnote>
  <w:endnote w:type="continuationSeparator" w:id="0">
    <w:p w:rsidR="008308DA" w:rsidRDefault="0083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8DA" w:rsidRDefault="008308DA">
      <w:r>
        <w:separator/>
      </w:r>
    </w:p>
  </w:footnote>
  <w:footnote w:type="continuationSeparator" w:id="0">
    <w:p w:rsidR="008308DA" w:rsidRDefault="008308DA">
      <w:r>
        <w:continuationSeparator/>
      </w:r>
    </w:p>
  </w:footnote>
  <w:footnote w:id="1">
    <w:p w:rsidR="00C13B09" w:rsidRDefault="00C13B09" w:rsidP="008C3849">
      <w:pPr>
        <w:pStyle w:val="FootnoteText"/>
        <w:ind w:firstLine="720"/>
        <w:rPr>
          <w:sz w:val="24"/>
          <w:szCs w:val="24"/>
        </w:rPr>
      </w:pPr>
      <w:r w:rsidRPr="008C3849">
        <w:rPr>
          <w:rStyle w:val="FootnoteReference"/>
          <w:sz w:val="24"/>
          <w:szCs w:val="24"/>
        </w:rPr>
        <w:footnoteRef/>
      </w:r>
      <w:r w:rsidRPr="008C3849">
        <w:rPr>
          <w:sz w:val="24"/>
          <w:szCs w:val="24"/>
        </w:rPr>
        <w:t xml:space="preserve"> The standard offer energy prices include t</w:t>
      </w:r>
      <w:r w:rsidR="0097455A">
        <w:rPr>
          <w:sz w:val="24"/>
          <w:szCs w:val="24"/>
        </w:rPr>
        <w:t xml:space="preserve">he energy component set by this </w:t>
      </w:r>
      <w:r w:rsidRPr="008C3849">
        <w:rPr>
          <w:sz w:val="24"/>
          <w:szCs w:val="24"/>
        </w:rPr>
        <w:t xml:space="preserve">Order, plus the line loss, uncollectible and fixed adder factors established by the </w:t>
      </w:r>
      <w:r w:rsidR="00A66ABA">
        <w:rPr>
          <w:sz w:val="24"/>
          <w:szCs w:val="24"/>
        </w:rPr>
        <w:t>Commission’s January 29, 2013</w:t>
      </w:r>
      <w:r w:rsidR="00A66ABA" w:rsidRPr="008C3849">
        <w:rPr>
          <w:sz w:val="24"/>
          <w:szCs w:val="24"/>
        </w:rPr>
        <w:t xml:space="preserve"> </w:t>
      </w:r>
      <w:r w:rsidR="0097455A">
        <w:rPr>
          <w:sz w:val="24"/>
          <w:szCs w:val="24"/>
        </w:rPr>
        <w:t xml:space="preserve">Corrected </w:t>
      </w:r>
      <w:r w:rsidRPr="008C3849">
        <w:rPr>
          <w:sz w:val="24"/>
          <w:szCs w:val="24"/>
        </w:rPr>
        <w:t>Order</w:t>
      </w:r>
      <w:r w:rsidR="00A66ABA">
        <w:rPr>
          <w:sz w:val="24"/>
          <w:szCs w:val="24"/>
        </w:rPr>
        <w:t xml:space="preserve"> in Docket No. 2012-534</w:t>
      </w:r>
      <w:r w:rsidRPr="008C3849">
        <w:rPr>
          <w:sz w:val="24"/>
          <w:szCs w:val="24"/>
        </w:rPr>
        <w:t>.</w:t>
      </w:r>
    </w:p>
    <w:p w:rsidR="00A66ABA" w:rsidRPr="008C3849" w:rsidRDefault="00A66ABA" w:rsidP="008C3849">
      <w:pPr>
        <w:pStyle w:val="FootnoteText"/>
        <w:ind w:firstLine="720"/>
        <w:rPr>
          <w:sz w:val="24"/>
          <w:szCs w:val="24"/>
        </w:rPr>
      </w:pPr>
    </w:p>
  </w:footnote>
  <w:footnote w:id="2">
    <w:p w:rsidR="00C13B09" w:rsidRDefault="00C13B09" w:rsidP="00455BC1">
      <w:pPr>
        <w:pStyle w:val="FootnoteText"/>
        <w:ind w:firstLine="720"/>
        <w:rPr>
          <w:sz w:val="24"/>
          <w:szCs w:val="24"/>
        </w:rPr>
      </w:pPr>
      <w:r w:rsidRPr="00DF3585">
        <w:rPr>
          <w:rStyle w:val="FootnoteReference"/>
          <w:sz w:val="24"/>
          <w:szCs w:val="24"/>
        </w:rPr>
        <w:footnoteRef/>
      </w:r>
      <w:r w:rsidRPr="00DF3585">
        <w:rPr>
          <w:sz w:val="24"/>
          <w:szCs w:val="24"/>
        </w:rPr>
        <w:t xml:space="preserve"> </w:t>
      </w:r>
      <w:r>
        <w:rPr>
          <w:sz w:val="24"/>
          <w:szCs w:val="24"/>
        </w:rPr>
        <w:t xml:space="preserve">The Commission </w:t>
      </w:r>
      <w:r w:rsidRPr="00DF3585">
        <w:rPr>
          <w:sz w:val="24"/>
          <w:szCs w:val="24"/>
        </w:rPr>
        <w:t>delegate</w:t>
      </w:r>
      <w:r>
        <w:rPr>
          <w:sz w:val="24"/>
          <w:szCs w:val="24"/>
        </w:rPr>
        <w:t>d</w:t>
      </w:r>
      <w:r w:rsidRPr="00DF3585">
        <w:rPr>
          <w:sz w:val="24"/>
          <w:szCs w:val="24"/>
        </w:rPr>
        <w:t xml:space="preserve"> to the Director of Electricity &amp; Gas Utility Industries the authority to de</w:t>
      </w:r>
      <w:r>
        <w:rPr>
          <w:sz w:val="24"/>
          <w:szCs w:val="24"/>
        </w:rPr>
        <w:t xml:space="preserve">termine the energy prices each month pursuant to the pricing methodology specified in the </w:t>
      </w:r>
      <w:r w:rsidR="009D363D">
        <w:rPr>
          <w:sz w:val="24"/>
          <w:szCs w:val="24"/>
        </w:rPr>
        <w:t>January 29, 2013</w:t>
      </w:r>
      <w:r>
        <w:rPr>
          <w:sz w:val="24"/>
          <w:szCs w:val="24"/>
        </w:rPr>
        <w:t xml:space="preserve"> </w:t>
      </w:r>
      <w:r w:rsidR="0097455A">
        <w:rPr>
          <w:sz w:val="24"/>
          <w:szCs w:val="24"/>
        </w:rPr>
        <w:t xml:space="preserve">Corrected </w:t>
      </w:r>
      <w:r>
        <w:rPr>
          <w:sz w:val="24"/>
          <w:szCs w:val="24"/>
        </w:rPr>
        <w:t xml:space="preserve">Order.  </w:t>
      </w:r>
    </w:p>
    <w:p w:rsidR="00C13B09" w:rsidRPr="00DF3585" w:rsidRDefault="00C13B09" w:rsidP="00455BC1">
      <w:pPr>
        <w:pStyle w:val="FootnoteText"/>
        <w:ind w:firstLine="720"/>
        <w:rPr>
          <w:sz w:val="24"/>
          <w:szCs w:val="24"/>
        </w:rPr>
      </w:pPr>
    </w:p>
  </w:footnote>
  <w:footnote w:id="3">
    <w:p w:rsidR="00C13B09" w:rsidRPr="00A63DE8" w:rsidRDefault="00C13B09" w:rsidP="00A63DE8">
      <w:pPr>
        <w:pStyle w:val="FootnoteText"/>
        <w:ind w:firstLine="720"/>
        <w:rPr>
          <w:sz w:val="24"/>
          <w:szCs w:val="24"/>
        </w:rPr>
      </w:pPr>
      <w:r w:rsidRPr="00A63DE8">
        <w:rPr>
          <w:rStyle w:val="FootnoteReference"/>
          <w:sz w:val="24"/>
          <w:szCs w:val="24"/>
        </w:rPr>
        <w:footnoteRef/>
      </w:r>
      <w:r w:rsidRPr="00A63DE8">
        <w:rPr>
          <w:sz w:val="24"/>
          <w:szCs w:val="24"/>
        </w:rPr>
        <w:t xml:space="preserve"> In this Order, the “energy” prices refer to all components of the price that are billed on a kWh basis, includ</w:t>
      </w:r>
      <w:r>
        <w:rPr>
          <w:sz w:val="24"/>
          <w:szCs w:val="24"/>
        </w:rPr>
        <w:t>ing line losses and the adders.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09" w:rsidRDefault="00C13B09" w:rsidP="007445DC">
    <w:pPr>
      <w:pStyle w:val="Header"/>
      <w:tabs>
        <w:tab w:val="clear" w:pos="8640"/>
        <w:tab w:val="right" w:pos="9360"/>
      </w:tabs>
      <w:rPr>
        <w:b/>
        <w:bCs/>
        <w:u w:val="single"/>
      </w:rPr>
    </w:pPr>
    <w:r>
      <w:rPr>
        <w:b/>
        <w:bCs/>
        <w:u w:val="single"/>
      </w:rPr>
      <w:t>Order Setting Standard Offer…</w:t>
    </w:r>
    <w:r>
      <w:rPr>
        <w:b/>
        <w:bCs/>
        <w:u w:val="single"/>
      </w:rPr>
      <w:tab/>
    </w:r>
    <w:r>
      <w:rPr>
        <w:rStyle w:val="PageNumber"/>
        <w:b/>
        <w:bCs/>
        <w:u w:val="single"/>
      </w:rPr>
      <w:fldChar w:fldCharType="begin"/>
    </w:r>
    <w:r>
      <w:rPr>
        <w:rStyle w:val="PageNumber"/>
        <w:b/>
        <w:bCs/>
        <w:u w:val="single"/>
      </w:rPr>
      <w:instrText xml:space="preserve"> PAGE </w:instrText>
    </w:r>
    <w:r>
      <w:rPr>
        <w:rStyle w:val="PageNumber"/>
        <w:b/>
        <w:bCs/>
        <w:u w:val="single"/>
      </w:rPr>
      <w:fldChar w:fldCharType="separate"/>
    </w:r>
    <w:r w:rsidR="0067014F">
      <w:rPr>
        <w:rStyle w:val="PageNumber"/>
        <w:b/>
        <w:bCs/>
        <w:noProof/>
        <w:u w:val="single"/>
      </w:rPr>
      <w:t>2</w:t>
    </w:r>
    <w:r>
      <w:rPr>
        <w:rStyle w:val="PageNumber"/>
        <w:b/>
        <w:bCs/>
        <w:u w:val="single"/>
      </w:rPr>
      <w:fldChar w:fldCharType="end"/>
    </w:r>
    <w:r>
      <w:rPr>
        <w:rStyle w:val="PageNumber"/>
        <w:b/>
        <w:bCs/>
        <w:u w:val="single"/>
      </w:rPr>
      <w:tab/>
      <w:t>Docket No. 201</w:t>
    </w:r>
    <w:r w:rsidR="00E442D8">
      <w:rPr>
        <w:rStyle w:val="PageNumber"/>
        <w:b/>
        <w:bCs/>
        <w:u w:val="single"/>
      </w:rPr>
      <w:t>2</w:t>
    </w:r>
    <w:r>
      <w:rPr>
        <w:rStyle w:val="PageNumber"/>
        <w:b/>
        <w:bCs/>
        <w:u w:val="single"/>
      </w:rPr>
      <w:t>-</w:t>
    </w:r>
    <w:r w:rsidR="00E32FD4">
      <w:rPr>
        <w:rStyle w:val="PageNumber"/>
        <w:b/>
        <w:bCs/>
        <w:u w:val="single"/>
      </w:rPr>
      <w:t>534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7971"/>
    <w:multiLevelType w:val="hybridMultilevel"/>
    <w:tmpl w:val="6BDC69A2"/>
    <w:lvl w:ilvl="0" w:tplc="DF4020CA">
      <w:start w:val="4"/>
      <w:numFmt w:val="bullet"/>
      <w:lvlText w:val="-"/>
      <w:lvlJc w:val="left"/>
      <w:pPr>
        <w:tabs>
          <w:tab w:val="num" w:pos="1440"/>
        </w:tabs>
        <w:ind w:left="1440" w:hanging="72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D8444BD"/>
    <w:multiLevelType w:val="hybridMultilevel"/>
    <w:tmpl w:val="A5E27E90"/>
    <w:lvl w:ilvl="0" w:tplc="AD980A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724768D5"/>
    <w:multiLevelType w:val="hybridMultilevel"/>
    <w:tmpl w:val="B08EAE1A"/>
    <w:lvl w:ilvl="0" w:tplc="367A4DB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DC"/>
    <w:rsid w:val="00010F68"/>
    <w:rsid w:val="0001650C"/>
    <w:rsid w:val="00032D06"/>
    <w:rsid w:val="00033F58"/>
    <w:rsid w:val="000342DD"/>
    <w:rsid w:val="00042C26"/>
    <w:rsid w:val="0004343A"/>
    <w:rsid w:val="00043466"/>
    <w:rsid w:val="00060CF0"/>
    <w:rsid w:val="0008072A"/>
    <w:rsid w:val="00084D88"/>
    <w:rsid w:val="0008640B"/>
    <w:rsid w:val="000974C2"/>
    <w:rsid w:val="000A037D"/>
    <w:rsid w:val="000A624F"/>
    <w:rsid w:val="000B2628"/>
    <w:rsid w:val="000B3BD6"/>
    <w:rsid w:val="000C14C1"/>
    <w:rsid w:val="000C2BDD"/>
    <w:rsid w:val="000C4416"/>
    <w:rsid w:val="000C5FF2"/>
    <w:rsid w:val="000D1684"/>
    <w:rsid w:val="000F2B34"/>
    <w:rsid w:val="001136E1"/>
    <w:rsid w:val="001157DA"/>
    <w:rsid w:val="00117913"/>
    <w:rsid w:val="00126A73"/>
    <w:rsid w:val="00131454"/>
    <w:rsid w:val="00132FE8"/>
    <w:rsid w:val="001433F7"/>
    <w:rsid w:val="00145788"/>
    <w:rsid w:val="001474A2"/>
    <w:rsid w:val="001529BC"/>
    <w:rsid w:val="001566E2"/>
    <w:rsid w:val="00171F1C"/>
    <w:rsid w:val="0017232F"/>
    <w:rsid w:val="00177C8C"/>
    <w:rsid w:val="001807EA"/>
    <w:rsid w:val="00187BDA"/>
    <w:rsid w:val="001A58A0"/>
    <w:rsid w:val="001A6BA3"/>
    <w:rsid w:val="001C178A"/>
    <w:rsid w:val="001C1E83"/>
    <w:rsid w:val="001C31C3"/>
    <w:rsid w:val="001D02BC"/>
    <w:rsid w:val="001E0FEF"/>
    <w:rsid w:val="001E5964"/>
    <w:rsid w:val="001F0B7F"/>
    <w:rsid w:val="001F2266"/>
    <w:rsid w:val="001F680B"/>
    <w:rsid w:val="001F7A61"/>
    <w:rsid w:val="00201312"/>
    <w:rsid w:val="00202D69"/>
    <w:rsid w:val="00221237"/>
    <w:rsid w:val="0023083B"/>
    <w:rsid w:val="002310EC"/>
    <w:rsid w:val="00256EB3"/>
    <w:rsid w:val="00260784"/>
    <w:rsid w:val="002638A4"/>
    <w:rsid w:val="00270B56"/>
    <w:rsid w:val="00281718"/>
    <w:rsid w:val="00284B5F"/>
    <w:rsid w:val="00285B0B"/>
    <w:rsid w:val="002A427C"/>
    <w:rsid w:val="002A4357"/>
    <w:rsid w:val="002A5F72"/>
    <w:rsid w:val="002B3209"/>
    <w:rsid w:val="002C452A"/>
    <w:rsid w:val="002C7D44"/>
    <w:rsid w:val="002D208A"/>
    <w:rsid w:val="002D3815"/>
    <w:rsid w:val="002D613A"/>
    <w:rsid w:val="002E7C6D"/>
    <w:rsid w:val="002F03DE"/>
    <w:rsid w:val="002F0595"/>
    <w:rsid w:val="00301A0A"/>
    <w:rsid w:val="00312714"/>
    <w:rsid w:val="00312A56"/>
    <w:rsid w:val="00323A3B"/>
    <w:rsid w:val="003368D4"/>
    <w:rsid w:val="00337DA5"/>
    <w:rsid w:val="003408D2"/>
    <w:rsid w:val="00344627"/>
    <w:rsid w:val="0036299E"/>
    <w:rsid w:val="003747E8"/>
    <w:rsid w:val="003752FC"/>
    <w:rsid w:val="00380266"/>
    <w:rsid w:val="00386E91"/>
    <w:rsid w:val="003877CB"/>
    <w:rsid w:val="003A02B2"/>
    <w:rsid w:val="003A13C5"/>
    <w:rsid w:val="003A16E2"/>
    <w:rsid w:val="003B502E"/>
    <w:rsid w:val="003B73E1"/>
    <w:rsid w:val="003B7F03"/>
    <w:rsid w:val="003C369E"/>
    <w:rsid w:val="003C7230"/>
    <w:rsid w:val="003E032D"/>
    <w:rsid w:val="003E6648"/>
    <w:rsid w:val="003E7F80"/>
    <w:rsid w:val="003F0E1D"/>
    <w:rsid w:val="003F4BBB"/>
    <w:rsid w:val="00400639"/>
    <w:rsid w:val="00401B78"/>
    <w:rsid w:val="0040226C"/>
    <w:rsid w:val="004279F4"/>
    <w:rsid w:val="004327FB"/>
    <w:rsid w:val="00434DF4"/>
    <w:rsid w:val="00434F53"/>
    <w:rsid w:val="00437051"/>
    <w:rsid w:val="0044170C"/>
    <w:rsid w:val="00441C79"/>
    <w:rsid w:val="00446727"/>
    <w:rsid w:val="00453CA6"/>
    <w:rsid w:val="00455BC1"/>
    <w:rsid w:val="00456CF0"/>
    <w:rsid w:val="00462F17"/>
    <w:rsid w:val="0046474D"/>
    <w:rsid w:val="00465399"/>
    <w:rsid w:val="004850AA"/>
    <w:rsid w:val="004875AA"/>
    <w:rsid w:val="0049068B"/>
    <w:rsid w:val="00493F89"/>
    <w:rsid w:val="00494BD6"/>
    <w:rsid w:val="004A76A8"/>
    <w:rsid w:val="004B278F"/>
    <w:rsid w:val="004B4748"/>
    <w:rsid w:val="004C2E26"/>
    <w:rsid w:val="004D2424"/>
    <w:rsid w:val="004D78B2"/>
    <w:rsid w:val="00500F9C"/>
    <w:rsid w:val="005033D6"/>
    <w:rsid w:val="00506110"/>
    <w:rsid w:val="00510C62"/>
    <w:rsid w:val="00511E5A"/>
    <w:rsid w:val="00514B2C"/>
    <w:rsid w:val="00514DF8"/>
    <w:rsid w:val="00530E01"/>
    <w:rsid w:val="00535C98"/>
    <w:rsid w:val="00537279"/>
    <w:rsid w:val="0053752E"/>
    <w:rsid w:val="00537BD9"/>
    <w:rsid w:val="005426D9"/>
    <w:rsid w:val="00544286"/>
    <w:rsid w:val="00552E85"/>
    <w:rsid w:val="00556855"/>
    <w:rsid w:val="00566D2A"/>
    <w:rsid w:val="00567018"/>
    <w:rsid w:val="00570821"/>
    <w:rsid w:val="00570E72"/>
    <w:rsid w:val="00576B93"/>
    <w:rsid w:val="00584605"/>
    <w:rsid w:val="00585747"/>
    <w:rsid w:val="0059596B"/>
    <w:rsid w:val="005A164B"/>
    <w:rsid w:val="005B3460"/>
    <w:rsid w:val="005B5FF0"/>
    <w:rsid w:val="005B7BE9"/>
    <w:rsid w:val="005C1195"/>
    <w:rsid w:val="005C3DFC"/>
    <w:rsid w:val="005C4141"/>
    <w:rsid w:val="005D1C7C"/>
    <w:rsid w:val="005D2D8F"/>
    <w:rsid w:val="005D670A"/>
    <w:rsid w:val="005D7BC3"/>
    <w:rsid w:val="005F0C36"/>
    <w:rsid w:val="005F7A6C"/>
    <w:rsid w:val="00605C94"/>
    <w:rsid w:val="00607544"/>
    <w:rsid w:val="00612B42"/>
    <w:rsid w:val="00620AF5"/>
    <w:rsid w:val="006342C5"/>
    <w:rsid w:val="00634C7F"/>
    <w:rsid w:val="006429E5"/>
    <w:rsid w:val="0064644B"/>
    <w:rsid w:val="00650DBF"/>
    <w:rsid w:val="00665149"/>
    <w:rsid w:val="0067014F"/>
    <w:rsid w:val="006760E7"/>
    <w:rsid w:val="00677649"/>
    <w:rsid w:val="0068106D"/>
    <w:rsid w:val="00684AC0"/>
    <w:rsid w:val="0069358D"/>
    <w:rsid w:val="006965A6"/>
    <w:rsid w:val="006A06E0"/>
    <w:rsid w:val="006A0D0D"/>
    <w:rsid w:val="006A1AD5"/>
    <w:rsid w:val="006A3531"/>
    <w:rsid w:val="006A3861"/>
    <w:rsid w:val="006A484B"/>
    <w:rsid w:val="006C52D1"/>
    <w:rsid w:val="006D5512"/>
    <w:rsid w:val="006D7180"/>
    <w:rsid w:val="006E7B57"/>
    <w:rsid w:val="007017CB"/>
    <w:rsid w:val="00702D93"/>
    <w:rsid w:val="00703039"/>
    <w:rsid w:val="007125B8"/>
    <w:rsid w:val="007179C6"/>
    <w:rsid w:val="007229CD"/>
    <w:rsid w:val="00730017"/>
    <w:rsid w:val="007305A5"/>
    <w:rsid w:val="0073194D"/>
    <w:rsid w:val="0073445A"/>
    <w:rsid w:val="00737F33"/>
    <w:rsid w:val="00741207"/>
    <w:rsid w:val="007445DC"/>
    <w:rsid w:val="00750715"/>
    <w:rsid w:val="00755A85"/>
    <w:rsid w:val="00757BFD"/>
    <w:rsid w:val="00760971"/>
    <w:rsid w:val="00761AFA"/>
    <w:rsid w:val="00765AA8"/>
    <w:rsid w:val="00766EAE"/>
    <w:rsid w:val="00777251"/>
    <w:rsid w:val="0078286C"/>
    <w:rsid w:val="007A1D8A"/>
    <w:rsid w:val="007A4E4B"/>
    <w:rsid w:val="007B4969"/>
    <w:rsid w:val="007B777A"/>
    <w:rsid w:val="007B79C0"/>
    <w:rsid w:val="007D1474"/>
    <w:rsid w:val="007D23C3"/>
    <w:rsid w:val="007D2487"/>
    <w:rsid w:val="007D3DCB"/>
    <w:rsid w:val="007D7D20"/>
    <w:rsid w:val="007E0843"/>
    <w:rsid w:val="007E3F6B"/>
    <w:rsid w:val="007E75E1"/>
    <w:rsid w:val="007E7766"/>
    <w:rsid w:val="007F2FB2"/>
    <w:rsid w:val="007F3683"/>
    <w:rsid w:val="00815355"/>
    <w:rsid w:val="008162A4"/>
    <w:rsid w:val="008308DA"/>
    <w:rsid w:val="008343E2"/>
    <w:rsid w:val="00836125"/>
    <w:rsid w:val="008369FF"/>
    <w:rsid w:val="00844305"/>
    <w:rsid w:val="00846D58"/>
    <w:rsid w:val="00847C97"/>
    <w:rsid w:val="00862C63"/>
    <w:rsid w:val="0086395C"/>
    <w:rsid w:val="008647A6"/>
    <w:rsid w:val="0087057B"/>
    <w:rsid w:val="0087435B"/>
    <w:rsid w:val="008805AF"/>
    <w:rsid w:val="00882C10"/>
    <w:rsid w:val="00885685"/>
    <w:rsid w:val="00890FEA"/>
    <w:rsid w:val="00892012"/>
    <w:rsid w:val="008A5602"/>
    <w:rsid w:val="008A7EEC"/>
    <w:rsid w:val="008C3849"/>
    <w:rsid w:val="008C7215"/>
    <w:rsid w:val="008D78BF"/>
    <w:rsid w:val="008E0C48"/>
    <w:rsid w:val="008E6F93"/>
    <w:rsid w:val="008F516E"/>
    <w:rsid w:val="009017FB"/>
    <w:rsid w:val="00921C0D"/>
    <w:rsid w:val="00922C53"/>
    <w:rsid w:val="00924D02"/>
    <w:rsid w:val="00930203"/>
    <w:rsid w:val="009317B2"/>
    <w:rsid w:val="009321A0"/>
    <w:rsid w:val="0093629D"/>
    <w:rsid w:val="0094099E"/>
    <w:rsid w:val="009425C3"/>
    <w:rsid w:val="00944FF9"/>
    <w:rsid w:val="0094635A"/>
    <w:rsid w:val="009547B6"/>
    <w:rsid w:val="00960D37"/>
    <w:rsid w:val="0097455A"/>
    <w:rsid w:val="009772AB"/>
    <w:rsid w:val="0098088F"/>
    <w:rsid w:val="00986DFC"/>
    <w:rsid w:val="00991D38"/>
    <w:rsid w:val="00992AD8"/>
    <w:rsid w:val="00995880"/>
    <w:rsid w:val="009A5A1F"/>
    <w:rsid w:val="009C0F0E"/>
    <w:rsid w:val="009C7B2A"/>
    <w:rsid w:val="009D363D"/>
    <w:rsid w:val="009D59FF"/>
    <w:rsid w:val="009E5639"/>
    <w:rsid w:val="009E68F3"/>
    <w:rsid w:val="009F1148"/>
    <w:rsid w:val="009F767E"/>
    <w:rsid w:val="00A02699"/>
    <w:rsid w:val="00A079C8"/>
    <w:rsid w:val="00A10A27"/>
    <w:rsid w:val="00A2280A"/>
    <w:rsid w:val="00A2480E"/>
    <w:rsid w:val="00A35185"/>
    <w:rsid w:val="00A37E8B"/>
    <w:rsid w:val="00A40390"/>
    <w:rsid w:val="00A4091B"/>
    <w:rsid w:val="00A4374E"/>
    <w:rsid w:val="00A51BAF"/>
    <w:rsid w:val="00A63DE8"/>
    <w:rsid w:val="00A66986"/>
    <w:rsid w:val="00A66ABA"/>
    <w:rsid w:val="00A74E93"/>
    <w:rsid w:val="00A75E07"/>
    <w:rsid w:val="00A81964"/>
    <w:rsid w:val="00A840F7"/>
    <w:rsid w:val="00A963F9"/>
    <w:rsid w:val="00A96789"/>
    <w:rsid w:val="00AA5184"/>
    <w:rsid w:val="00AB0A47"/>
    <w:rsid w:val="00AB11CC"/>
    <w:rsid w:val="00AC0AF8"/>
    <w:rsid w:val="00AC5C6F"/>
    <w:rsid w:val="00AD0F95"/>
    <w:rsid w:val="00AD2A42"/>
    <w:rsid w:val="00AD6ADE"/>
    <w:rsid w:val="00AE29A5"/>
    <w:rsid w:val="00AE38B6"/>
    <w:rsid w:val="00AE6FA1"/>
    <w:rsid w:val="00AF2AC9"/>
    <w:rsid w:val="00AF7F6F"/>
    <w:rsid w:val="00B03C0D"/>
    <w:rsid w:val="00B03CE7"/>
    <w:rsid w:val="00B0582D"/>
    <w:rsid w:val="00B0714B"/>
    <w:rsid w:val="00B10504"/>
    <w:rsid w:val="00B24CC6"/>
    <w:rsid w:val="00B25FF1"/>
    <w:rsid w:val="00B272B4"/>
    <w:rsid w:val="00B315DB"/>
    <w:rsid w:val="00B37FD6"/>
    <w:rsid w:val="00B44D28"/>
    <w:rsid w:val="00B45FC9"/>
    <w:rsid w:val="00B7724D"/>
    <w:rsid w:val="00B83942"/>
    <w:rsid w:val="00B8537F"/>
    <w:rsid w:val="00B87E18"/>
    <w:rsid w:val="00BB40C1"/>
    <w:rsid w:val="00BB52A3"/>
    <w:rsid w:val="00BB7BCC"/>
    <w:rsid w:val="00BB7E24"/>
    <w:rsid w:val="00BC41BC"/>
    <w:rsid w:val="00BC4D8E"/>
    <w:rsid w:val="00BD0433"/>
    <w:rsid w:val="00BD4955"/>
    <w:rsid w:val="00BD5C73"/>
    <w:rsid w:val="00BD5E13"/>
    <w:rsid w:val="00BE3E90"/>
    <w:rsid w:val="00BF0EA1"/>
    <w:rsid w:val="00C042F2"/>
    <w:rsid w:val="00C13B09"/>
    <w:rsid w:val="00C253F0"/>
    <w:rsid w:val="00C25876"/>
    <w:rsid w:val="00C31B95"/>
    <w:rsid w:val="00C33309"/>
    <w:rsid w:val="00C428DF"/>
    <w:rsid w:val="00C45811"/>
    <w:rsid w:val="00C6176F"/>
    <w:rsid w:val="00C64E2C"/>
    <w:rsid w:val="00C7092F"/>
    <w:rsid w:val="00C7260F"/>
    <w:rsid w:val="00C73790"/>
    <w:rsid w:val="00C80AEC"/>
    <w:rsid w:val="00C860CE"/>
    <w:rsid w:val="00C90D1B"/>
    <w:rsid w:val="00CA6067"/>
    <w:rsid w:val="00CB48DC"/>
    <w:rsid w:val="00CB48F5"/>
    <w:rsid w:val="00CC613D"/>
    <w:rsid w:val="00CC6CA2"/>
    <w:rsid w:val="00CD0456"/>
    <w:rsid w:val="00CD5360"/>
    <w:rsid w:val="00CD79F4"/>
    <w:rsid w:val="00CE6B38"/>
    <w:rsid w:val="00CF06C0"/>
    <w:rsid w:val="00CF1D6C"/>
    <w:rsid w:val="00CF3AD6"/>
    <w:rsid w:val="00CF400D"/>
    <w:rsid w:val="00CF4D76"/>
    <w:rsid w:val="00D00D38"/>
    <w:rsid w:val="00D055C2"/>
    <w:rsid w:val="00D31D78"/>
    <w:rsid w:val="00D33D53"/>
    <w:rsid w:val="00D355A1"/>
    <w:rsid w:val="00D528E4"/>
    <w:rsid w:val="00D5386B"/>
    <w:rsid w:val="00D57796"/>
    <w:rsid w:val="00D64179"/>
    <w:rsid w:val="00D653A8"/>
    <w:rsid w:val="00D65C82"/>
    <w:rsid w:val="00D70481"/>
    <w:rsid w:val="00D95DD2"/>
    <w:rsid w:val="00DA1E55"/>
    <w:rsid w:val="00DA29E6"/>
    <w:rsid w:val="00DA6F19"/>
    <w:rsid w:val="00DA73AA"/>
    <w:rsid w:val="00DB6B54"/>
    <w:rsid w:val="00DC0784"/>
    <w:rsid w:val="00DC7D3F"/>
    <w:rsid w:val="00DD1263"/>
    <w:rsid w:val="00DF3585"/>
    <w:rsid w:val="00E07116"/>
    <w:rsid w:val="00E11C6D"/>
    <w:rsid w:val="00E20916"/>
    <w:rsid w:val="00E215C0"/>
    <w:rsid w:val="00E24D18"/>
    <w:rsid w:val="00E25A3E"/>
    <w:rsid w:val="00E27421"/>
    <w:rsid w:val="00E32FD4"/>
    <w:rsid w:val="00E345B4"/>
    <w:rsid w:val="00E36D1C"/>
    <w:rsid w:val="00E442D8"/>
    <w:rsid w:val="00E466A6"/>
    <w:rsid w:val="00E50FE9"/>
    <w:rsid w:val="00E53810"/>
    <w:rsid w:val="00E5418A"/>
    <w:rsid w:val="00E54CDD"/>
    <w:rsid w:val="00E67A36"/>
    <w:rsid w:val="00E748D7"/>
    <w:rsid w:val="00E8002E"/>
    <w:rsid w:val="00E83250"/>
    <w:rsid w:val="00E8552D"/>
    <w:rsid w:val="00E907CE"/>
    <w:rsid w:val="00E91415"/>
    <w:rsid w:val="00EA3324"/>
    <w:rsid w:val="00EB2694"/>
    <w:rsid w:val="00EC3537"/>
    <w:rsid w:val="00ED3303"/>
    <w:rsid w:val="00ED6828"/>
    <w:rsid w:val="00ED6E9D"/>
    <w:rsid w:val="00ED7CA2"/>
    <w:rsid w:val="00EE2207"/>
    <w:rsid w:val="00EE428B"/>
    <w:rsid w:val="00EE74B8"/>
    <w:rsid w:val="00EF1187"/>
    <w:rsid w:val="00EF2D55"/>
    <w:rsid w:val="00EF3F0F"/>
    <w:rsid w:val="00EF6829"/>
    <w:rsid w:val="00F036B9"/>
    <w:rsid w:val="00F1504C"/>
    <w:rsid w:val="00F152BE"/>
    <w:rsid w:val="00F177A0"/>
    <w:rsid w:val="00F22FEB"/>
    <w:rsid w:val="00F3044B"/>
    <w:rsid w:val="00F327B8"/>
    <w:rsid w:val="00F355E2"/>
    <w:rsid w:val="00F41968"/>
    <w:rsid w:val="00F52091"/>
    <w:rsid w:val="00F5332E"/>
    <w:rsid w:val="00F74877"/>
    <w:rsid w:val="00F771D9"/>
    <w:rsid w:val="00F828F4"/>
    <w:rsid w:val="00F8311B"/>
    <w:rsid w:val="00F86F3A"/>
    <w:rsid w:val="00F87967"/>
    <w:rsid w:val="00F919C6"/>
    <w:rsid w:val="00F92709"/>
    <w:rsid w:val="00F95AA5"/>
    <w:rsid w:val="00FA02D2"/>
    <w:rsid w:val="00FA1421"/>
    <w:rsid w:val="00FA17EC"/>
    <w:rsid w:val="00FB02CD"/>
    <w:rsid w:val="00FC4231"/>
    <w:rsid w:val="00FD13E0"/>
    <w:rsid w:val="00FD5739"/>
    <w:rsid w:val="00FE55CA"/>
    <w:rsid w:val="00FF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DFC"/>
    <w:rPr>
      <w:rFonts w:ascii="Arial" w:hAnsi="Arial"/>
      <w:sz w:val="24"/>
      <w:szCs w:val="24"/>
    </w:rPr>
  </w:style>
  <w:style w:type="paragraph" w:styleId="Heading1">
    <w:name w:val="heading 1"/>
    <w:basedOn w:val="Normal"/>
    <w:next w:val="Normal"/>
    <w:link w:val="Heading1Char"/>
    <w:qFormat/>
    <w:rsid w:val="00986DFC"/>
    <w:pPr>
      <w:keepNext/>
      <w:outlineLvl w:val="0"/>
    </w:pPr>
    <w:rPr>
      <w:b/>
      <w:bCs/>
    </w:rPr>
  </w:style>
  <w:style w:type="paragraph" w:styleId="Heading2">
    <w:name w:val="heading 2"/>
    <w:basedOn w:val="Normal"/>
    <w:next w:val="Normal"/>
    <w:link w:val="Heading2Char"/>
    <w:qFormat/>
    <w:rsid w:val="00986DFC"/>
    <w:pPr>
      <w:keepNext/>
      <w:spacing w:line="48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37FD6"/>
    <w:rPr>
      <w:rFonts w:ascii="Tahoma" w:hAnsi="Tahoma" w:cs="Tahoma"/>
      <w:sz w:val="16"/>
      <w:szCs w:val="16"/>
    </w:rPr>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sz w:val="28"/>
      <w:szCs w:val="28"/>
    </w:rPr>
  </w:style>
  <w:style w:type="paragraph" w:customStyle="1" w:styleId="DefaultText">
    <w:name w:val="Default Text"/>
    <w:basedOn w:val="Normal"/>
    <w:rsid w:val="00986DFC"/>
    <w:pPr>
      <w:overflowPunct w:val="0"/>
      <w:autoSpaceDE w:val="0"/>
      <w:autoSpaceDN w:val="0"/>
      <w:adjustRightInd w:val="0"/>
      <w:textAlignment w:val="baseline"/>
    </w:pPr>
    <w:rPr>
      <w:rFonts w:ascii="Times New Roman" w:hAnsi="Times New Roman"/>
      <w:szCs w:val="20"/>
    </w:rPr>
  </w:style>
  <w:style w:type="character" w:customStyle="1" w:styleId="InitialStyle">
    <w:name w:val="InitialStyle"/>
    <w:rsid w:val="00986DFC"/>
    <w:rPr>
      <w:rFonts w:ascii="Times New Roman" w:hAnsi="Times New Roman"/>
      <w:color w:val="auto"/>
      <w:spacing w:val="0"/>
      <w:sz w:val="24"/>
    </w:rPr>
  </w:style>
  <w:style w:type="paragraph" w:styleId="BodyText2">
    <w:name w:val="Body Text 2"/>
    <w:basedOn w:val="Normal"/>
    <w:link w:val="BodyText2Char"/>
    <w:rsid w:val="00986DFC"/>
    <w:pPr>
      <w:jc w:val="center"/>
    </w:pPr>
    <w:rPr>
      <w:szCs w:val="20"/>
    </w:rPr>
  </w:style>
  <w:style w:type="character" w:customStyle="1" w:styleId="BodyText2Char">
    <w:name w:val="Body Text 2 Char"/>
    <w:basedOn w:val="DefaultParagraphFont"/>
    <w:link w:val="BodyText2"/>
    <w:semiHidden/>
    <w:locked/>
    <w:rPr>
      <w:rFonts w:ascii="Arial" w:hAnsi="Arial" w:cs="Times New Roman"/>
      <w:sz w:val="24"/>
      <w:szCs w:val="24"/>
    </w:rPr>
  </w:style>
  <w:style w:type="paragraph" w:styleId="FootnoteText">
    <w:name w:val="footnote text"/>
    <w:basedOn w:val="Normal"/>
    <w:link w:val="FootnoteTextChar"/>
    <w:semiHidden/>
    <w:rsid w:val="00986DFC"/>
    <w:rPr>
      <w:sz w:val="20"/>
      <w:szCs w:val="20"/>
    </w:rPr>
  </w:style>
  <w:style w:type="character" w:customStyle="1" w:styleId="FootnoteTextChar">
    <w:name w:val="Footnote Text Char"/>
    <w:basedOn w:val="DefaultParagraphFont"/>
    <w:link w:val="FootnoteText"/>
    <w:semiHidden/>
    <w:locked/>
    <w:rPr>
      <w:rFonts w:ascii="Arial" w:hAnsi="Arial" w:cs="Times New Roman"/>
    </w:rPr>
  </w:style>
  <w:style w:type="character" w:styleId="FootnoteReference">
    <w:name w:val="footnote reference"/>
    <w:basedOn w:val="DefaultParagraphFont"/>
    <w:semiHidden/>
    <w:rsid w:val="00986DFC"/>
    <w:rPr>
      <w:rFonts w:cs="Times New Roman"/>
      <w:vertAlign w:val="superscript"/>
    </w:rPr>
  </w:style>
  <w:style w:type="paragraph" w:styleId="Header">
    <w:name w:val="header"/>
    <w:basedOn w:val="Normal"/>
    <w:link w:val="HeaderChar"/>
    <w:rsid w:val="00986DFC"/>
    <w:pPr>
      <w:tabs>
        <w:tab w:val="center" w:pos="4320"/>
        <w:tab w:val="right" w:pos="8640"/>
      </w:tabs>
    </w:pPr>
  </w:style>
  <w:style w:type="character" w:customStyle="1" w:styleId="HeaderChar">
    <w:name w:val="Header Char"/>
    <w:basedOn w:val="DefaultParagraphFont"/>
    <w:link w:val="Header"/>
    <w:semiHidden/>
    <w:locked/>
    <w:rPr>
      <w:rFonts w:ascii="Arial" w:hAnsi="Arial" w:cs="Times New Roman"/>
      <w:sz w:val="24"/>
      <w:szCs w:val="24"/>
    </w:rPr>
  </w:style>
  <w:style w:type="paragraph" w:styleId="Footer">
    <w:name w:val="footer"/>
    <w:basedOn w:val="Normal"/>
    <w:link w:val="FooterChar"/>
    <w:rsid w:val="00986DFC"/>
    <w:pPr>
      <w:tabs>
        <w:tab w:val="center" w:pos="4320"/>
        <w:tab w:val="right" w:pos="8640"/>
      </w:tabs>
    </w:pPr>
  </w:style>
  <w:style w:type="character" w:customStyle="1" w:styleId="FooterChar">
    <w:name w:val="Footer Char"/>
    <w:basedOn w:val="DefaultParagraphFont"/>
    <w:link w:val="Footer"/>
    <w:semiHidden/>
    <w:locked/>
    <w:rPr>
      <w:rFonts w:ascii="Arial" w:hAnsi="Arial" w:cs="Times New Roman"/>
      <w:sz w:val="24"/>
      <w:szCs w:val="24"/>
    </w:rPr>
  </w:style>
  <w:style w:type="character" w:styleId="PageNumber">
    <w:name w:val="page number"/>
    <w:basedOn w:val="DefaultParagraphFont"/>
    <w:rsid w:val="00986DFC"/>
    <w:rPr>
      <w:rFonts w:cs="Times New Roman"/>
    </w:rPr>
  </w:style>
  <w:style w:type="paragraph" w:styleId="BodyTextIndent">
    <w:name w:val="Body Text Indent"/>
    <w:basedOn w:val="Normal"/>
    <w:link w:val="BodyTextIndentChar"/>
    <w:rsid w:val="00986DFC"/>
    <w:pPr>
      <w:spacing w:line="480" w:lineRule="auto"/>
      <w:ind w:firstLine="720"/>
    </w:pPr>
  </w:style>
  <w:style w:type="character" w:customStyle="1" w:styleId="BodyTextIndentChar">
    <w:name w:val="Body Text Indent Char"/>
    <w:basedOn w:val="DefaultParagraphFont"/>
    <w:link w:val="BodyTextIndent"/>
    <w:semiHidden/>
    <w:locked/>
    <w:rPr>
      <w:rFonts w:ascii="Arial" w:hAnsi="Arial" w:cs="Times New Roman"/>
      <w:sz w:val="24"/>
      <w:szCs w:val="24"/>
    </w:rPr>
  </w:style>
  <w:style w:type="character" w:customStyle="1" w:styleId="BalloonTextChar">
    <w:name w:val="Balloon Text Char"/>
    <w:basedOn w:val="DefaultParagraphFont"/>
    <w:link w:val="BalloonText"/>
    <w:semiHidden/>
    <w:locked/>
    <w:rPr>
      <w:rFonts w:cs="Times New Roman"/>
      <w:sz w:val="2"/>
    </w:rPr>
  </w:style>
  <w:style w:type="character" w:styleId="CommentReference">
    <w:name w:val="annotation reference"/>
    <w:basedOn w:val="DefaultParagraphFont"/>
    <w:semiHidden/>
    <w:rsid w:val="008162A4"/>
    <w:rPr>
      <w:sz w:val="16"/>
      <w:szCs w:val="16"/>
    </w:rPr>
  </w:style>
  <w:style w:type="paragraph" w:styleId="CommentText">
    <w:name w:val="annotation text"/>
    <w:basedOn w:val="Normal"/>
    <w:semiHidden/>
    <w:rsid w:val="008162A4"/>
    <w:rPr>
      <w:sz w:val="20"/>
      <w:szCs w:val="20"/>
    </w:rPr>
  </w:style>
  <w:style w:type="paragraph" w:styleId="CommentSubject">
    <w:name w:val="annotation subject"/>
    <w:basedOn w:val="CommentText"/>
    <w:next w:val="CommentText"/>
    <w:semiHidden/>
    <w:rsid w:val="008162A4"/>
    <w:rPr>
      <w:b/>
      <w:bCs/>
    </w:rPr>
  </w:style>
  <w:style w:type="character" w:styleId="Strong">
    <w:name w:val="Strong"/>
    <w:basedOn w:val="DefaultParagraphFont"/>
    <w:qFormat/>
    <w:locked/>
    <w:rsid w:val="00D64179"/>
    <w:rPr>
      <w:b/>
      <w:bCs/>
    </w:rPr>
  </w:style>
  <w:style w:type="paragraph" w:styleId="BodyText">
    <w:name w:val="Body Text"/>
    <w:basedOn w:val="Normal"/>
    <w:rsid w:val="00C73790"/>
    <w:pPr>
      <w:spacing w:after="120"/>
    </w:pPr>
  </w:style>
  <w:style w:type="table" w:styleId="TableGrid">
    <w:name w:val="Table Grid"/>
    <w:basedOn w:val="TableNormal"/>
    <w:rsid w:val="00281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DFC"/>
    <w:rPr>
      <w:rFonts w:ascii="Arial" w:hAnsi="Arial"/>
      <w:sz w:val="24"/>
      <w:szCs w:val="24"/>
    </w:rPr>
  </w:style>
  <w:style w:type="paragraph" w:styleId="Heading1">
    <w:name w:val="heading 1"/>
    <w:basedOn w:val="Normal"/>
    <w:next w:val="Normal"/>
    <w:link w:val="Heading1Char"/>
    <w:qFormat/>
    <w:rsid w:val="00986DFC"/>
    <w:pPr>
      <w:keepNext/>
      <w:outlineLvl w:val="0"/>
    </w:pPr>
    <w:rPr>
      <w:b/>
      <w:bCs/>
    </w:rPr>
  </w:style>
  <w:style w:type="paragraph" w:styleId="Heading2">
    <w:name w:val="heading 2"/>
    <w:basedOn w:val="Normal"/>
    <w:next w:val="Normal"/>
    <w:link w:val="Heading2Char"/>
    <w:qFormat/>
    <w:rsid w:val="00986DFC"/>
    <w:pPr>
      <w:keepNext/>
      <w:spacing w:line="48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37FD6"/>
    <w:rPr>
      <w:rFonts w:ascii="Tahoma" w:hAnsi="Tahoma" w:cs="Tahoma"/>
      <w:sz w:val="16"/>
      <w:szCs w:val="16"/>
    </w:rPr>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sz w:val="28"/>
      <w:szCs w:val="28"/>
    </w:rPr>
  </w:style>
  <w:style w:type="paragraph" w:customStyle="1" w:styleId="DefaultText">
    <w:name w:val="Default Text"/>
    <w:basedOn w:val="Normal"/>
    <w:rsid w:val="00986DFC"/>
    <w:pPr>
      <w:overflowPunct w:val="0"/>
      <w:autoSpaceDE w:val="0"/>
      <w:autoSpaceDN w:val="0"/>
      <w:adjustRightInd w:val="0"/>
      <w:textAlignment w:val="baseline"/>
    </w:pPr>
    <w:rPr>
      <w:rFonts w:ascii="Times New Roman" w:hAnsi="Times New Roman"/>
      <w:szCs w:val="20"/>
    </w:rPr>
  </w:style>
  <w:style w:type="character" w:customStyle="1" w:styleId="InitialStyle">
    <w:name w:val="InitialStyle"/>
    <w:rsid w:val="00986DFC"/>
    <w:rPr>
      <w:rFonts w:ascii="Times New Roman" w:hAnsi="Times New Roman"/>
      <w:color w:val="auto"/>
      <w:spacing w:val="0"/>
      <w:sz w:val="24"/>
    </w:rPr>
  </w:style>
  <w:style w:type="paragraph" w:styleId="BodyText2">
    <w:name w:val="Body Text 2"/>
    <w:basedOn w:val="Normal"/>
    <w:link w:val="BodyText2Char"/>
    <w:rsid w:val="00986DFC"/>
    <w:pPr>
      <w:jc w:val="center"/>
    </w:pPr>
    <w:rPr>
      <w:szCs w:val="20"/>
    </w:rPr>
  </w:style>
  <w:style w:type="character" w:customStyle="1" w:styleId="BodyText2Char">
    <w:name w:val="Body Text 2 Char"/>
    <w:basedOn w:val="DefaultParagraphFont"/>
    <w:link w:val="BodyText2"/>
    <w:semiHidden/>
    <w:locked/>
    <w:rPr>
      <w:rFonts w:ascii="Arial" w:hAnsi="Arial" w:cs="Times New Roman"/>
      <w:sz w:val="24"/>
      <w:szCs w:val="24"/>
    </w:rPr>
  </w:style>
  <w:style w:type="paragraph" w:styleId="FootnoteText">
    <w:name w:val="footnote text"/>
    <w:basedOn w:val="Normal"/>
    <w:link w:val="FootnoteTextChar"/>
    <w:semiHidden/>
    <w:rsid w:val="00986DFC"/>
    <w:rPr>
      <w:sz w:val="20"/>
      <w:szCs w:val="20"/>
    </w:rPr>
  </w:style>
  <w:style w:type="character" w:customStyle="1" w:styleId="FootnoteTextChar">
    <w:name w:val="Footnote Text Char"/>
    <w:basedOn w:val="DefaultParagraphFont"/>
    <w:link w:val="FootnoteText"/>
    <w:semiHidden/>
    <w:locked/>
    <w:rPr>
      <w:rFonts w:ascii="Arial" w:hAnsi="Arial" w:cs="Times New Roman"/>
    </w:rPr>
  </w:style>
  <w:style w:type="character" w:styleId="FootnoteReference">
    <w:name w:val="footnote reference"/>
    <w:basedOn w:val="DefaultParagraphFont"/>
    <w:semiHidden/>
    <w:rsid w:val="00986DFC"/>
    <w:rPr>
      <w:rFonts w:cs="Times New Roman"/>
      <w:vertAlign w:val="superscript"/>
    </w:rPr>
  </w:style>
  <w:style w:type="paragraph" w:styleId="Header">
    <w:name w:val="header"/>
    <w:basedOn w:val="Normal"/>
    <w:link w:val="HeaderChar"/>
    <w:rsid w:val="00986DFC"/>
    <w:pPr>
      <w:tabs>
        <w:tab w:val="center" w:pos="4320"/>
        <w:tab w:val="right" w:pos="8640"/>
      </w:tabs>
    </w:pPr>
  </w:style>
  <w:style w:type="character" w:customStyle="1" w:styleId="HeaderChar">
    <w:name w:val="Header Char"/>
    <w:basedOn w:val="DefaultParagraphFont"/>
    <w:link w:val="Header"/>
    <w:semiHidden/>
    <w:locked/>
    <w:rPr>
      <w:rFonts w:ascii="Arial" w:hAnsi="Arial" w:cs="Times New Roman"/>
      <w:sz w:val="24"/>
      <w:szCs w:val="24"/>
    </w:rPr>
  </w:style>
  <w:style w:type="paragraph" w:styleId="Footer">
    <w:name w:val="footer"/>
    <w:basedOn w:val="Normal"/>
    <w:link w:val="FooterChar"/>
    <w:rsid w:val="00986DFC"/>
    <w:pPr>
      <w:tabs>
        <w:tab w:val="center" w:pos="4320"/>
        <w:tab w:val="right" w:pos="8640"/>
      </w:tabs>
    </w:pPr>
  </w:style>
  <w:style w:type="character" w:customStyle="1" w:styleId="FooterChar">
    <w:name w:val="Footer Char"/>
    <w:basedOn w:val="DefaultParagraphFont"/>
    <w:link w:val="Footer"/>
    <w:semiHidden/>
    <w:locked/>
    <w:rPr>
      <w:rFonts w:ascii="Arial" w:hAnsi="Arial" w:cs="Times New Roman"/>
      <w:sz w:val="24"/>
      <w:szCs w:val="24"/>
    </w:rPr>
  </w:style>
  <w:style w:type="character" w:styleId="PageNumber">
    <w:name w:val="page number"/>
    <w:basedOn w:val="DefaultParagraphFont"/>
    <w:rsid w:val="00986DFC"/>
    <w:rPr>
      <w:rFonts w:cs="Times New Roman"/>
    </w:rPr>
  </w:style>
  <w:style w:type="paragraph" w:styleId="BodyTextIndent">
    <w:name w:val="Body Text Indent"/>
    <w:basedOn w:val="Normal"/>
    <w:link w:val="BodyTextIndentChar"/>
    <w:rsid w:val="00986DFC"/>
    <w:pPr>
      <w:spacing w:line="480" w:lineRule="auto"/>
      <w:ind w:firstLine="720"/>
    </w:pPr>
  </w:style>
  <w:style w:type="character" w:customStyle="1" w:styleId="BodyTextIndentChar">
    <w:name w:val="Body Text Indent Char"/>
    <w:basedOn w:val="DefaultParagraphFont"/>
    <w:link w:val="BodyTextIndent"/>
    <w:semiHidden/>
    <w:locked/>
    <w:rPr>
      <w:rFonts w:ascii="Arial" w:hAnsi="Arial" w:cs="Times New Roman"/>
      <w:sz w:val="24"/>
      <w:szCs w:val="24"/>
    </w:rPr>
  </w:style>
  <w:style w:type="character" w:customStyle="1" w:styleId="BalloonTextChar">
    <w:name w:val="Balloon Text Char"/>
    <w:basedOn w:val="DefaultParagraphFont"/>
    <w:link w:val="BalloonText"/>
    <w:semiHidden/>
    <w:locked/>
    <w:rPr>
      <w:rFonts w:cs="Times New Roman"/>
      <w:sz w:val="2"/>
    </w:rPr>
  </w:style>
  <w:style w:type="character" w:styleId="CommentReference">
    <w:name w:val="annotation reference"/>
    <w:basedOn w:val="DefaultParagraphFont"/>
    <w:semiHidden/>
    <w:rsid w:val="008162A4"/>
    <w:rPr>
      <w:sz w:val="16"/>
      <w:szCs w:val="16"/>
    </w:rPr>
  </w:style>
  <w:style w:type="paragraph" w:styleId="CommentText">
    <w:name w:val="annotation text"/>
    <w:basedOn w:val="Normal"/>
    <w:semiHidden/>
    <w:rsid w:val="008162A4"/>
    <w:rPr>
      <w:sz w:val="20"/>
      <w:szCs w:val="20"/>
    </w:rPr>
  </w:style>
  <w:style w:type="paragraph" w:styleId="CommentSubject">
    <w:name w:val="annotation subject"/>
    <w:basedOn w:val="CommentText"/>
    <w:next w:val="CommentText"/>
    <w:semiHidden/>
    <w:rsid w:val="008162A4"/>
    <w:rPr>
      <w:b/>
      <w:bCs/>
    </w:rPr>
  </w:style>
  <w:style w:type="character" w:styleId="Strong">
    <w:name w:val="Strong"/>
    <w:basedOn w:val="DefaultParagraphFont"/>
    <w:qFormat/>
    <w:locked/>
    <w:rsid w:val="00D64179"/>
    <w:rPr>
      <w:b/>
      <w:bCs/>
    </w:rPr>
  </w:style>
  <w:style w:type="paragraph" w:styleId="BodyText">
    <w:name w:val="Body Text"/>
    <w:basedOn w:val="Normal"/>
    <w:rsid w:val="00C73790"/>
    <w:pPr>
      <w:spacing w:after="120"/>
    </w:pPr>
  </w:style>
  <w:style w:type="table" w:styleId="TableGrid">
    <w:name w:val="Table Grid"/>
    <w:basedOn w:val="TableNormal"/>
    <w:rsid w:val="00281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40517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C0847-BFA9-4E71-A335-8AFB1B18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STATE OF MAINE</vt:lpstr>
    </vt:vector>
  </TitlesOfParts>
  <Company>MPUC</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pulplan</dc:creator>
  <cp:keywords/>
  <dc:description/>
  <cp:lastModifiedBy>Cook, Christine R</cp:lastModifiedBy>
  <cp:revision>10</cp:revision>
  <cp:lastPrinted>2012-09-18T13:26:00Z</cp:lastPrinted>
  <dcterms:created xsi:type="dcterms:W3CDTF">2013-03-18T12:33:00Z</dcterms:created>
  <dcterms:modified xsi:type="dcterms:W3CDTF">2013-03-18T16:07:00Z</dcterms:modified>
</cp:coreProperties>
</file>