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66EB2" w14:textId="77777777" w:rsidR="0085390F" w:rsidRDefault="0085390F">
      <w:pPr>
        <w:pStyle w:val="2SubSectionHead"/>
        <w:spacing w:before="0" w:after="60"/>
        <w:jc w:val="center"/>
        <w:rPr>
          <w:sz w:val="48"/>
          <w:szCs w:val="48"/>
        </w:rPr>
      </w:pPr>
      <w:bookmarkStart w:id="0" w:name="_GoBack"/>
      <w:bookmarkEnd w:id="0"/>
    </w:p>
    <w:p w14:paraId="27B922AB" w14:textId="77777777" w:rsidR="00EF177A" w:rsidRDefault="0085390F">
      <w:pPr>
        <w:pStyle w:val="2SubSectionHead"/>
        <w:spacing w:before="0" w:after="60"/>
        <w:jc w:val="center"/>
        <w:rPr>
          <w:rFonts w:ascii="Arial" w:hAnsi="Arial"/>
          <w:b w:val="0"/>
          <w:sz w:val="36"/>
        </w:rPr>
      </w:pPr>
      <w:r>
        <w:rPr>
          <w:rFonts w:ascii="Arial" w:hAnsi="Arial"/>
          <w:b w:val="0"/>
          <w:sz w:val="36"/>
        </w:rPr>
        <w:t xml:space="preserve"> </w:t>
      </w:r>
    </w:p>
    <w:p w14:paraId="69584464" w14:textId="77777777" w:rsidR="00EF177A" w:rsidRDefault="00EF177A">
      <w:pPr>
        <w:pStyle w:val="2SubSectionHead"/>
        <w:spacing w:before="0" w:after="60"/>
        <w:jc w:val="center"/>
        <w:rPr>
          <w:rFonts w:ascii="Arial" w:hAnsi="Arial"/>
          <w:b w:val="0"/>
          <w:sz w:val="36"/>
        </w:rPr>
      </w:pPr>
    </w:p>
    <w:p w14:paraId="7A44AD28" w14:textId="77777777" w:rsidR="00EF177A" w:rsidRDefault="00EF177A">
      <w:pPr>
        <w:pStyle w:val="2SubSectionHead"/>
        <w:spacing w:before="0" w:after="60"/>
        <w:jc w:val="center"/>
        <w:rPr>
          <w:rFonts w:ascii="Arial" w:hAnsi="Arial"/>
          <w:b w:val="0"/>
          <w:sz w:val="36"/>
        </w:rPr>
      </w:pPr>
    </w:p>
    <w:p w14:paraId="7C6172D5" w14:textId="0473CBA6" w:rsidR="00C27DB9" w:rsidRDefault="0085390F">
      <w:pPr>
        <w:pStyle w:val="2SubSectionHead"/>
        <w:spacing w:before="0" w:after="60"/>
        <w:jc w:val="center"/>
        <w:rPr>
          <w:rFonts w:ascii="Arial" w:hAnsi="Arial"/>
          <w:b w:val="0"/>
          <w:sz w:val="36"/>
        </w:rPr>
      </w:pPr>
      <w:r>
        <w:rPr>
          <w:rFonts w:ascii="Arial" w:hAnsi="Arial"/>
          <w:b w:val="0"/>
          <w:sz w:val="36"/>
        </w:rPr>
        <w:t>Request for Proposals for Long-term Contracts for Capacity</w:t>
      </w:r>
      <w:r w:rsidR="00575DDD">
        <w:rPr>
          <w:rFonts w:ascii="Arial" w:hAnsi="Arial"/>
          <w:b w:val="0"/>
          <w:sz w:val="36"/>
        </w:rPr>
        <w:t xml:space="preserve"> Resources</w:t>
      </w:r>
      <w:r>
        <w:rPr>
          <w:rFonts w:ascii="Arial" w:hAnsi="Arial"/>
          <w:b w:val="0"/>
          <w:sz w:val="36"/>
        </w:rPr>
        <w:t xml:space="preserve"> and Associated Energy </w:t>
      </w:r>
    </w:p>
    <w:p w14:paraId="53C0D506" w14:textId="77777777" w:rsidR="00EF177A" w:rsidRPr="00EF177A" w:rsidRDefault="00EF177A" w:rsidP="00EF177A"/>
    <w:p w14:paraId="3005D2E3" w14:textId="53720DF4" w:rsidR="002A1204" w:rsidRDefault="00C167A7" w:rsidP="002A1204">
      <w:pPr>
        <w:pStyle w:val="2SubSectionHead"/>
        <w:spacing w:before="0" w:after="60"/>
        <w:jc w:val="center"/>
        <w:rPr>
          <w:rFonts w:ascii="Arial" w:hAnsi="Arial"/>
          <w:b w:val="0"/>
        </w:rPr>
      </w:pPr>
      <w:r>
        <w:rPr>
          <w:rFonts w:ascii="Arial" w:hAnsi="Arial"/>
          <w:b w:val="0"/>
        </w:rPr>
        <w:t>(</w:t>
      </w:r>
      <w:r w:rsidR="00BA5C11" w:rsidRPr="00C167A7">
        <w:rPr>
          <w:rFonts w:ascii="Arial" w:hAnsi="Arial"/>
          <w:b w:val="0"/>
        </w:rPr>
        <w:t>20</w:t>
      </w:r>
      <w:r w:rsidR="00D21E72">
        <w:rPr>
          <w:rFonts w:ascii="Arial" w:hAnsi="Arial"/>
          <w:b w:val="0"/>
        </w:rPr>
        <w:t>15</w:t>
      </w:r>
      <w:r w:rsidR="002A0876" w:rsidRPr="00C167A7">
        <w:rPr>
          <w:rFonts w:ascii="Arial" w:hAnsi="Arial"/>
          <w:b w:val="0"/>
        </w:rPr>
        <w:t xml:space="preserve"> Release</w:t>
      </w:r>
      <w:r>
        <w:rPr>
          <w:rFonts w:ascii="Arial" w:hAnsi="Arial"/>
          <w:b w:val="0"/>
        </w:rPr>
        <w:t>)</w:t>
      </w:r>
    </w:p>
    <w:p w14:paraId="5C1E5873" w14:textId="77777777" w:rsidR="00D21E72" w:rsidRDefault="00D21E72" w:rsidP="00EF177A"/>
    <w:p w14:paraId="13341064" w14:textId="77777777" w:rsidR="00D21E72" w:rsidRPr="00EF177A" w:rsidRDefault="00D21E72" w:rsidP="00EF177A">
      <w:pPr>
        <w:rPr>
          <w:b/>
        </w:rPr>
      </w:pPr>
    </w:p>
    <w:p w14:paraId="6E3AE7D5" w14:textId="77777777" w:rsidR="0085390F" w:rsidRDefault="0085390F"/>
    <w:p w14:paraId="64DCBE4D" w14:textId="77777777" w:rsidR="0085390F" w:rsidRDefault="0085390F">
      <w:pPr>
        <w:shd w:val="clear" w:color="auto" w:fill="FFFFFF"/>
        <w:jc w:val="center"/>
        <w:rPr>
          <w:rFonts w:ascii="Arial" w:hAnsi="Arial"/>
          <w:b/>
          <w:i/>
          <w:sz w:val="28"/>
          <w:szCs w:val="36"/>
        </w:rPr>
      </w:pPr>
      <w:r>
        <w:rPr>
          <w:rFonts w:ascii="Arial" w:hAnsi="Arial"/>
          <w:b/>
          <w:i/>
          <w:sz w:val="28"/>
          <w:szCs w:val="36"/>
        </w:rPr>
        <w:t>Issued by the Maine Public Utilities Commission</w:t>
      </w:r>
    </w:p>
    <w:p w14:paraId="6A782202" w14:textId="7F18DFD1" w:rsidR="00352E52" w:rsidRPr="004A26C8" w:rsidRDefault="00D21E72" w:rsidP="006D14FE">
      <w:pPr>
        <w:pStyle w:val="4SubPara"/>
        <w:spacing w:before="0" w:after="60"/>
        <w:jc w:val="center"/>
        <w:rPr>
          <w:rFonts w:ascii="Arial" w:hAnsi="Arial"/>
          <w:i/>
          <w:sz w:val="28"/>
          <w:szCs w:val="28"/>
        </w:rPr>
      </w:pPr>
      <w:r>
        <w:rPr>
          <w:rFonts w:ascii="Arial" w:hAnsi="Arial"/>
          <w:i/>
          <w:sz w:val="28"/>
          <w:szCs w:val="28"/>
          <w:shd w:val="clear" w:color="auto" w:fill="FFFFFF"/>
        </w:rPr>
        <w:t>February</w:t>
      </w:r>
      <w:r w:rsidR="00230E0D">
        <w:rPr>
          <w:rFonts w:ascii="Arial" w:hAnsi="Arial"/>
          <w:i/>
          <w:sz w:val="28"/>
          <w:szCs w:val="28"/>
          <w:shd w:val="clear" w:color="auto" w:fill="FFFFFF"/>
        </w:rPr>
        <w:t xml:space="preserve"> 2</w:t>
      </w:r>
      <w:r>
        <w:rPr>
          <w:rFonts w:ascii="Arial" w:hAnsi="Arial"/>
          <w:i/>
          <w:sz w:val="28"/>
          <w:szCs w:val="28"/>
          <w:shd w:val="clear" w:color="auto" w:fill="FFFFFF"/>
        </w:rPr>
        <w:t>, 2015</w:t>
      </w:r>
    </w:p>
    <w:p w14:paraId="1DBD94E0" w14:textId="77777777" w:rsidR="006D14FE" w:rsidRPr="004A26C8" w:rsidRDefault="006D14FE">
      <w:pPr>
        <w:pStyle w:val="Title"/>
        <w:jc w:val="left"/>
        <w:rPr>
          <w:rFonts w:ascii="Arial" w:hAnsi="Arial"/>
          <w:sz w:val="24"/>
        </w:rPr>
        <w:sectPr w:rsidR="006D14FE" w:rsidRPr="004A26C8">
          <w:headerReference w:type="default" r:id="rId9"/>
          <w:footerReference w:type="default" r:id="rId10"/>
          <w:pgSz w:w="12240" w:h="15840" w:code="1"/>
          <w:pgMar w:top="1152" w:right="1440" w:bottom="1440" w:left="1440" w:header="720" w:footer="720" w:gutter="0"/>
          <w:cols w:space="720"/>
        </w:sectPr>
      </w:pPr>
    </w:p>
    <w:p w14:paraId="0D05094E" w14:textId="77777777" w:rsidR="005D7AB4" w:rsidRPr="004A26C8" w:rsidRDefault="005D7AB4" w:rsidP="00820BE8">
      <w:pPr>
        <w:tabs>
          <w:tab w:val="left" w:leader="dot" w:pos="9360"/>
        </w:tabs>
        <w:spacing w:after="60"/>
        <w:rPr>
          <w:rFonts w:ascii="Arial" w:hAnsi="Arial"/>
          <w:sz w:val="24"/>
        </w:rPr>
      </w:pPr>
    </w:p>
    <w:p w14:paraId="1542A418" w14:textId="77777777" w:rsidR="00022081" w:rsidRPr="004A26C8" w:rsidRDefault="0012075B" w:rsidP="0012075B">
      <w:pPr>
        <w:pStyle w:val="Heading2"/>
        <w:numPr>
          <w:ilvl w:val="0"/>
          <w:numId w:val="13"/>
        </w:numPr>
        <w:tabs>
          <w:tab w:val="num" w:pos="666"/>
        </w:tabs>
        <w:rPr>
          <w:rFonts w:ascii="Arial" w:hAnsi="Arial"/>
          <w:sz w:val="24"/>
        </w:rPr>
      </w:pPr>
      <w:r>
        <w:rPr>
          <w:rFonts w:ascii="Arial" w:hAnsi="Arial"/>
          <w:sz w:val="24"/>
        </w:rPr>
        <w:t xml:space="preserve"> </w:t>
      </w:r>
      <w:r w:rsidR="00022081" w:rsidRPr="004A26C8">
        <w:rPr>
          <w:rFonts w:ascii="Arial" w:hAnsi="Arial"/>
          <w:sz w:val="24"/>
        </w:rPr>
        <w:t>Background</w:t>
      </w:r>
    </w:p>
    <w:p w14:paraId="7EDE49B4" w14:textId="7477ECDA" w:rsidR="0085390F" w:rsidRDefault="0085390F">
      <w:pPr>
        <w:tabs>
          <w:tab w:val="num" w:pos="360"/>
        </w:tabs>
        <w:ind w:left="360" w:hanging="360"/>
        <w:jc w:val="left"/>
        <w:rPr>
          <w:rFonts w:ascii="Arial" w:hAnsi="Arial"/>
          <w:sz w:val="24"/>
        </w:rPr>
      </w:pPr>
      <w:r>
        <w:rPr>
          <w:rFonts w:ascii="Arial" w:hAnsi="Arial"/>
          <w:sz w:val="24"/>
        </w:rPr>
        <w:tab/>
        <w:t>The Maine Public Utilities Commission (Commission) is seeking proposals for long-term contracts for capacity</w:t>
      </w:r>
      <w:r w:rsidR="00575DDD">
        <w:rPr>
          <w:rFonts w:ascii="Arial" w:hAnsi="Arial"/>
          <w:sz w:val="24"/>
        </w:rPr>
        <w:t xml:space="preserve"> </w:t>
      </w:r>
      <w:r w:rsidR="00496EC4">
        <w:rPr>
          <w:rFonts w:ascii="Arial" w:hAnsi="Arial"/>
          <w:sz w:val="24"/>
        </w:rPr>
        <w:t xml:space="preserve">and </w:t>
      </w:r>
      <w:r>
        <w:rPr>
          <w:rFonts w:ascii="Arial" w:hAnsi="Arial"/>
          <w:sz w:val="24"/>
        </w:rPr>
        <w:t>associated</w:t>
      </w:r>
      <w:r w:rsidR="00DA22C0">
        <w:rPr>
          <w:rFonts w:ascii="Arial" w:hAnsi="Arial"/>
          <w:sz w:val="24"/>
        </w:rPr>
        <w:t xml:space="preserve"> energy</w:t>
      </w:r>
      <w:r>
        <w:rPr>
          <w:rFonts w:ascii="Arial" w:hAnsi="Arial"/>
          <w:sz w:val="24"/>
        </w:rPr>
        <w:t xml:space="preserve"> from qualifying </w:t>
      </w:r>
      <w:r w:rsidR="009D4599" w:rsidRPr="004A26C8">
        <w:rPr>
          <w:rFonts w:ascii="Arial" w:hAnsi="Arial"/>
          <w:sz w:val="24"/>
        </w:rPr>
        <w:t>resources</w:t>
      </w:r>
      <w:r w:rsidR="0035448C" w:rsidRPr="004A26C8">
        <w:rPr>
          <w:rFonts w:ascii="Arial" w:hAnsi="Arial"/>
          <w:sz w:val="24"/>
        </w:rPr>
        <w:t>.</w:t>
      </w:r>
      <w:r w:rsidR="00D158C9" w:rsidRPr="004A26C8">
        <w:rPr>
          <w:rFonts w:ascii="Arial" w:hAnsi="Arial"/>
          <w:sz w:val="24"/>
        </w:rPr>
        <w:t xml:space="preserve"> </w:t>
      </w:r>
      <w:r w:rsidR="003F4557" w:rsidRPr="004A26C8">
        <w:rPr>
          <w:rFonts w:ascii="Arial" w:hAnsi="Arial"/>
          <w:sz w:val="24"/>
        </w:rPr>
        <w:t>B</w:t>
      </w:r>
      <w:r w:rsidR="0035448C" w:rsidRPr="004A26C8">
        <w:rPr>
          <w:rFonts w:ascii="Arial" w:hAnsi="Arial"/>
          <w:sz w:val="24"/>
        </w:rPr>
        <w:t>idders</w:t>
      </w:r>
      <w:r>
        <w:rPr>
          <w:rFonts w:ascii="Arial" w:hAnsi="Arial"/>
          <w:sz w:val="24"/>
        </w:rPr>
        <w:t xml:space="preserve"> selected</w:t>
      </w:r>
      <w:r w:rsidR="007C75A0">
        <w:rPr>
          <w:rFonts w:ascii="Arial" w:hAnsi="Arial"/>
          <w:sz w:val="24"/>
        </w:rPr>
        <w:t>, if any,</w:t>
      </w:r>
      <w:r>
        <w:rPr>
          <w:rFonts w:ascii="Arial" w:hAnsi="Arial"/>
          <w:sz w:val="24"/>
        </w:rPr>
        <w:t xml:space="preserve"> will enter into long-term contracts with one or both of Maine’s investor-owned transmission and distribution utilities - Central Maine Power Company (CMP) and Emera Maine (EM) (T&amp;D utilities). </w:t>
      </w:r>
    </w:p>
    <w:p w14:paraId="30BE75D4" w14:textId="1342EA30" w:rsidR="0085390F" w:rsidRDefault="0085390F">
      <w:pPr>
        <w:tabs>
          <w:tab w:val="num" w:pos="360"/>
        </w:tabs>
        <w:ind w:left="360" w:hanging="360"/>
        <w:jc w:val="left"/>
        <w:rPr>
          <w:rFonts w:ascii="Arial" w:hAnsi="Arial" w:cs="Arial"/>
          <w:color w:val="000080"/>
          <w:sz w:val="24"/>
        </w:rPr>
      </w:pPr>
      <w:r>
        <w:rPr>
          <w:rFonts w:ascii="Arial" w:hAnsi="Arial"/>
          <w:sz w:val="24"/>
        </w:rPr>
        <w:tab/>
        <w:t xml:space="preserve">Information about prior Commission RFPs and resulting contracts is available at: </w:t>
      </w:r>
      <w:hyperlink r:id="rId11" w:history="1">
        <w:r w:rsidR="00FD5453" w:rsidRPr="006229F1">
          <w:rPr>
            <w:rStyle w:val="Hyperlink"/>
            <w:rFonts w:ascii="Arial" w:hAnsi="Arial"/>
            <w:sz w:val="24"/>
          </w:rPr>
          <w:t>http://maine.gov/mpuc/electricity/rfps/longterm2015/longterm2015.html</w:t>
        </w:r>
      </w:hyperlink>
      <w:r w:rsidR="00FD5453">
        <w:rPr>
          <w:rFonts w:ascii="Arial" w:hAnsi="Arial"/>
          <w:sz w:val="24"/>
        </w:rPr>
        <w:t xml:space="preserve"> </w:t>
      </w:r>
    </w:p>
    <w:p w14:paraId="15BB0E2D" w14:textId="77777777" w:rsidR="0085390F" w:rsidRDefault="0085390F">
      <w:pPr>
        <w:pStyle w:val="Heading2"/>
        <w:numPr>
          <w:ilvl w:val="0"/>
          <w:numId w:val="0"/>
        </w:numPr>
        <w:tabs>
          <w:tab w:val="num" w:pos="666"/>
        </w:tabs>
        <w:ind w:left="90"/>
        <w:jc w:val="left"/>
        <w:rPr>
          <w:rFonts w:ascii="Arial" w:hAnsi="Arial"/>
          <w:sz w:val="24"/>
        </w:rPr>
      </w:pPr>
      <w:bookmarkStart w:id="1" w:name="_Toc208238107"/>
      <w:r>
        <w:rPr>
          <w:rFonts w:ascii="Arial" w:hAnsi="Arial"/>
          <w:sz w:val="24"/>
        </w:rPr>
        <w:t>2. Objectives and Evaluation Standards</w:t>
      </w:r>
      <w:bookmarkEnd w:id="1"/>
    </w:p>
    <w:p w14:paraId="441B84C0" w14:textId="1048F282" w:rsidR="0085390F" w:rsidRDefault="00DA01A3">
      <w:pPr>
        <w:tabs>
          <w:tab w:val="num" w:pos="360"/>
          <w:tab w:val="right" w:pos="7194"/>
          <w:tab w:val="left" w:pos="7740"/>
          <w:tab w:val="right" w:pos="9354"/>
        </w:tabs>
        <w:ind w:left="360" w:hanging="360"/>
        <w:jc w:val="left"/>
        <w:rPr>
          <w:rFonts w:ascii="Arial" w:hAnsi="Arial" w:cs="Arial"/>
          <w:sz w:val="24"/>
        </w:rPr>
      </w:pPr>
      <w:r>
        <w:rPr>
          <w:rFonts w:ascii="Arial" w:hAnsi="Arial"/>
          <w:sz w:val="24"/>
        </w:rPr>
        <w:tab/>
      </w:r>
      <w:r w:rsidR="0085390F">
        <w:rPr>
          <w:rFonts w:ascii="Arial" w:hAnsi="Arial"/>
          <w:sz w:val="24"/>
        </w:rPr>
        <w:t>The objective of this RFP is to acquire long-term contracts</w:t>
      </w:r>
      <w:r w:rsidR="00A52220">
        <w:rPr>
          <w:rFonts w:ascii="Arial" w:hAnsi="Arial"/>
          <w:sz w:val="24"/>
        </w:rPr>
        <w:t xml:space="preserve"> to</w:t>
      </w:r>
      <w:r w:rsidR="0085390F">
        <w:rPr>
          <w:rFonts w:ascii="Arial" w:hAnsi="Arial"/>
          <w:sz w:val="24"/>
        </w:rPr>
        <w:t xml:space="preserve"> reduce electricity costs for Maine consumers</w:t>
      </w:r>
      <w:r w:rsidR="00C27DB9">
        <w:rPr>
          <w:rFonts w:ascii="Arial" w:hAnsi="Arial"/>
          <w:sz w:val="24"/>
        </w:rPr>
        <w:t xml:space="preserve"> and</w:t>
      </w:r>
      <w:r w:rsidR="004C1B15" w:rsidRPr="004A26C8">
        <w:rPr>
          <w:rFonts w:ascii="Arial" w:hAnsi="Arial"/>
          <w:sz w:val="24"/>
        </w:rPr>
        <w:t>/</w:t>
      </w:r>
      <w:r w:rsidR="005D7675" w:rsidRPr="004A26C8">
        <w:rPr>
          <w:rFonts w:ascii="Arial" w:hAnsi="Arial"/>
          <w:sz w:val="24"/>
        </w:rPr>
        <w:t>or</w:t>
      </w:r>
      <w:r w:rsidR="00C27DB9">
        <w:rPr>
          <w:rFonts w:ascii="Arial" w:hAnsi="Arial"/>
          <w:sz w:val="24"/>
        </w:rPr>
        <w:t xml:space="preserve"> </w:t>
      </w:r>
      <w:r w:rsidR="0085390F">
        <w:rPr>
          <w:rFonts w:ascii="Arial" w:hAnsi="Arial"/>
          <w:sz w:val="24"/>
        </w:rPr>
        <w:t>to serve as a hedge against market price volatility</w:t>
      </w:r>
      <w:r w:rsidR="00C27DB9">
        <w:rPr>
          <w:rFonts w:ascii="Arial" w:hAnsi="Arial"/>
          <w:sz w:val="24"/>
        </w:rPr>
        <w:t xml:space="preserve">. </w:t>
      </w:r>
      <w:r w:rsidR="000E3851">
        <w:rPr>
          <w:rFonts w:ascii="Arial" w:hAnsi="Arial" w:cs="Arial"/>
          <w:sz w:val="24"/>
        </w:rPr>
        <w:t>O</w:t>
      </w:r>
      <w:r w:rsidR="00972A34" w:rsidRPr="004A26C8">
        <w:rPr>
          <w:rFonts w:ascii="Arial" w:hAnsi="Arial" w:cs="Arial"/>
          <w:sz w:val="24"/>
        </w:rPr>
        <w:t xml:space="preserve">ther factors, including </w:t>
      </w:r>
      <w:r w:rsidR="00BC7963">
        <w:rPr>
          <w:rFonts w:ascii="Arial" w:hAnsi="Arial" w:cs="Arial"/>
          <w:sz w:val="24"/>
        </w:rPr>
        <w:t xml:space="preserve">the </w:t>
      </w:r>
      <w:r w:rsidR="00972A34" w:rsidRPr="004A26C8">
        <w:rPr>
          <w:rFonts w:ascii="Arial" w:hAnsi="Arial" w:cs="Arial"/>
          <w:sz w:val="24"/>
        </w:rPr>
        <w:t xml:space="preserve">environmental and reliability </w:t>
      </w:r>
      <w:r w:rsidR="000E3851">
        <w:rPr>
          <w:rFonts w:ascii="Arial" w:hAnsi="Arial" w:cs="Arial"/>
          <w:sz w:val="24"/>
        </w:rPr>
        <w:t>attributes</w:t>
      </w:r>
      <w:r w:rsidR="00BC7963">
        <w:rPr>
          <w:rFonts w:ascii="Arial" w:hAnsi="Arial" w:cs="Arial"/>
          <w:sz w:val="24"/>
        </w:rPr>
        <w:t xml:space="preserve"> of the resources,</w:t>
      </w:r>
      <w:r w:rsidR="00972A34" w:rsidRPr="004A26C8">
        <w:rPr>
          <w:rFonts w:ascii="Arial" w:hAnsi="Arial" w:cs="Arial"/>
          <w:sz w:val="24"/>
        </w:rPr>
        <w:t xml:space="preserve"> </w:t>
      </w:r>
      <w:r w:rsidR="00BC7963">
        <w:rPr>
          <w:rFonts w:ascii="Arial" w:hAnsi="Arial" w:cs="Arial"/>
          <w:sz w:val="24"/>
        </w:rPr>
        <w:t>may</w:t>
      </w:r>
      <w:r w:rsidR="00972A34" w:rsidRPr="004A26C8">
        <w:rPr>
          <w:rFonts w:ascii="Arial" w:hAnsi="Arial" w:cs="Arial"/>
          <w:sz w:val="24"/>
        </w:rPr>
        <w:t xml:space="preserve"> </w:t>
      </w:r>
      <w:r w:rsidR="00802136" w:rsidRPr="004A26C8">
        <w:rPr>
          <w:rFonts w:ascii="Arial" w:hAnsi="Arial" w:cs="Arial"/>
          <w:sz w:val="24"/>
        </w:rPr>
        <w:t xml:space="preserve">also </w:t>
      </w:r>
      <w:r w:rsidR="00972A34" w:rsidRPr="004A26C8">
        <w:rPr>
          <w:rFonts w:ascii="Arial" w:hAnsi="Arial" w:cs="Arial"/>
          <w:sz w:val="24"/>
        </w:rPr>
        <w:t>be considered</w:t>
      </w:r>
      <w:r w:rsidR="003C2524" w:rsidRPr="004A26C8">
        <w:rPr>
          <w:rFonts w:ascii="Arial" w:hAnsi="Arial" w:cs="Arial"/>
          <w:sz w:val="24"/>
        </w:rPr>
        <w:t>.</w:t>
      </w:r>
      <w:r w:rsidR="005D7675" w:rsidRPr="004A26C8">
        <w:rPr>
          <w:rFonts w:ascii="Arial" w:hAnsi="Arial" w:cs="Arial"/>
          <w:sz w:val="24"/>
        </w:rPr>
        <w:t xml:space="preserve"> </w:t>
      </w:r>
      <w:r w:rsidR="00A73CA9">
        <w:rPr>
          <w:rFonts w:ascii="Arial" w:hAnsi="Arial" w:cs="Arial"/>
          <w:sz w:val="24"/>
        </w:rPr>
        <w:t xml:space="preserve"> </w:t>
      </w:r>
      <w:r w:rsidR="006819B7">
        <w:rPr>
          <w:rFonts w:ascii="Arial" w:hAnsi="Arial" w:cs="Arial"/>
          <w:sz w:val="24"/>
        </w:rPr>
        <w:t>By</w:t>
      </w:r>
      <w:r w:rsidR="0047471C" w:rsidRPr="004A26C8">
        <w:rPr>
          <w:rFonts w:ascii="Arial" w:hAnsi="Arial" w:cs="Arial"/>
          <w:sz w:val="24"/>
        </w:rPr>
        <w:t xml:space="preserve"> statute, any long-term contract resulting from th</w:t>
      </w:r>
      <w:r w:rsidR="006819B7">
        <w:rPr>
          <w:rFonts w:ascii="Arial" w:hAnsi="Arial" w:cs="Arial"/>
          <w:sz w:val="24"/>
        </w:rPr>
        <w:t>e</w:t>
      </w:r>
      <w:r w:rsidR="0047471C" w:rsidRPr="004A26C8">
        <w:rPr>
          <w:rFonts w:ascii="Arial" w:hAnsi="Arial" w:cs="Arial"/>
          <w:sz w:val="24"/>
        </w:rPr>
        <w:t xml:space="preserve"> RFP </w:t>
      </w:r>
      <w:r w:rsidR="006819B7">
        <w:rPr>
          <w:rFonts w:ascii="Arial" w:hAnsi="Arial" w:cs="Arial"/>
          <w:sz w:val="24"/>
        </w:rPr>
        <w:t>must be</w:t>
      </w:r>
      <w:r w:rsidR="0047471C" w:rsidRPr="004A26C8">
        <w:rPr>
          <w:rFonts w:ascii="Arial" w:hAnsi="Arial" w:cs="Arial"/>
          <w:sz w:val="24"/>
        </w:rPr>
        <w:t xml:space="preserve"> consistent with Maine’s greenhouse gas reduction policies and goals</w:t>
      </w:r>
      <w:r w:rsidR="0095291C" w:rsidRPr="004A26C8">
        <w:rPr>
          <w:rFonts w:ascii="Arial" w:hAnsi="Arial" w:cs="Arial"/>
          <w:sz w:val="24"/>
        </w:rPr>
        <w:t xml:space="preserve"> as embodied in Title 38, sections 576 and 577.</w:t>
      </w:r>
      <w:r w:rsidR="00C27DB9">
        <w:rPr>
          <w:rFonts w:ascii="Arial" w:hAnsi="Arial"/>
          <w:sz w:val="24"/>
        </w:rPr>
        <w:t xml:space="preserve"> </w:t>
      </w:r>
      <w:r w:rsidR="0085390F">
        <w:rPr>
          <w:rFonts w:ascii="Arial" w:hAnsi="Arial" w:cs="Arial"/>
          <w:sz w:val="24"/>
        </w:rPr>
        <w:t>The RFP is not intended to acquire a specified quantity of capacity</w:t>
      </w:r>
      <w:r w:rsidR="00A7669A">
        <w:rPr>
          <w:rFonts w:ascii="Arial" w:hAnsi="Arial" w:cs="Arial"/>
          <w:sz w:val="24"/>
        </w:rPr>
        <w:t xml:space="preserve"> or</w:t>
      </w:r>
      <w:r w:rsidR="0085390F">
        <w:rPr>
          <w:rFonts w:ascii="Arial" w:hAnsi="Arial" w:cs="Arial"/>
          <w:sz w:val="24"/>
        </w:rPr>
        <w:t xml:space="preserve"> energy. </w:t>
      </w:r>
    </w:p>
    <w:p w14:paraId="6EC0A0A0" w14:textId="6BDA55C4" w:rsidR="0085390F" w:rsidRDefault="0085390F" w:rsidP="00EF177A">
      <w:pPr>
        <w:tabs>
          <w:tab w:val="num" w:pos="360"/>
          <w:tab w:val="right" w:pos="7194"/>
          <w:tab w:val="left" w:pos="7740"/>
          <w:tab w:val="right" w:pos="9354"/>
        </w:tabs>
        <w:ind w:left="360" w:hanging="360"/>
        <w:jc w:val="left"/>
        <w:rPr>
          <w:rFonts w:ascii="Arial" w:hAnsi="Arial"/>
          <w:sz w:val="24"/>
        </w:rPr>
      </w:pPr>
      <w:r>
        <w:rPr>
          <w:rFonts w:ascii="Arial" w:hAnsi="Arial" w:cs="Arial"/>
          <w:sz w:val="24"/>
        </w:rPr>
        <w:tab/>
        <w:t xml:space="preserve">Proposals will be evaluated based upon the requirements and objectives stated within this RFP. </w:t>
      </w:r>
      <w:r>
        <w:rPr>
          <w:rFonts w:ascii="Arial" w:hAnsi="Arial"/>
          <w:sz w:val="24"/>
        </w:rPr>
        <w:tab/>
        <w:t xml:space="preserve">Acceptance of any proposal will be determined by the Commission based upon applicable laws and rules, including the provisions of </w:t>
      </w:r>
      <w:r>
        <w:rPr>
          <w:rFonts w:ascii="ArialMT" w:hAnsi="ArialMT" w:cs="ArialMT"/>
          <w:sz w:val="24"/>
          <w:szCs w:val="24"/>
        </w:rPr>
        <w:t>35-A M.R.S § 3210-C and Chapter 316 of the Commission’s Rules</w:t>
      </w:r>
      <w:r>
        <w:rPr>
          <w:rFonts w:ascii="Arial" w:hAnsi="Arial"/>
          <w:sz w:val="24"/>
        </w:rPr>
        <w:t xml:space="preserve">; the provisions of this RFP; and the Commission’s statutory public interest obligations.  In making its determinations, the Commission and staff may consult with the T&amp;D utilities, Maine’s Office of Public Advocate (OPA), and the Maine Department of Environmental Protection (DEP). </w:t>
      </w:r>
    </w:p>
    <w:p w14:paraId="6EDF0306" w14:textId="32193A43" w:rsidR="0085390F" w:rsidRDefault="0085390F">
      <w:pPr>
        <w:tabs>
          <w:tab w:val="num" w:pos="360"/>
          <w:tab w:val="right" w:pos="7194"/>
          <w:tab w:val="left" w:pos="7740"/>
          <w:tab w:val="right" w:pos="9354"/>
        </w:tabs>
        <w:ind w:left="360" w:hanging="360"/>
        <w:jc w:val="left"/>
        <w:rPr>
          <w:rFonts w:ascii="Arial" w:hAnsi="Arial" w:cs="Arial"/>
          <w:sz w:val="24"/>
        </w:rPr>
      </w:pPr>
      <w:r>
        <w:rPr>
          <w:rFonts w:ascii="Arial" w:hAnsi="Arial"/>
          <w:sz w:val="24"/>
        </w:rPr>
        <w:tab/>
      </w:r>
      <w:r>
        <w:rPr>
          <w:rFonts w:ascii="Arial" w:hAnsi="Arial" w:cs="Arial"/>
          <w:sz w:val="24"/>
        </w:rPr>
        <w:tab/>
        <w:t xml:space="preserve">The Commission may accept or reject any proposal, or it may reject all proposals, based on its assessment of whether a proposal meets the requirements of the RFP; satisfies applicable statutory policies and objectives; complies with the provisions of Chapter 316; is within the applicable contracting authority; conforms with generally accepted business practices; and is likely to provide benefits to Maine electricity consumers. </w:t>
      </w:r>
    </w:p>
    <w:p w14:paraId="7C83E268" w14:textId="03D7D64D" w:rsidR="0085390F" w:rsidRDefault="0085390F">
      <w:pPr>
        <w:ind w:left="360" w:hanging="90"/>
        <w:jc w:val="left"/>
        <w:rPr>
          <w:rFonts w:ascii="Arial" w:hAnsi="Arial"/>
          <w:b/>
          <w:i/>
          <w:sz w:val="24"/>
        </w:rPr>
      </w:pPr>
      <w:r>
        <w:rPr>
          <w:rFonts w:ascii="Arial" w:hAnsi="Arial"/>
          <w:sz w:val="24"/>
        </w:rPr>
        <w:tab/>
      </w:r>
      <w:r>
        <w:rPr>
          <w:rFonts w:ascii="Arial" w:hAnsi="Arial"/>
          <w:b/>
          <w:i/>
          <w:sz w:val="24"/>
        </w:rPr>
        <w:t xml:space="preserve">Initial Proposals are due on or before </w:t>
      </w:r>
      <w:r w:rsidR="00087672" w:rsidRPr="00497088">
        <w:rPr>
          <w:rFonts w:ascii="Arial" w:hAnsi="Arial"/>
          <w:b/>
          <w:i/>
          <w:sz w:val="24"/>
        </w:rPr>
        <w:t>May</w:t>
      </w:r>
      <w:r w:rsidR="007502DE">
        <w:rPr>
          <w:rFonts w:ascii="Arial" w:hAnsi="Arial"/>
          <w:b/>
          <w:i/>
          <w:sz w:val="24"/>
        </w:rPr>
        <w:t xml:space="preserve"> </w:t>
      </w:r>
      <w:r w:rsidR="00087672" w:rsidRPr="00497088">
        <w:rPr>
          <w:rFonts w:ascii="Arial" w:hAnsi="Arial"/>
          <w:b/>
          <w:i/>
          <w:sz w:val="24"/>
        </w:rPr>
        <w:t>1,</w:t>
      </w:r>
      <w:r w:rsidR="007502DE">
        <w:rPr>
          <w:rFonts w:ascii="Arial" w:hAnsi="Arial"/>
          <w:b/>
          <w:i/>
          <w:sz w:val="24"/>
        </w:rPr>
        <w:t xml:space="preserve"> </w:t>
      </w:r>
      <w:r w:rsidR="00D21E72" w:rsidRPr="00497088">
        <w:rPr>
          <w:rFonts w:ascii="Arial" w:hAnsi="Arial"/>
          <w:b/>
          <w:i/>
          <w:sz w:val="24"/>
        </w:rPr>
        <w:t>2015</w:t>
      </w:r>
      <w:r w:rsidRPr="007502DE">
        <w:rPr>
          <w:rFonts w:ascii="Arial" w:hAnsi="Arial"/>
          <w:b/>
          <w:i/>
          <w:sz w:val="24"/>
        </w:rPr>
        <w:t>.</w:t>
      </w:r>
      <w:r>
        <w:rPr>
          <w:rFonts w:ascii="Arial" w:hAnsi="Arial"/>
          <w:b/>
          <w:i/>
          <w:sz w:val="24"/>
          <w:shd w:val="clear" w:color="auto" w:fill="FFFF99"/>
        </w:rPr>
        <w:t xml:space="preserve"> </w:t>
      </w:r>
      <w:r>
        <w:rPr>
          <w:rFonts w:ascii="Arial" w:hAnsi="Arial"/>
          <w:b/>
          <w:i/>
          <w:sz w:val="24"/>
        </w:rPr>
        <w:t xml:space="preserve">  </w:t>
      </w:r>
    </w:p>
    <w:p w14:paraId="6A9198E7" w14:textId="598C13AE" w:rsidR="0085390F" w:rsidRDefault="0085390F">
      <w:pPr>
        <w:keepNext/>
        <w:tabs>
          <w:tab w:val="num" w:pos="360"/>
        </w:tabs>
        <w:jc w:val="left"/>
        <w:rPr>
          <w:rFonts w:ascii="Arial" w:hAnsi="Arial"/>
          <w:b/>
          <w:sz w:val="24"/>
        </w:rPr>
      </w:pPr>
      <w:r>
        <w:rPr>
          <w:rFonts w:ascii="Arial" w:hAnsi="Arial"/>
          <w:sz w:val="24"/>
        </w:rPr>
        <w:br w:type="page"/>
      </w:r>
      <w:bookmarkStart w:id="2" w:name="_Ref208236204"/>
      <w:bookmarkStart w:id="3" w:name="_Toc208238108"/>
      <w:r>
        <w:rPr>
          <w:rFonts w:ascii="Arial" w:hAnsi="Arial"/>
          <w:b/>
          <w:sz w:val="24"/>
        </w:rPr>
        <w:lastRenderedPageBreak/>
        <w:t xml:space="preserve">3.  </w:t>
      </w:r>
      <w:r>
        <w:rPr>
          <w:rFonts w:ascii="Arial" w:hAnsi="Arial"/>
          <w:b/>
          <w:sz w:val="24"/>
        </w:rPr>
        <w:tab/>
        <w:t>Proposal Requirements</w:t>
      </w:r>
      <w:bookmarkEnd w:id="2"/>
      <w:bookmarkEnd w:id="3"/>
    </w:p>
    <w:p w14:paraId="6EA3D020" w14:textId="77777777" w:rsidR="0085390F" w:rsidRDefault="0085390F">
      <w:pPr>
        <w:pStyle w:val="Heading2"/>
        <w:numPr>
          <w:ilvl w:val="0"/>
          <w:numId w:val="0"/>
        </w:numPr>
        <w:tabs>
          <w:tab w:val="num" w:pos="360"/>
        </w:tabs>
        <w:ind w:left="360" w:hanging="360"/>
        <w:jc w:val="left"/>
        <w:rPr>
          <w:rFonts w:ascii="Arial" w:hAnsi="Arial"/>
          <w:sz w:val="24"/>
        </w:rPr>
      </w:pPr>
      <w:bookmarkStart w:id="4" w:name="_Toc208238109"/>
      <w:r w:rsidRPr="00EF177A">
        <w:rPr>
          <w:rFonts w:ascii="Arial" w:hAnsi="Arial"/>
          <w:b w:val="0"/>
          <w:sz w:val="24"/>
        </w:rPr>
        <w:tab/>
      </w:r>
      <w:r>
        <w:rPr>
          <w:rFonts w:ascii="Arial" w:hAnsi="Arial"/>
          <w:sz w:val="24"/>
        </w:rPr>
        <w:t xml:space="preserve">3.1 </w:t>
      </w:r>
      <w:bookmarkEnd w:id="4"/>
      <w:r>
        <w:rPr>
          <w:rFonts w:ascii="Arial" w:hAnsi="Arial"/>
          <w:sz w:val="24"/>
        </w:rPr>
        <w:t xml:space="preserve">Form of Product </w:t>
      </w:r>
    </w:p>
    <w:p w14:paraId="1D743F48" w14:textId="62A11F3A" w:rsidR="0085390F" w:rsidRDefault="0085390F">
      <w:pPr>
        <w:tabs>
          <w:tab w:val="num" w:pos="360"/>
          <w:tab w:val="left" w:pos="720"/>
          <w:tab w:val="left" w:pos="1440"/>
          <w:tab w:val="left" w:pos="2160"/>
          <w:tab w:val="left" w:pos="2880"/>
          <w:tab w:val="right" w:pos="7194"/>
          <w:tab w:val="right" w:pos="9354"/>
        </w:tabs>
        <w:ind w:left="360" w:hanging="360"/>
        <w:jc w:val="left"/>
        <w:rPr>
          <w:rFonts w:ascii="Arial" w:hAnsi="Arial"/>
          <w:sz w:val="24"/>
        </w:rPr>
      </w:pPr>
      <w:r>
        <w:rPr>
          <w:rFonts w:ascii="Arial" w:hAnsi="Arial"/>
          <w:sz w:val="24"/>
        </w:rPr>
        <w:tab/>
        <w:t>Long-term contracts</w:t>
      </w:r>
      <w:r w:rsidR="007D09F2">
        <w:rPr>
          <w:rFonts w:ascii="Arial" w:hAnsi="Arial"/>
          <w:sz w:val="24"/>
        </w:rPr>
        <w:t xml:space="preserve"> </w:t>
      </w:r>
      <w:r w:rsidR="00A7669A">
        <w:rPr>
          <w:rFonts w:ascii="Arial" w:hAnsi="Arial"/>
          <w:sz w:val="24"/>
        </w:rPr>
        <w:t xml:space="preserve">should include </w:t>
      </w:r>
      <w:r>
        <w:rPr>
          <w:rFonts w:ascii="Arial" w:hAnsi="Arial"/>
          <w:sz w:val="24"/>
        </w:rPr>
        <w:t>capacity</w:t>
      </w:r>
      <w:r w:rsidR="00A7669A">
        <w:rPr>
          <w:rFonts w:ascii="Arial" w:hAnsi="Arial"/>
          <w:sz w:val="24"/>
        </w:rPr>
        <w:t xml:space="preserve"> and associated energy from </w:t>
      </w:r>
      <w:r>
        <w:rPr>
          <w:rFonts w:ascii="Arial" w:hAnsi="Arial"/>
          <w:sz w:val="24"/>
        </w:rPr>
        <w:t xml:space="preserve">qualifying </w:t>
      </w:r>
      <w:r w:rsidR="00FD247F" w:rsidRPr="001130EB">
        <w:rPr>
          <w:rFonts w:ascii="Arial" w:hAnsi="Arial"/>
          <w:sz w:val="24"/>
        </w:rPr>
        <w:t>capacity resource</w:t>
      </w:r>
      <w:r w:rsidR="001130EB" w:rsidRPr="001130EB">
        <w:rPr>
          <w:rFonts w:ascii="Arial" w:hAnsi="Arial"/>
          <w:sz w:val="24"/>
        </w:rPr>
        <w:t>s</w:t>
      </w:r>
      <w:r w:rsidR="00FD247F" w:rsidRPr="001130EB">
        <w:rPr>
          <w:rFonts w:ascii="Arial" w:hAnsi="Arial"/>
          <w:sz w:val="24"/>
        </w:rPr>
        <w:t>.  Qualifying capacity</w:t>
      </w:r>
      <w:r w:rsidR="00FD247F">
        <w:rPr>
          <w:rFonts w:ascii="Arial" w:hAnsi="Arial"/>
          <w:sz w:val="24"/>
        </w:rPr>
        <w:t xml:space="preserve"> resources are defined by Maine statu</w:t>
      </w:r>
      <w:r w:rsidR="001130EB">
        <w:rPr>
          <w:rFonts w:ascii="Arial" w:hAnsi="Arial"/>
          <w:sz w:val="24"/>
        </w:rPr>
        <w:t>t</w:t>
      </w:r>
      <w:r w:rsidR="00FD247F">
        <w:rPr>
          <w:rFonts w:ascii="Arial" w:hAnsi="Arial"/>
          <w:sz w:val="24"/>
        </w:rPr>
        <w:t xml:space="preserve">e and Commission rule </w:t>
      </w:r>
      <w:r w:rsidR="001130EB">
        <w:rPr>
          <w:rFonts w:ascii="Arial" w:hAnsi="Arial"/>
          <w:sz w:val="24"/>
        </w:rPr>
        <w:t xml:space="preserve">and </w:t>
      </w:r>
      <w:r w:rsidR="007D49F3" w:rsidRPr="004A26C8">
        <w:rPr>
          <w:rFonts w:ascii="Arial" w:hAnsi="Arial"/>
          <w:sz w:val="24"/>
        </w:rPr>
        <w:t>include</w:t>
      </w:r>
      <w:r w:rsidR="005D7AB4" w:rsidRPr="004A26C8">
        <w:rPr>
          <w:rFonts w:ascii="Arial" w:hAnsi="Arial"/>
          <w:sz w:val="24"/>
        </w:rPr>
        <w:t xml:space="preserve"> </w:t>
      </w:r>
      <w:r w:rsidR="001130EB">
        <w:rPr>
          <w:rFonts w:ascii="Arial" w:hAnsi="Arial"/>
          <w:sz w:val="24"/>
        </w:rPr>
        <w:t xml:space="preserve">new and existing </w:t>
      </w:r>
      <w:r w:rsidR="00C403BF">
        <w:rPr>
          <w:rFonts w:ascii="Arial" w:hAnsi="Arial"/>
          <w:sz w:val="24"/>
        </w:rPr>
        <w:t>and</w:t>
      </w:r>
      <w:r w:rsidR="001130EB">
        <w:rPr>
          <w:rFonts w:ascii="Arial" w:hAnsi="Arial"/>
          <w:sz w:val="24"/>
        </w:rPr>
        <w:t xml:space="preserve"> </w:t>
      </w:r>
      <w:r w:rsidR="005D7AB4" w:rsidRPr="004A26C8">
        <w:rPr>
          <w:rFonts w:ascii="Arial" w:hAnsi="Arial"/>
          <w:sz w:val="24"/>
        </w:rPr>
        <w:t>renewable</w:t>
      </w:r>
      <w:r w:rsidR="0058082E" w:rsidRPr="004A26C8">
        <w:rPr>
          <w:rFonts w:ascii="Arial" w:hAnsi="Arial"/>
          <w:sz w:val="24"/>
        </w:rPr>
        <w:t xml:space="preserve"> and non-renewable</w:t>
      </w:r>
      <w:r w:rsidR="005D7AB4" w:rsidRPr="004A26C8">
        <w:rPr>
          <w:rFonts w:ascii="Arial" w:hAnsi="Arial"/>
          <w:sz w:val="24"/>
        </w:rPr>
        <w:t xml:space="preserve"> resource</w:t>
      </w:r>
      <w:r w:rsidR="007D49F3" w:rsidRPr="004A26C8">
        <w:rPr>
          <w:rFonts w:ascii="Arial" w:hAnsi="Arial"/>
          <w:sz w:val="24"/>
        </w:rPr>
        <w:t>s</w:t>
      </w:r>
      <w:r>
        <w:rPr>
          <w:rFonts w:ascii="Arial" w:hAnsi="Arial"/>
          <w:sz w:val="24"/>
        </w:rPr>
        <w:t>.</w:t>
      </w:r>
      <w:r w:rsidRPr="00EF177A">
        <w:rPr>
          <w:rFonts w:ascii="Arial" w:hAnsi="Arial"/>
          <w:sz w:val="24"/>
        </w:rPr>
        <w:t xml:space="preserve"> </w:t>
      </w:r>
      <w:r>
        <w:rPr>
          <w:rFonts w:ascii="Arial" w:hAnsi="Arial"/>
          <w:sz w:val="24"/>
        </w:rPr>
        <w:t xml:space="preserve"> </w:t>
      </w:r>
    </w:p>
    <w:p w14:paraId="2661C8B6" w14:textId="15CFA2A6" w:rsidR="00A4560B" w:rsidRPr="004A26C8" w:rsidRDefault="00E322E2" w:rsidP="002B3C60">
      <w:pPr>
        <w:tabs>
          <w:tab w:val="num" w:pos="360"/>
          <w:tab w:val="right" w:pos="7194"/>
          <w:tab w:val="left" w:pos="7740"/>
          <w:tab w:val="right" w:pos="9354"/>
        </w:tabs>
        <w:ind w:left="360" w:hanging="360"/>
        <w:jc w:val="left"/>
        <w:rPr>
          <w:rFonts w:ascii="Arial" w:hAnsi="Arial"/>
          <w:sz w:val="24"/>
        </w:rPr>
      </w:pPr>
      <w:r w:rsidRPr="004A26C8">
        <w:rPr>
          <w:rFonts w:ascii="Arial" w:hAnsi="Arial" w:cs="Arial"/>
          <w:sz w:val="24"/>
        </w:rPr>
        <w:tab/>
      </w:r>
      <w:r w:rsidR="001130EB" w:rsidRPr="001130EB">
        <w:rPr>
          <w:rFonts w:ascii="Arial" w:hAnsi="Arial" w:cs="Arial"/>
          <w:sz w:val="24"/>
        </w:rPr>
        <w:t xml:space="preserve">A </w:t>
      </w:r>
      <w:r w:rsidR="001130EB">
        <w:rPr>
          <w:rFonts w:ascii="Arial" w:hAnsi="Arial" w:cs="Arial"/>
          <w:sz w:val="24"/>
        </w:rPr>
        <w:t>n</w:t>
      </w:r>
      <w:r w:rsidR="00A4560B" w:rsidRPr="001130EB">
        <w:rPr>
          <w:rFonts w:ascii="Arial" w:hAnsi="Arial" w:cs="Arial"/>
          <w:sz w:val="24"/>
        </w:rPr>
        <w:t>ew capacity resource</w:t>
      </w:r>
      <w:r w:rsidR="0085390F">
        <w:rPr>
          <w:rFonts w:ascii="Arial" w:hAnsi="Arial" w:cs="Arial"/>
          <w:sz w:val="24"/>
        </w:rPr>
        <w:t xml:space="preserve"> must: (1) have an in-service date after </w:t>
      </w:r>
      <w:r w:rsidR="00A4560B" w:rsidRPr="001130EB">
        <w:rPr>
          <w:rFonts w:ascii="Arial" w:hAnsi="Arial" w:cs="Arial"/>
          <w:sz w:val="24"/>
        </w:rPr>
        <w:t>September</w:t>
      </w:r>
      <w:r w:rsidR="0085390F">
        <w:rPr>
          <w:rFonts w:ascii="Arial" w:hAnsi="Arial" w:cs="Arial"/>
          <w:sz w:val="24"/>
        </w:rPr>
        <w:t xml:space="preserve"> 1, </w:t>
      </w:r>
      <w:r w:rsidR="00A4560B" w:rsidRPr="001130EB">
        <w:rPr>
          <w:rFonts w:ascii="Arial" w:hAnsi="Arial" w:cs="Arial"/>
          <w:sz w:val="24"/>
        </w:rPr>
        <w:t>2005;</w:t>
      </w:r>
      <w:r w:rsidR="0085390F">
        <w:rPr>
          <w:rFonts w:ascii="Arial" w:hAnsi="Arial"/>
          <w:sz w:val="24"/>
        </w:rPr>
        <w:t xml:space="preserve"> (2) </w:t>
      </w:r>
      <w:r w:rsidR="00FE7D94">
        <w:rPr>
          <w:rFonts w:ascii="Arial" w:hAnsi="Arial" w:cs="Arial"/>
          <w:sz w:val="24"/>
        </w:rPr>
        <w:t xml:space="preserve">have been </w:t>
      </w:r>
      <w:r w:rsidR="00A4560B" w:rsidRPr="001130EB">
        <w:rPr>
          <w:rFonts w:ascii="Arial" w:hAnsi="Arial" w:cs="Arial"/>
          <w:sz w:val="24"/>
        </w:rPr>
        <w:t>added to an existing facility after September 1, 2005; (</w:t>
      </w:r>
      <w:r w:rsidR="009E5FD5" w:rsidRPr="001130EB">
        <w:rPr>
          <w:rFonts w:ascii="Arial" w:hAnsi="Arial" w:cs="Arial"/>
          <w:sz w:val="24"/>
        </w:rPr>
        <w:t>3</w:t>
      </w:r>
      <w:r w:rsidR="00A4560B" w:rsidRPr="001130EB">
        <w:rPr>
          <w:rFonts w:ascii="Arial" w:hAnsi="Arial" w:cs="Arial"/>
          <w:sz w:val="24"/>
        </w:rPr>
        <w:t>)</w:t>
      </w:r>
      <w:r w:rsidR="00FE7D94">
        <w:rPr>
          <w:rFonts w:ascii="Arial" w:hAnsi="Arial" w:cs="Arial"/>
          <w:sz w:val="24"/>
        </w:rPr>
        <w:t xml:space="preserve"> not have operated or been recognized as a capacity resource </w:t>
      </w:r>
      <w:r w:rsidR="00A4560B" w:rsidRPr="001130EB">
        <w:rPr>
          <w:rFonts w:ascii="Arial" w:hAnsi="Arial" w:cs="Arial"/>
          <w:sz w:val="24"/>
        </w:rPr>
        <w:t>for</w:t>
      </w:r>
      <w:r w:rsidR="008716AA" w:rsidRPr="001130EB">
        <w:rPr>
          <w:rFonts w:ascii="Arial" w:hAnsi="Arial" w:cs="Arial"/>
          <w:sz w:val="24"/>
        </w:rPr>
        <w:t xml:space="preserve"> </w:t>
      </w:r>
      <w:r w:rsidR="00A4560B" w:rsidRPr="001130EB">
        <w:rPr>
          <w:rFonts w:ascii="Arial" w:hAnsi="Arial" w:cs="Arial"/>
          <w:sz w:val="24"/>
        </w:rPr>
        <w:t>at least 2 years</w:t>
      </w:r>
      <w:r w:rsidR="00A4560B" w:rsidRPr="004A26C8">
        <w:rPr>
          <w:rFonts w:ascii="Arial" w:hAnsi="Arial" w:cs="Arial"/>
          <w:sz w:val="24"/>
        </w:rPr>
        <w:t xml:space="preserve"> and, after September 1, 2005, resumed operation or was recognized as a capacity resource; or (</w:t>
      </w:r>
      <w:r w:rsidR="009E5FD5">
        <w:rPr>
          <w:rFonts w:ascii="Arial" w:hAnsi="Arial" w:cs="Arial"/>
          <w:sz w:val="24"/>
        </w:rPr>
        <w:t>4</w:t>
      </w:r>
      <w:r w:rsidR="00A4560B" w:rsidRPr="004A26C8">
        <w:rPr>
          <w:rFonts w:ascii="Arial" w:hAnsi="Arial" w:cs="Arial"/>
          <w:sz w:val="24"/>
        </w:rPr>
        <w:t xml:space="preserve">) </w:t>
      </w:r>
      <w:r w:rsidR="00FE7D94">
        <w:rPr>
          <w:rFonts w:ascii="Arial" w:hAnsi="Arial" w:cs="Arial"/>
          <w:sz w:val="24"/>
        </w:rPr>
        <w:t>have been</w:t>
      </w:r>
      <w:r w:rsidR="00A4560B" w:rsidRPr="004A26C8">
        <w:rPr>
          <w:rFonts w:ascii="Arial" w:hAnsi="Arial" w:cs="Arial"/>
          <w:sz w:val="24"/>
        </w:rPr>
        <w:t xml:space="preserve"> refurbished after September 1, 2005 and is operating beyond its previous useful life or is employing an alternate technology that significantly increases the efficiency of the generation process</w:t>
      </w:r>
      <w:r w:rsidR="009F50D4" w:rsidRPr="004A26C8">
        <w:rPr>
          <w:rFonts w:ascii="Arial" w:hAnsi="Arial" w:cs="Arial"/>
          <w:sz w:val="24"/>
        </w:rPr>
        <w:t xml:space="preserve">.  </w:t>
      </w:r>
      <w:r w:rsidR="00A4560B" w:rsidRPr="004A26C8">
        <w:rPr>
          <w:rFonts w:ascii="Arial" w:hAnsi="Arial" w:cs="Arial"/>
          <w:sz w:val="24"/>
        </w:rPr>
        <w:t>Existing capacity includes all other capacity</w:t>
      </w:r>
      <w:r w:rsidR="009F50D4" w:rsidRPr="004A26C8">
        <w:rPr>
          <w:rFonts w:ascii="Arial" w:hAnsi="Arial" w:cs="Arial"/>
          <w:sz w:val="24"/>
        </w:rPr>
        <w:t>.</w:t>
      </w:r>
    </w:p>
    <w:p w14:paraId="0FAC771D" w14:textId="6325A7FC" w:rsidR="0085390F" w:rsidRDefault="00E322E2" w:rsidP="00EF177A">
      <w:pPr>
        <w:tabs>
          <w:tab w:val="num" w:pos="360"/>
          <w:tab w:val="right" w:pos="7194"/>
          <w:tab w:val="left" w:pos="7740"/>
          <w:tab w:val="right" w:pos="9354"/>
        </w:tabs>
        <w:ind w:left="360" w:hanging="360"/>
        <w:jc w:val="left"/>
        <w:rPr>
          <w:rFonts w:ascii="Arial" w:hAnsi="Arial" w:cs="Arial"/>
          <w:sz w:val="24"/>
        </w:rPr>
      </w:pPr>
      <w:r w:rsidRPr="004A26C8">
        <w:rPr>
          <w:rFonts w:ascii="Arial" w:hAnsi="Arial"/>
          <w:sz w:val="24"/>
        </w:rPr>
        <w:tab/>
      </w:r>
      <w:r w:rsidR="0019127D" w:rsidRPr="001130EB">
        <w:rPr>
          <w:rFonts w:ascii="Arial" w:hAnsi="Arial"/>
          <w:sz w:val="24"/>
        </w:rPr>
        <w:t xml:space="preserve">Renewable capacity resources </w:t>
      </w:r>
      <w:r w:rsidR="00552251" w:rsidRPr="001130EB">
        <w:rPr>
          <w:rFonts w:ascii="Arial" w:hAnsi="Arial"/>
          <w:sz w:val="24"/>
        </w:rPr>
        <w:t>must</w:t>
      </w:r>
      <w:r w:rsidR="006F00BF" w:rsidRPr="004A26C8">
        <w:rPr>
          <w:rFonts w:ascii="Arial" w:hAnsi="Arial"/>
          <w:sz w:val="24"/>
        </w:rPr>
        <w:t xml:space="preserve"> </w:t>
      </w:r>
      <w:r w:rsidR="0085390F">
        <w:rPr>
          <w:rFonts w:ascii="Arial" w:hAnsi="Arial"/>
          <w:sz w:val="24"/>
        </w:rPr>
        <w:t xml:space="preserve">rely on one or more of the following resources or technologies: fuel cells; tidal; solar; wind; geothermal; biomass (including landfill gas, but not including municipal solid waste); or hydroelectric generation that meets all applicable state and federal fish passage requirements. </w:t>
      </w:r>
      <w:r w:rsidR="0085390F">
        <w:rPr>
          <w:rFonts w:ascii="Arial" w:hAnsi="Arial" w:cs="Arial"/>
          <w:sz w:val="24"/>
        </w:rPr>
        <w:t xml:space="preserve"> </w:t>
      </w:r>
    </w:p>
    <w:p w14:paraId="666251B9" w14:textId="53296E44" w:rsidR="0085390F" w:rsidRDefault="001130EB">
      <w:pPr>
        <w:tabs>
          <w:tab w:val="num" w:pos="360"/>
        </w:tabs>
        <w:ind w:left="360" w:hanging="360"/>
        <w:jc w:val="left"/>
        <w:rPr>
          <w:rFonts w:ascii="Arial" w:hAnsi="Arial" w:cs="Arial"/>
          <w:sz w:val="24"/>
        </w:rPr>
      </w:pPr>
      <w:r>
        <w:rPr>
          <w:rFonts w:ascii="Arial" w:hAnsi="Arial"/>
          <w:b/>
          <w:i/>
          <w:sz w:val="24"/>
        </w:rPr>
        <w:tab/>
      </w:r>
      <w:r w:rsidRPr="004A26C8">
        <w:rPr>
          <w:rFonts w:ascii="Arial" w:hAnsi="Arial"/>
          <w:sz w:val="24"/>
        </w:rPr>
        <w:t xml:space="preserve">A </w:t>
      </w:r>
      <w:r>
        <w:rPr>
          <w:rFonts w:ascii="Arial" w:hAnsi="Arial"/>
          <w:sz w:val="24"/>
        </w:rPr>
        <w:t xml:space="preserve">capacity </w:t>
      </w:r>
      <w:r w:rsidRPr="004A26C8">
        <w:rPr>
          <w:rFonts w:ascii="Arial" w:hAnsi="Arial"/>
          <w:sz w:val="24"/>
        </w:rPr>
        <w:t xml:space="preserve">resource </w:t>
      </w:r>
      <w:r>
        <w:rPr>
          <w:rFonts w:ascii="Arial" w:hAnsi="Arial"/>
          <w:sz w:val="24"/>
        </w:rPr>
        <w:t>should</w:t>
      </w:r>
      <w:r w:rsidRPr="004A26C8">
        <w:rPr>
          <w:rFonts w:ascii="Arial" w:hAnsi="Arial"/>
          <w:sz w:val="24"/>
        </w:rPr>
        <w:t xml:space="preserve"> be </w:t>
      </w:r>
      <w:r w:rsidRPr="004A26C8">
        <w:rPr>
          <w:rFonts w:ascii="Arial" w:hAnsi="Arial" w:cs="Arial"/>
          <w:sz w:val="24"/>
        </w:rPr>
        <w:t xml:space="preserve">recognized or likely to be recognized as capacity </w:t>
      </w:r>
      <w:r>
        <w:rPr>
          <w:rFonts w:ascii="Arial" w:hAnsi="Arial" w:cs="Arial"/>
          <w:sz w:val="24"/>
        </w:rPr>
        <w:t>within the</w:t>
      </w:r>
      <w:r w:rsidRPr="004A26C8">
        <w:rPr>
          <w:rFonts w:ascii="Arial" w:hAnsi="Arial" w:cs="Arial"/>
          <w:sz w:val="24"/>
        </w:rPr>
        <w:t xml:space="preserve"> ISO-NE or NMISA</w:t>
      </w:r>
      <w:r>
        <w:rPr>
          <w:rFonts w:ascii="Arial" w:hAnsi="Arial" w:cs="Arial"/>
          <w:sz w:val="24"/>
        </w:rPr>
        <w:t xml:space="preserve"> market</w:t>
      </w:r>
      <w:r w:rsidRPr="004A26C8">
        <w:rPr>
          <w:rFonts w:ascii="Arial" w:hAnsi="Arial" w:cs="Arial"/>
          <w:sz w:val="24"/>
        </w:rPr>
        <w:t xml:space="preserve">, as applicable, or justified with a finding that </w:t>
      </w:r>
      <w:r w:rsidRPr="004A26C8">
        <w:rPr>
          <w:rFonts w:ascii="Arial" w:hAnsi="Arial"/>
          <w:sz w:val="24"/>
        </w:rPr>
        <w:t>Maine electricity consumers will achieve significant benefits from a resource that is not so recognized</w:t>
      </w:r>
      <w:r w:rsidRPr="004A26C8">
        <w:rPr>
          <w:rFonts w:ascii="Arial" w:hAnsi="Arial" w:cs="Arial"/>
          <w:sz w:val="24"/>
        </w:rPr>
        <w:t xml:space="preserve">. </w:t>
      </w:r>
      <w:r w:rsidR="0085390F">
        <w:rPr>
          <w:rFonts w:ascii="Arial" w:hAnsi="Arial" w:cs="Arial"/>
          <w:sz w:val="24"/>
        </w:rPr>
        <w:t xml:space="preserve">Projects </w:t>
      </w:r>
      <w:r w:rsidR="0085390F">
        <w:rPr>
          <w:rFonts w:ascii="Arial" w:hAnsi="Arial"/>
          <w:sz w:val="24"/>
        </w:rPr>
        <w:t>must comply with all applicable market rules, tariffs, and all applicable state and federal laws and regulations.</w:t>
      </w:r>
    </w:p>
    <w:p w14:paraId="27FBBB21" w14:textId="77777777" w:rsidR="009E270B" w:rsidRPr="004A26C8" w:rsidRDefault="0085390F" w:rsidP="009E270B">
      <w:pPr>
        <w:pStyle w:val="Heading2"/>
        <w:numPr>
          <w:ilvl w:val="0"/>
          <w:numId w:val="0"/>
        </w:numPr>
        <w:tabs>
          <w:tab w:val="num" w:pos="360"/>
        </w:tabs>
        <w:ind w:left="360" w:hanging="360"/>
        <w:jc w:val="left"/>
        <w:rPr>
          <w:rFonts w:ascii="Arial" w:hAnsi="Arial"/>
          <w:sz w:val="24"/>
        </w:rPr>
      </w:pPr>
      <w:r>
        <w:rPr>
          <w:rFonts w:ascii="Arial" w:hAnsi="Arial"/>
          <w:sz w:val="24"/>
        </w:rPr>
        <w:tab/>
      </w:r>
      <w:bookmarkStart w:id="5" w:name="_Toc208238111"/>
      <w:r w:rsidRPr="0043199C">
        <w:rPr>
          <w:rFonts w:ascii="Arial" w:hAnsi="Arial"/>
          <w:sz w:val="24"/>
        </w:rPr>
        <w:t>3.</w:t>
      </w:r>
      <w:bookmarkEnd w:id="5"/>
      <w:r w:rsidR="00496EC4" w:rsidRPr="00EF177A">
        <w:rPr>
          <w:rFonts w:ascii="Arial" w:hAnsi="Arial"/>
          <w:sz w:val="24"/>
        </w:rPr>
        <w:t>2</w:t>
      </w:r>
      <w:r w:rsidRPr="00EF177A">
        <w:rPr>
          <w:rFonts w:ascii="Arial" w:hAnsi="Arial"/>
          <w:sz w:val="24"/>
        </w:rPr>
        <w:t xml:space="preserve"> </w:t>
      </w:r>
      <w:r w:rsidR="009E270B">
        <w:rPr>
          <w:rFonts w:ascii="Arial" w:hAnsi="Arial"/>
          <w:sz w:val="24"/>
        </w:rPr>
        <w:t xml:space="preserve">Required Attributes </w:t>
      </w:r>
    </w:p>
    <w:p w14:paraId="7F46BA4D" w14:textId="623920EA" w:rsidR="009E5875" w:rsidRDefault="009E270B" w:rsidP="002B3C60">
      <w:pPr>
        <w:tabs>
          <w:tab w:val="num" w:pos="360"/>
        </w:tabs>
        <w:ind w:left="360" w:hanging="360"/>
        <w:jc w:val="left"/>
        <w:rPr>
          <w:rFonts w:ascii="Arial" w:hAnsi="Arial" w:cs="Arial"/>
          <w:sz w:val="24"/>
        </w:rPr>
      </w:pPr>
      <w:r>
        <w:rPr>
          <w:rFonts w:ascii="Arial" w:hAnsi="Arial" w:cs="Arial"/>
          <w:sz w:val="24"/>
        </w:rPr>
        <w:tab/>
      </w:r>
      <w:r w:rsidR="00E95715">
        <w:rPr>
          <w:rFonts w:ascii="Arial" w:hAnsi="Arial" w:cs="Arial"/>
          <w:sz w:val="24"/>
        </w:rPr>
        <w:t>A</w:t>
      </w:r>
      <w:r w:rsidR="00456CB4" w:rsidRPr="004A26C8">
        <w:rPr>
          <w:rFonts w:ascii="Arial" w:hAnsi="Arial" w:cs="Arial"/>
          <w:sz w:val="24"/>
        </w:rPr>
        <w:t xml:space="preserve"> </w:t>
      </w:r>
      <w:r w:rsidR="00C011AC">
        <w:rPr>
          <w:rFonts w:ascii="Arial" w:hAnsi="Arial" w:cs="Arial"/>
          <w:sz w:val="24"/>
        </w:rPr>
        <w:t>long-term contract</w:t>
      </w:r>
      <w:r w:rsidR="00456CB4" w:rsidRPr="004A26C8">
        <w:rPr>
          <w:rFonts w:ascii="Arial" w:hAnsi="Arial" w:cs="Arial"/>
          <w:sz w:val="24"/>
        </w:rPr>
        <w:t xml:space="preserve"> </w:t>
      </w:r>
      <w:r w:rsidR="00C011AC">
        <w:rPr>
          <w:rFonts w:ascii="Arial" w:hAnsi="Arial" w:cs="Arial"/>
          <w:sz w:val="24"/>
        </w:rPr>
        <w:t xml:space="preserve">for a capacity resource </w:t>
      </w:r>
      <w:r w:rsidR="00456CB4" w:rsidRPr="004A26C8">
        <w:rPr>
          <w:rFonts w:ascii="Arial" w:hAnsi="Arial" w:cs="Arial"/>
          <w:sz w:val="24"/>
        </w:rPr>
        <w:t xml:space="preserve">can be authorized </w:t>
      </w:r>
      <w:r w:rsidR="00C011AC">
        <w:rPr>
          <w:rFonts w:ascii="Arial" w:hAnsi="Arial" w:cs="Arial"/>
          <w:sz w:val="24"/>
        </w:rPr>
        <w:t xml:space="preserve">only </w:t>
      </w:r>
      <w:r w:rsidR="00456CB4" w:rsidRPr="004A26C8">
        <w:rPr>
          <w:rFonts w:ascii="Arial" w:hAnsi="Arial" w:cs="Arial"/>
          <w:sz w:val="24"/>
        </w:rPr>
        <w:t xml:space="preserve">if the Commission finds: (1) that a long-term contract is the least cost means to address an identified local grid reliability need and is necessary for the capacity resource to be developed or for its operation to be maintained; (2) that a long-term contract is necessary for the capacity resource to be developed or for its operation to be maintained, that the existence of the capacity resource will significantly lower the cost </w:t>
      </w:r>
      <w:r w:rsidR="004A2492" w:rsidRPr="004A26C8">
        <w:rPr>
          <w:rFonts w:ascii="Arial" w:hAnsi="Arial" w:cs="Arial"/>
          <w:sz w:val="24"/>
        </w:rPr>
        <w:t xml:space="preserve">of capacity requirements to Maine ratepayers, and that the price for the capacity resource is expected to be no higher than market prices over the term of the contract; </w:t>
      </w:r>
      <w:r w:rsidR="005B2E68">
        <w:rPr>
          <w:rFonts w:ascii="Arial" w:hAnsi="Arial" w:cs="Arial"/>
          <w:sz w:val="24"/>
        </w:rPr>
        <w:t>or</w:t>
      </w:r>
      <w:r w:rsidR="005B2E68" w:rsidRPr="004A26C8">
        <w:rPr>
          <w:rFonts w:ascii="Arial" w:hAnsi="Arial" w:cs="Arial"/>
          <w:sz w:val="24"/>
        </w:rPr>
        <w:t xml:space="preserve"> </w:t>
      </w:r>
      <w:r w:rsidR="004A2492" w:rsidRPr="004A26C8">
        <w:rPr>
          <w:rFonts w:ascii="Arial" w:hAnsi="Arial" w:cs="Arial"/>
          <w:sz w:val="24"/>
        </w:rPr>
        <w:t xml:space="preserve">(3) that the price of the capacity resource under the long-term contract is significantly </w:t>
      </w:r>
      <w:r w:rsidR="00E91570">
        <w:rPr>
          <w:rFonts w:ascii="Arial" w:hAnsi="Arial" w:cs="Arial"/>
          <w:sz w:val="24"/>
        </w:rPr>
        <w:t xml:space="preserve">likely to be </w:t>
      </w:r>
      <w:r w:rsidR="004A2492" w:rsidRPr="004A26C8">
        <w:rPr>
          <w:rFonts w:ascii="Arial" w:hAnsi="Arial" w:cs="Arial"/>
          <w:sz w:val="24"/>
        </w:rPr>
        <w:t>below the expected market value of</w:t>
      </w:r>
      <w:r w:rsidR="005B2E68">
        <w:rPr>
          <w:rFonts w:ascii="Arial" w:hAnsi="Arial" w:cs="Arial"/>
          <w:sz w:val="24"/>
        </w:rPr>
        <w:t xml:space="preserve"> </w:t>
      </w:r>
      <w:r w:rsidR="00D8052A">
        <w:rPr>
          <w:rFonts w:ascii="Arial" w:hAnsi="Arial" w:cs="Arial"/>
          <w:sz w:val="24"/>
        </w:rPr>
        <w:t xml:space="preserve">the </w:t>
      </w:r>
      <w:r w:rsidR="004A2492" w:rsidRPr="004A26C8">
        <w:rPr>
          <w:rFonts w:ascii="Arial" w:hAnsi="Arial" w:cs="Arial"/>
          <w:sz w:val="24"/>
        </w:rPr>
        <w:t>capacity</w:t>
      </w:r>
      <w:r w:rsidR="009E4695">
        <w:rPr>
          <w:rFonts w:ascii="Arial" w:hAnsi="Arial" w:cs="Arial"/>
          <w:sz w:val="24"/>
        </w:rPr>
        <w:t>, or</w:t>
      </w:r>
      <w:r w:rsidR="00E91570">
        <w:rPr>
          <w:rFonts w:ascii="Arial" w:hAnsi="Arial" w:cs="Arial"/>
          <w:sz w:val="24"/>
        </w:rPr>
        <w:t xml:space="preserve">, in combination with associated energy, </w:t>
      </w:r>
      <w:r w:rsidR="009E4695">
        <w:rPr>
          <w:rFonts w:ascii="Arial" w:hAnsi="Arial" w:cs="Arial"/>
          <w:sz w:val="24"/>
        </w:rPr>
        <w:t xml:space="preserve">is significantly </w:t>
      </w:r>
      <w:r w:rsidR="00E91570">
        <w:rPr>
          <w:rFonts w:ascii="Arial" w:hAnsi="Arial" w:cs="Arial"/>
          <w:sz w:val="24"/>
        </w:rPr>
        <w:t xml:space="preserve">likely to be </w:t>
      </w:r>
      <w:r w:rsidR="009E4695">
        <w:rPr>
          <w:rFonts w:ascii="Arial" w:hAnsi="Arial" w:cs="Arial"/>
          <w:sz w:val="24"/>
        </w:rPr>
        <w:t xml:space="preserve">below the expected market value of </w:t>
      </w:r>
      <w:r w:rsidR="00D8052A">
        <w:rPr>
          <w:rFonts w:ascii="Arial" w:hAnsi="Arial" w:cs="Arial"/>
          <w:sz w:val="24"/>
        </w:rPr>
        <w:t xml:space="preserve">the </w:t>
      </w:r>
      <w:r w:rsidR="009E4695">
        <w:rPr>
          <w:rFonts w:ascii="Arial" w:hAnsi="Arial" w:cs="Arial"/>
          <w:sz w:val="24"/>
        </w:rPr>
        <w:t xml:space="preserve">capacity </w:t>
      </w:r>
      <w:r w:rsidR="00E91570">
        <w:rPr>
          <w:rFonts w:ascii="Arial" w:hAnsi="Arial" w:cs="Arial"/>
          <w:sz w:val="24"/>
        </w:rPr>
        <w:t>and</w:t>
      </w:r>
      <w:r w:rsidR="005B2E68">
        <w:rPr>
          <w:rFonts w:ascii="Arial" w:hAnsi="Arial" w:cs="Arial"/>
          <w:sz w:val="24"/>
        </w:rPr>
        <w:t xml:space="preserve"> energy</w:t>
      </w:r>
      <w:r w:rsidR="009E4695">
        <w:rPr>
          <w:rFonts w:ascii="Arial" w:hAnsi="Arial" w:cs="Arial"/>
          <w:sz w:val="24"/>
        </w:rPr>
        <w:t>,</w:t>
      </w:r>
      <w:r w:rsidR="004A2492" w:rsidRPr="004A26C8">
        <w:rPr>
          <w:rFonts w:ascii="Arial" w:hAnsi="Arial" w:cs="Arial"/>
          <w:sz w:val="24"/>
        </w:rPr>
        <w:t xml:space="preserve"> over the term of the contract. </w:t>
      </w:r>
    </w:p>
    <w:p w14:paraId="008ADC2C" w14:textId="0D5B0C12" w:rsidR="009E5875" w:rsidRDefault="009E5875" w:rsidP="002B3C60">
      <w:pPr>
        <w:tabs>
          <w:tab w:val="num" w:pos="360"/>
        </w:tabs>
        <w:ind w:left="360" w:hanging="360"/>
        <w:jc w:val="left"/>
        <w:rPr>
          <w:rFonts w:ascii="Arial" w:hAnsi="Arial" w:cs="Arial"/>
          <w:sz w:val="24"/>
        </w:rPr>
      </w:pPr>
      <w:r>
        <w:rPr>
          <w:rFonts w:ascii="Arial" w:hAnsi="Arial" w:cs="Arial"/>
          <w:sz w:val="24"/>
        </w:rPr>
        <w:tab/>
      </w:r>
      <w:r w:rsidR="00C011AC">
        <w:rPr>
          <w:rFonts w:ascii="Arial" w:hAnsi="Arial" w:cs="Arial"/>
          <w:sz w:val="24"/>
        </w:rPr>
        <w:t>A long-term contract for a</w:t>
      </w:r>
      <w:r w:rsidR="005A4778" w:rsidRPr="004A26C8">
        <w:rPr>
          <w:rFonts w:ascii="Arial" w:hAnsi="Arial"/>
          <w:sz w:val="24"/>
        </w:rPr>
        <w:t>ssociated energy</w:t>
      </w:r>
      <w:r w:rsidR="001E4F36" w:rsidRPr="004A26C8">
        <w:rPr>
          <w:rFonts w:ascii="Arial" w:hAnsi="Arial"/>
          <w:sz w:val="24"/>
        </w:rPr>
        <w:t xml:space="preserve"> can be authorized </w:t>
      </w:r>
      <w:r w:rsidR="00C011AC">
        <w:rPr>
          <w:rFonts w:ascii="Arial" w:hAnsi="Arial"/>
          <w:sz w:val="24"/>
        </w:rPr>
        <w:t>only if th</w:t>
      </w:r>
      <w:r w:rsidR="001E4F36" w:rsidRPr="004A26C8">
        <w:rPr>
          <w:rFonts w:ascii="Arial" w:hAnsi="Arial"/>
          <w:sz w:val="24"/>
        </w:rPr>
        <w:t>e Commission finds:</w:t>
      </w:r>
      <w:r w:rsidR="005165A3" w:rsidRPr="004A26C8">
        <w:rPr>
          <w:rFonts w:ascii="Arial" w:hAnsi="Arial"/>
          <w:sz w:val="24"/>
        </w:rPr>
        <w:t xml:space="preserve"> </w:t>
      </w:r>
      <w:r w:rsidR="008E2C1B" w:rsidRPr="004A26C8">
        <w:rPr>
          <w:rFonts w:ascii="Arial" w:hAnsi="Arial" w:cs="Arial"/>
          <w:sz w:val="24"/>
        </w:rPr>
        <w:t xml:space="preserve">(1) </w:t>
      </w:r>
      <w:r w:rsidR="001E4F36" w:rsidRPr="004A26C8">
        <w:rPr>
          <w:rFonts w:ascii="Arial" w:hAnsi="Arial" w:cs="Arial"/>
          <w:sz w:val="24"/>
        </w:rPr>
        <w:t xml:space="preserve">that the existence of the capacity resource is necessary to fulfill the new renewable capacity resource </w:t>
      </w:r>
      <w:r w:rsidR="001E4F36" w:rsidRPr="00015C39">
        <w:rPr>
          <w:rFonts w:ascii="Arial" w:hAnsi="Arial" w:cs="Arial"/>
          <w:sz w:val="24"/>
        </w:rPr>
        <w:t xml:space="preserve">policy specified in </w:t>
      </w:r>
      <w:r w:rsidR="009245D1">
        <w:rPr>
          <w:rFonts w:ascii="Arial" w:hAnsi="Arial" w:cs="Arial"/>
          <w:sz w:val="24"/>
        </w:rPr>
        <w:t>statute</w:t>
      </w:r>
      <w:r w:rsidR="001E4F36" w:rsidRPr="00015C39">
        <w:rPr>
          <w:rFonts w:ascii="Arial" w:hAnsi="Arial" w:cs="Arial"/>
          <w:sz w:val="24"/>
        </w:rPr>
        <w:t>, that</w:t>
      </w:r>
      <w:r w:rsidR="001E4F36" w:rsidRPr="004A26C8">
        <w:rPr>
          <w:rFonts w:ascii="Arial" w:hAnsi="Arial" w:cs="Arial"/>
          <w:sz w:val="24"/>
        </w:rPr>
        <w:t xml:space="preserve"> the long-term contract </w:t>
      </w:r>
      <w:r w:rsidR="001E4F36" w:rsidRPr="004A26C8">
        <w:rPr>
          <w:rFonts w:ascii="Arial" w:hAnsi="Arial" w:cs="Arial"/>
          <w:sz w:val="24"/>
        </w:rPr>
        <w:lastRenderedPageBreak/>
        <w:t>for associated energy is necessary for the capacity resource to be constructed or to prevent the capacity resource from being retired, and that the price of the of the associated energy under the long-term contract is expected to be no higher than market prices over the term of the contract; or</w:t>
      </w:r>
      <w:r w:rsidR="008E2C1B" w:rsidRPr="004A26C8">
        <w:rPr>
          <w:rFonts w:ascii="Arial" w:hAnsi="Arial" w:cs="Arial"/>
          <w:sz w:val="24"/>
        </w:rPr>
        <w:t xml:space="preserve"> (</w:t>
      </w:r>
      <w:r w:rsidR="001E4F36" w:rsidRPr="004A26C8">
        <w:rPr>
          <w:rFonts w:ascii="Arial" w:hAnsi="Arial" w:cs="Arial"/>
          <w:sz w:val="24"/>
        </w:rPr>
        <w:t>2</w:t>
      </w:r>
      <w:r w:rsidR="008E2C1B" w:rsidRPr="004A26C8">
        <w:rPr>
          <w:rFonts w:ascii="Arial" w:hAnsi="Arial" w:cs="Arial"/>
          <w:sz w:val="24"/>
        </w:rPr>
        <w:t xml:space="preserve">) </w:t>
      </w:r>
      <w:r w:rsidR="001E4F36" w:rsidRPr="004A26C8">
        <w:rPr>
          <w:rFonts w:ascii="Arial" w:hAnsi="Arial" w:cs="Arial"/>
          <w:sz w:val="24"/>
        </w:rPr>
        <w:t>that the associated energy can be used to supply standard offer service</w:t>
      </w:r>
      <w:r w:rsidR="00150B34" w:rsidRPr="004A26C8">
        <w:rPr>
          <w:rFonts w:ascii="Arial" w:hAnsi="Arial" w:cs="Arial"/>
          <w:sz w:val="24"/>
        </w:rPr>
        <w:t>, lower the cost of standard offer service, or lower the cost of electricity for ratepayers in Maine,</w:t>
      </w:r>
      <w:r w:rsidR="001E4F36" w:rsidRPr="004A26C8">
        <w:rPr>
          <w:rFonts w:ascii="Arial" w:hAnsi="Arial" w:cs="Arial"/>
          <w:sz w:val="24"/>
        </w:rPr>
        <w:t xml:space="preserve"> and that the price for the associated energy under the long-term contract is significantly</w:t>
      </w:r>
      <w:r w:rsidR="00D8052A">
        <w:rPr>
          <w:rFonts w:ascii="Arial" w:hAnsi="Arial" w:cs="Arial"/>
          <w:sz w:val="24"/>
        </w:rPr>
        <w:t xml:space="preserve"> likely to be</w:t>
      </w:r>
      <w:r w:rsidR="001E4F36" w:rsidRPr="004A26C8">
        <w:rPr>
          <w:rFonts w:ascii="Arial" w:hAnsi="Arial" w:cs="Arial"/>
          <w:sz w:val="24"/>
        </w:rPr>
        <w:t xml:space="preserve"> below the expected market value of</w:t>
      </w:r>
      <w:r w:rsidR="00D8052A">
        <w:rPr>
          <w:rFonts w:ascii="Arial" w:hAnsi="Arial" w:cs="Arial"/>
          <w:sz w:val="24"/>
        </w:rPr>
        <w:t xml:space="preserve"> the</w:t>
      </w:r>
      <w:r w:rsidR="001E4F36" w:rsidRPr="004A26C8">
        <w:rPr>
          <w:rFonts w:ascii="Arial" w:hAnsi="Arial" w:cs="Arial"/>
          <w:sz w:val="24"/>
        </w:rPr>
        <w:t xml:space="preserve"> energy</w:t>
      </w:r>
      <w:r w:rsidR="009E4695">
        <w:rPr>
          <w:rFonts w:ascii="Arial" w:hAnsi="Arial" w:cs="Arial"/>
          <w:sz w:val="24"/>
        </w:rPr>
        <w:t>, or</w:t>
      </w:r>
      <w:r w:rsidR="00D8052A">
        <w:rPr>
          <w:rFonts w:ascii="Arial" w:hAnsi="Arial" w:cs="Arial"/>
          <w:sz w:val="24"/>
        </w:rPr>
        <w:t>, in combination with the capacity,</w:t>
      </w:r>
      <w:r w:rsidR="009E4695">
        <w:rPr>
          <w:rFonts w:ascii="Arial" w:hAnsi="Arial" w:cs="Arial"/>
          <w:sz w:val="24"/>
        </w:rPr>
        <w:t xml:space="preserve"> is significantly</w:t>
      </w:r>
      <w:r w:rsidR="00E91570">
        <w:rPr>
          <w:rFonts w:ascii="Arial" w:hAnsi="Arial" w:cs="Arial"/>
          <w:sz w:val="24"/>
        </w:rPr>
        <w:t xml:space="preserve"> likely to be</w:t>
      </w:r>
      <w:r w:rsidR="009E4695">
        <w:rPr>
          <w:rFonts w:ascii="Arial" w:hAnsi="Arial" w:cs="Arial"/>
          <w:sz w:val="24"/>
        </w:rPr>
        <w:t xml:space="preserve"> below the expected market value of </w:t>
      </w:r>
      <w:r w:rsidR="00D8052A">
        <w:rPr>
          <w:rFonts w:ascii="Arial" w:hAnsi="Arial" w:cs="Arial"/>
          <w:sz w:val="24"/>
        </w:rPr>
        <w:t xml:space="preserve">the </w:t>
      </w:r>
      <w:r w:rsidR="009E4695">
        <w:rPr>
          <w:rFonts w:ascii="Arial" w:hAnsi="Arial" w:cs="Arial"/>
          <w:sz w:val="24"/>
        </w:rPr>
        <w:t xml:space="preserve">capacity </w:t>
      </w:r>
      <w:r w:rsidR="00D8052A">
        <w:rPr>
          <w:rFonts w:ascii="Arial" w:hAnsi="Arial" w:cs="Arial"/>
          <w:sz w:val="24"/>
        </w:rPr>
        <w:t>and</w:t>
      </w:r>
      <w:r w:rsidR="009E4695">
        <w:rPr>
          <w:rFonts w:ascii="Arial" w:hAnsi="Arial" w:cs="Arial"/>
          <w:sz w:val="24"/>
        </w:rPr>
        <w:t xml:space="preserve"> energy,</w:t>
      </w:r>
      <w:r w:rsidR="001E4F36" w:rsidRPr="004A26C8">
        <w:rPr>
          <w:rFonts w:ascii="Arial" w:hAnsi="Arial" w:cs="Arial"/>
          <w:sz w:val="24"/>
        </w:rPr>
        <w:t xml:space="preserve"> over the term of the contract</w:t>
      </w:r>
      <w:r w:rsidR="00224CFC" w:rsidRPr="004A26C8">
        <w:rPr>
          <w:rFonts w:ascii="Arial" w:hAnsi="Arial" w:cs="Arial"/>
          <w:sz w:val="24"/>
        </w:rPr>
        <w:t>.</w:t>
      </w:r>
      <w:r w:rsidR="00DF07D2" w:rsidRPr="004A26C8">
        <w:rPr>
          <w:rFonts w:ascii="Arial" w:hAnsi="Arial" w:cs="Arial"/>
          <w:sz w:val="24"/>
        </w:rPr>
        <w:t xml:space="preserve"> </w:t>
      </w:r>
    </w:p>
    <w:p w14:paraId="61375198" w14:textId="77777777" w:rsidR="005B2E68" w:rsidRDefault="005B2E68" w:rsidP="002B3C60">
      <w:pPr>
        <w:tabs>
          <w:tab w:val="num" w:pos="360"/>
        </w:tabs>
        <w:ind w:left="360" w:hanging="360"/>
        <w:jc w:val="left"/>
        <w:rPr>
          <w:rFonts w:ascii="Arial" w:hAnsi="Arial" w:cs="Arial"/>
          <w:sz w:val="24"/>
        </w:rPr>
      </w:pPr>
    </w:p>
    <w:p w14:paraId="6A2D3031" w14:textId="77777777" w:rsidR="005B0BA2" w:rsidRPr="004A26C8" w:rsidRDefault="001A6EF7" w:rsidP="002B3C60">
      <w:pPr>
        <w:tabs>
          <w:tab w:val="num" w:pos="360"/>
        </w:tabs>
        <w:ind w:left="360" w:hanging="360"/>
        <w:jc w:val="left"/>
        <w:rPr>
          <w:rFonts w:ascii="Arial" w:hAnsi="Arial"/>
          <w:b/>
          <w:sz w:val="24"/>
        </w:rPr>
      </w:pPr>
      <w:r>
        <w:rPr>
          <w:rFonts w:ascii="Arial" w:hAnsi="Arial"/>
          <w:b/>
          <w:sz w:val="24"/>
        </w:rPr>
        <w:tab/>
        <w:t>3.</w:t>
      </w:r>
      <w:r w:rsidR="009E270B">
        <w:rPr>
          <w:rFonts w:ascii="Arial" w:hAnsi="Arial"/>
          <w:b/>
          <w:sz w:val="24"/>
        </w:rPr>
        <w:t>3</w:t>
      </w:r>
      <w:r w:rsidR="00777C96" w:rsidRPr="004A26C8">
        <w:rPr>
          <w:rFonts w:ascii="Arial" w:hAnsi="Arial"/>
          <w:b/>
          <w:sz w:val="24"/>
        </w:rPr>
        <w:tab/>
      </w:r>
      <w:r>
        <w:rPr>
          <w:rFonts w:ascii="Arial" w:hAnsi="Arial"/>
          <w:b/>
          <w:sz w:val="24"/>
        </w:rPr>
        <w:t xml:space="preserve"> </w:t>
      </w:r>
      <w:r w:rsidR="00C61E29">
        <w:rPr>
          <w:rFonts w:ascii="Arial" w:hAnsi="Arial"/>
          <w:b/>
          <w:sz w:val="24"/>
        </w:rPr>
        <w:t xml:space="preserve">Resource </w:t>
      </w:r>
      <w:r w:rsidR="00996023" w:rsidRPr="004A26C8">
        <w:rPr>
          <w:rFonts w:ascii="Arial" w:hAnsi="Arial"/>
          <w:b/>
          <w:sz w:val="24"/>
        </w:rPr>
        <w:t>Priorit</w:t>
      </w:r>
      <w:r w:rsidR="00C61E29">
        <w:rPr>
          <w:rFonts w:ascii="Arial" w:hAnsi="Arial"/>
          <w:b/>
          <w:sz w:val="24"/>
        </w:rPr>
        <w:t>y Order</w:t>
      </w:r>
    </w:p>
    <w:p w14:paraId="629EA815" w14:textId="77777777" w:rsidR="001D775E" w:rsidRPr="00861F8E" w:rsidRDefault="00E322E2" w:rsidP="002B3C60">
      <w:pPr>
        <w:tabs>
          <w:tab w:val="num" w:pos="360"/>
        </w:tabs>
        <w:ind w:left="360" w:hanging="360"/>
        <w:jc w:val="left"/>
        <w:rPr>
          <w:rFonts w:ascii="Arial" w:hAnsi="Arial"/>
          <w:sz w:val="24"/>
        </w:rPr>
      </w:pPr>
      <w:r w:rsidRPr="004A26C8">
        <w:rPr>
          <w:rFonts w:ascii="Arial" w:hAnsi="Arial"/>
          <w:sz w:val="24"/>
        </w:rPr>
        <w:tab/>
      </w:r>
      <w:r w:rsidR="00BC6A1E" w:rsidRPr="004A26C8">
        <w:rPr>
          <w:rFonts w:ascii="Arial" w:hAnsi="Arial"/>
          <w:sz w:val="24"/>
        </w:rPr>
        <w:t>As noted above, the foremost objective</w:t>
      </w:r>
      <w:r w:rsidR="00D00693" w:rsidRPr="004A26C8">
        <w:rPr>
          <w:rFonts w:ascii="Arial" w:hAnsi="Arial"/>
          <w:sz w:val="24"/>
        </w:rPr>
        <w:t xml:space="preserve"> of th</w:t>
      </w:r>
      <w:r w:rsidR="00C61E29">
        <w:rPr>
          <w:rFonts w:ascii="Arial" w:hAnsi="Arial"/>
          <w:sz w:val="24"/>
        </w:rPr>
        <w:t>e</w:t>
      </w:r>
      <w:r w:rsidR="00D00693" w:rsidRPr="004A26C8">
        <w:rPr>
          <w:rFonts w:ascii="Arial" w:hAnsi="Arial"/>
          <w:sz w:val="24"/>
        </w:rPr>
        <w:t xml:space="preserve"> RFP is to </w:t>
      </w:r>
      <w:r w:rsidR="008834E8">
        <w:rPr>
          <w:rFonts w:ascii="Arial" w:hAnsi="Arial"/>
          <w:sz w:val="24"/>
        </w:rPr>
        <w:t>acquire</w:t>
      </w:r>
      <w:r w:rsidR="00D00693" w:rsidRPr="004A26C8">
        <w:rPr>
          <w:rFonts w:ascii="Arial" w:hAnsi="Arial"/>
          <w:sz w:val="24"/>
        </w:rPr>
        <w:t xml:space="preserve"> long-term contracts that </w:t>
      </w:r>
      <w:r w:rsidR="00FC7787">
        <w:rPr>
          <w:rFonts w:ascii="Arial" w:hAnsi="Arial"/>
          <w:sz w:val="24"/>
        </w:rPr>
        <w:t>provide electricity cost benefits to</w:t>
      </w:r>
      <w:r w:rsidR="00D00693" w:rsidRPr="004A26C8">
        <w:rPr>
          <w:rFonts w:ascii="Arial" w:hAnsi="Arial"/>
          <w:sz w:val="24"/>
        </w:rPr>
        <w:t xml:space="preserve"> Maine consumers</w:t>
      </w:r>
      <w:r w:rsidR="00FC7787">
        <w:rPr>
          <w:rFonts w:ascii="Arial" w:hAnsi="Arial"/>
          <w:sz w:val="24"/>
        </w:rPr>
        <w:t xml:space="preserve">. </w:t>
      </w:r>
      <w:r w:rsidR="008834E8">
        <w:rPr>
          <w:rFonts w:ascii="Arial" w:hAnsi="Arial"/>
          <w:sz w:val="24"/>
        </w:rPr>
        <w:t>Benefits associated with the e</w:t>
      </w:r>
      <w:r w:rsidR="00D00693" w:rsidRPr="004A26C8">
        <w:rPr>
          <w:rFonts w:ascii="Arial" w:hAnsi="Arial"/>
          <w:sz w:val="24"/>
        </w:rPr>
        <w:t>nvironmental and</w:t>
      </w:r>
      <w:r w:rsidR="00BC6A1E" w:rsidRPr="004A26C8">
        <w:rPr>
          <w:rFonts w:ascii="Arial" w:hAnsi="Arial"/>
          <w:sz w:val="24"/>
        </w:rPr>
        <w:t xml:space="preserve"> reliability</w:t>
      </w:r>
      <w:r w:rsidR="00D00693" w:rsidRPr="004A26C8">
        <w:rPr>
          <w:rFonts w:ascii="Arial" w:hAnsi="Arial"/>
          <w:sz w:val="24"/>
        </w:rPr>
        <w:t xml:space="preserve"> attributes</w:t>
      </w:r>
      <w:r w:rsidR="008834E8">
        <w:rPr>
          <w:rFonts w:ascii="Arial" w:hAnsi="Arial"/>
          <w:sz w:val="24"/>
        </w:rPr>
        <w:t xml:space="preserve"> of resources may also be considered</w:t>
      </w:r>
      <w:r w:rsidR="00BC6A1E" w:rsidRPr="004A26C8">
        <w:rPr>
          <w:rFonts w:ascii="Arial" w:hAnsi="Arial"/>
          <w:sz w:val="24"/>
        </w:rPr>
        <w:t xml:space="preserve"> </w:t>
      </w:r>
      <w:r w:rsidR="007E62CA" w:rsidRPr="004A26C8">
        <w:rPr>
          <w:rFonts w:ascii="Arial" w:hAnsi="Arial"/>
          <w:sz w:val="24"/>
        </w:rPr>
        <w:t>in accordance with</w:t>
      </w:r>
      <w:r w:rsidR="00D00693" w:rsidRPr="004A26C8">
        <w:rPr>
          <w:rFonts w:ascii="Arial" w:hAnsi="Arial"/>
          <w:sz w:val="24"/>
        </w:rPr>
        <w:t xml:space="preserve"> the </w:t>
      </w:r>
      <w:r w:rsidR="00FC7787">
        <w:rPr>
          <w:rFonts w:ascii="Arial" w:hAnsi="Arial"/>
          <w:sz w:val="24"/>
        </w:rPr>
        <w:t xml:space="preserve">following </w:t>
      </w:r>
      <w:r w:rsidR="001D775E">
        <w:rPr>
          <w:rFonts w:ascii="Arial" w:hAnsi="Arial"/>
          <w:sz w:val="24"/>
        </w:rPr>
        <w:t xml:space="preserve">statutory </w:t>
      </w:r>
      <w:r w:rsidR="00F940B6" w:rsidRPr="00861F8E">
        <w:rPr>
          <w:rFonts w:ascii="Arial" w:hAnsi="Arial"/>
          <w:sz w:val="24"/>
        </w:rPr>
        <w:t>R</w:t>
      </w:r>
      <w:r w:rsidR="00D00693" w:rsidRPr="00861F8E">
        <w:rPr>
          <w:rFonts w:ascii="Arial" w:hAnsi="Arial"/>
          <w:sz w:val="24"/>
        </w:rPr>
        <w:t xml:space="preserve">esource </w:t>
      </w:r>
      <w:r w:rsidR="00F940B6" w:rsidRPr="00861F8E">
        <w:rPr>
          <w:rFonts w:ascii="Arial" w:hAnsi="Arial"/>
          <w:sz w:val="24"/>
        </w:rPr>
        <w:t>P</w:t>
      </w:r>
      <w:r w:rsidR="00D00693" w:rsidRPr="00861F8E">
        <w:rPr>
          <w:rFonts w:ascii="Arial" w:hAnsi="Arial"/>
          <w:sz w:val="24"/>
        </w:rPr>
        <w:t xml:space="preserve">riority </w:t>
      </w:r>
      <w:r w:rsidR="00F940B6" w:rsidRPr="00861F8E">
        <w:rPr>
          <w:rFonts w:ascii="Arial" w:hAnsi="Arial"/>
          <w:sz w:val="24"/>
        </w:rPr>
        <w:t>O</w:t>
      </w:r>
      <w:r w:rsidR="00D00693" w:rsidRPr="00861F8E">
        <w:rPr>
          <w:rFonts w:ascii="Arial" w:hAnsi="Arial"/>
          <w:sz w:val="24"/>
        </w:rPr>
        <w:t>rder</w:t>
      </w:r>
      <w:r w:rsidR="008834E8">
        <w:rPr>
          <w:rFonts w:ascii="Arial" w:hAnsi="Arial"/>
          <w:sz w:val="24"/>
        </w:rPr>
        <w:t>:</w:t>
      </w:r>
      <w:r w:rsidR="00BC6A1E" w:rsidRPr="00861F8E">
        <w:rPr>
          <w:rFonts w:ascii="Arial" w:hAnsi="Arial"/>
          <w:sz w:val="24"/>
        </w:rPr>
        <w:t xml:space="preserve">  </w:t>
      </w:r>
    </w:p>
    <w:p w14:paraId="3C72E973" w14:textId="11D892B0" w:rsidR="00FC7787" w:rsidRPr="00C61E29" w:rsidRDefault="00E322E2" w:rsidP="005615EF">
      <w:pPr>
        <w:tabs>
          <w:tab w:val="num" w:pos="720"/>
          <w:tab w:val="right" w:pos="7194"/>
          <w:tab w:val="left" w:pos="7740"/>
          <w:tab w:val="right" w:pos="9354"/>
        </w:tabs>
        <w:ind w:left="720" w:hanging="180"/>
        <w:rPr>
          <w:rFonts w:ascii="Arial" w:hAnsi="Arial" w:cs="Arial"/>
          <w:sz w:val="24"/>
        </w:rPr>
      </w:pPr>
      <w:r w:rsidRPr="004A26C8">
        <w:rPr>
          <w:rFonts w:ascii="Arial" w:hAnsi="Arial" w:cs="Arial"/>
          <w:sz w:val="24"/>
        </w:rPr>
        <w:tab/>
      </w:r>
      <w:r w:rsidR="00FC7787" w:rsidRPr="00C61E29">
        <w:rPr>
          <w:rFonts w:ascii="Arial" w:hAnsi="Arial" w:cs="Arial"/>
          <w:sz w:val="24"/>
        </w:rPr>
        <w:t xml:space="preserve">(1) </w:t>
      </w:r>
      <w:proofErr w:type="gramStart"/>
      <w:r w:rsidR="00FC7787" w:rsidRPr="00C61E29">
        <w:rPr>
          <w:rFonts w:ascii="Arial" w:hAnsi="Arial" w:cs="Arial"/>
          <w:sz w:val="24"/>
        </w:rPr>
        <w:t>new</w:t>
      </w:r>
      <w:proofErr w:type="gramEnd"/>
      <w:r w:rsidR="00FC7787" w:rsidRPr="00C61E29">
        <w:rPr>
          <w:rFonts w:ascii="Arial" w:hAnsi="Arial" w:cs="Arial"/>
          <w:sz w:val="24"/>
        </w:rPr>
        <w:t xml:space="preserve"> renewable capacity resources located in Maine; </w:t>
      </w:r>
    </w:p>
    <w:p w14:paraId="1F72BE84" w14:textId="3C803697" w:rsidR="00FC7787" w:rsidRPr="00C61E29" w:rsidRDefault="00FC7787" w:rsidP="00861F8E">
      <w:pPr>
        <w:tabs>
          <w:tab w:val="num" w:pos="630"/>
          <w:tab w:val="num" w:pos="720"/>
          <w:tab w:val="right" w:pos="7194"/>
          <w:tab w:val="left" w:pos="7740"/>
          <w:tab w:val="right" w:pos="9354"/>
        </w:tabs>
        <w:ind w:left="360" w:firstLine="270"/>
        <w:rPr>
          <w:rFonts w:ascii="Arial" w:hAnsi="Arial" w:cs="Arial"/>
          <w:sz w:val="24"/>
        </w:rPr>
      </w:pPr>
      <w:r w:rsidRPr="00C61E29">
        <w:rPr>
          <w:rFonts w:ascii="Arial" w:hAnsi="Arial" w:cs="Arial"/>
          <w:sz w:val="24"/>
        </w:rPr>
        <w:tab/>
        <w:t>(</w:t>
      </w:r>
      <w:r w:rsidR="00C403BF">
        <w:rPr>
          <w:rFonts w:ascii="Arial" w:hAnsi="Arial" w:cs="Arial"/>
          <w:sz w:val="24"/>
        </w:rPr>
        <w:t>2</w:t>
      </w:r>
      <w:r w:rsidRPr="00C61E29">
        <w:rPr>
          <w:rFonts w:ascii="Arial" w:hAnsi="Arial" w:cs="Arial"/>
          <w:sz w:val="24"/>
        </w:rPr>
        <w:t xml:space="preserve">) </w:t>
      </w:r>
      <w:proofErr w:type="gramStart"/>
      <w:r w:rsidRPr="00C61E29">
        <w:rPr>
          <w:rFonts w:ascii="Arial" w:hAnsi="Arial" w:cs="Arial"/>
          <w:sz w:val="24"/>
        </w:rPr>
        <w:t>new</w:t>
      </w:r>
      <w:proofErr w:type="gramEnd"/>
      <w:r w:rsidRPr="00C61E29">
        <w:rPr>
          <w:rFonts w:ascii="Arial" w:hAnsi="Arial" w:cs="Arial"/>
          <w:sz w:val="24"/>
        </w:rPr>
        <w:t xml:space="preserve"> capacity resources with no net emission of greenhouse </w:t>
      </w:r>
      <w:r w:rsidR="00AD1EF1" w:rsidRPr="00C61E29">
        <w:rPr>
          <w:rFonts w:ascii="Arial" w:hAnsi="Arial" w:cs="Arial"/>
          <w:sz w:val="24"/>
        </w:rPr>
        <w:t>g</w:t>
      </w:r>
      <w:r w:rsidRPr="00C61E29">
        <w:rPr>
          <w:rFonts w:ascii="Arial" w:hAnsi="Arial" w:cs="Arial"/>
          <w:sz w:val="24"/>
        </w:rPr>
        <w:t>ases;</w:t>
      </w:r>
    </w:p>
    <w:p w14:paraId="10038A59" w14:textId="1DBB11BB" w:rsidR="00FC7787" w:rsidRPr="00C61E29" w:rsidRDefault="00FC7787" w:rsidP="00861F8E">
      <w:pPr>
        <w:tabs>
          <w:tab w:val="num" w:pos="630"/>
          <w:tab w:val="num" w:pos="720"/>
          <w:tab w:val="right" w:pos="7194"/>
          <w:tab w:val="left" w:pos="7740"/>
          <w:tab w:val="right" w:pos="9354"/>
        </w:tabs>
        <w:ind w:left="720"/>
        <w:rPr>
          <w:rFonts w:ascii="Arial" w:hAnsi="Arial" w:cs="Arial"/>
          <w:sz w:val="24"/>
        </w:rPr>
      </w:pPr>
      <w:r w:rsidRPr="00C61E29">
        <w:rPr>
          <w:rFonts w:ascii="Arial" w:hAnsi="Arial" w:cs="Arial"/>
          <w:sz w:val="24"/>
        </w:rPr>
        <w:tab/>
        <w:t>(</w:t>
      </w:r>
      <w:r w:rsidR="00C403BF">
        <w:rPr>
          <w:rFonts w:ascii="Arial" w:hAnsi="Arial" w:cs="Arial"/>
          <w:sz w:val="24"/>
        </w:rPr>
        <w:t>3</w:t>
      </w:r>
      <w:r w:rsidRPr="00C61E29">
        <w:rPr>
          <w:rFonts w:ascii="Arial" w:hAnsi="Arial" w:cs="Arial"/>
          <w:sz w:val="24"/>
        </w:rPr>
        <w:t xml:space="preserve">) </w:t>
      </w:r>
      <w:proofErr w:type="gramStart"/>
      <w:r w:rsidRPr="00C61E29">
        <w:rPr>
          <w:rFonts w:ascii="Arial" w:hAnsi="Arial" w:cs="Arial"/>
          <w:sz w:val="24"/>
        </w:rPr>
        <w:t>new</w:t>
      </w:r>
      <w:proofErr w:type="gramEnd"/>
      <w:r w:rsidRPr="00C61E29">
        <w:rPr>
          <w:rFonts w:ascii="Arial" w:hAnsi="Arial" w:cs="Arial"/>
          <w:sz w:val="24"/>
        </w:rPr>
        <w:t xml:space="preserve"> nonrenewable capacity resources located in Maine, with preference given to resources with no net emission of greenhouse gases;</w:t>
      </w:r>
    </w:p>
    <w:p w14:paraId="72DF3B3D" w14:textId="2CA3E25D" w:rsidR="00FC7787" w:rsidRPr="00C61E29" w:rsidRDefault="00FC7787" w:rsidP="00861F8E">
      <w:pPr>
        <w:tabs>
          <w:tab w:val="num" w:pos="630"/>
          <w:tab w:val="num" w:pos="720"/>
          <w:tab w:val="right" w:pos="7194"/>
          <w:tab w:val="left" w:pos="7740"/>
          <w:tab w:val="right" w:pos="9354"/>
        </w:tabs>
        <w:ind w:left="720"/>
        <w:rPr>
          <w:rFonts w:ascii="Arial" w:hAnsi="Arial" w:cs="Arial"/>
          <w:sz w:val="24"/>
        </w:rPr>
      </w:pPr>
      <w:r w:rsidRPr="00C61E29">
        <w:rPr>
          <w:rFonts w:ascii="Arial" w:hAnsi="Arial" w:cs="Arial"/>
          <w:sz w:val="24"/>
        </w:rPr>
        <w:tab/>
        <w:t>(</w:t>
      </w:r>
      <w:r w:rsidR="00C403BF">
        <w:rPr>
          <w:rFonts w:ascii="Arial" w:hAnsi="Arial" w:cs="Arial"/>
          <w:sz w:val="24"/>
        </w:rPr>
        <w:t>4</w:t>
      </w:r>
      <w:r w:rsidRPr="00C61E29">
        <w:rPr>
          <w:rFonts w:ascii="Arial" w:hAnsi="Arial" w:cs="Arial"/>
          <w:sz w:val="24"/>
        </w:rPr>
        <w:t xml:space="preserve">) </w:t>
      </w:r>
      <w:proofErr w:type="gramStart"/>
      <w:r w:rsidRPr="00C61E29">
        <w:rPr>
          <w:rFonts w:ascii="Arial" w:hAnsi="Arial" w:cs="Arial"/>
          <w:sz w:val="24"/>
        </w:rPr>
        <w:t>capacity</w:t>
      </w:r>
      <w:proofErr w:type="gramEnd"/>
      <w:r w:rsidRPr="00C61E29">
        <w:rPr>
          <w:rFonts w:ascii="Arial" w:hAnsi="Arial" w:cs="Arial"/>
          <w:sz w:val="24"/>
        </w:rPr>
        <w:t xml:space="preserve"> resources that enhance the reliability of the Maine’s electric grid, with preference given to resources with no net emission of greenhouse gases;</w:t>
      </w:r>
    </w:p>
    <w:p w14:paraId="78F09B3A" w14:textId="262FE2CD" w:rsidR="00FC7787" w:rsidRPr="00FC7787" w:rsidRDefault="00FC7787" w:rsidP="00861F8E">
      <w:pPr>
        <w:tabs>
          <w:tab w:val="num" w:pos="630"/>
          <w:tab w:val="num" w:pos="720"/>
          <w:tab w:val="right" w:pos="7194"/>
          <w:tab w:val="left" w:pos="7740"/>
          <w:tab w:val="right" w:pos="9354"/>
        </w:tabs>
        <w:ind w:left="360" w:firstLine="270"/>
        <w:rPr>
          <w:rFonts w:ascii="Arial" w:hAnsi="Arial" w:cs="Arial"/>
          <w:sz w:val="24"/>
        </w:rPr>
      </w:pPr>
      <w:r w:rsidRPr="00C61E29">
        <w:rPr>
          <w:rFonts w:ascii="Arial" w:hAnsi="Arial" w:cs="Arial"/>
          <w:sz w:val="24"/>
        </w:rPr>
        <w:tab/>
        <w:t>(</w:t>
      </w:r>
      <w:r w:rsidR="00C403BF">
        <w:rPr>
          <w:rFonts w:ascii="Arial" w:hAnsi="Arial" w:cs="Arial"/>
          <w:sz w:val="24"/>
        </w:rPr>
        <w:t>5</w:t>
      </w:r>
      <w:r w:rsidRPr="00C61E29">
        <w:rPr>
          <w:rFonts w:ascii="Arial" w:hAnsi="Arial" w:cs="Arial"/>
          <w:sz w:val="24"/>
        </w:rPr>
        <w:t xml:space="preserve">)  </w:t>
      </w:r>
      <w:proofErr w:type="gramStart"/>
      <w:r w:rsidRPr="00C61E29">
        <w:rPr>
          <w:rFonts w:ascii="Arial" w:hAnsi="Arial" w:cs="Arial"/>
          <w:sz w:val="24"/>
        </w:rPr>
        <w:t>other</w:t>
      </w:r>
      <w:proofErr w:type="gramEnd"/>
      <w:r w:rsidRPr="00C61E29">
        <w:rPr>
          <w:rFonts w:ascii="Arial" w:hAnsi="Arial" w:cs="Arial"/>
          <w:sz w:val="24"/>
        </w:rPr>
        <w:t xml:space="preserve"> capacity resources</w:t>
      </w:r>
      <w:r w:rsidRPr="00FC7787">
        <w:rPr>
          <w:rFonts w:ascii="Arial" w:hAnsi="Arial" w:cs="Arial"/>
          <w:sz w:val="24"/>
        </w:rPr>
        <w:t>.</w:t>
      </w:r>
    </w:p>
    <w:p w14:paraId="74E86840" w14:textId="37B3C8E6" w:rsidR="00291F21" w:rsidRDefault="00FC7787" w:rsidP="002B3C60">
      <w:pPr>
        <w:tabs>
          <w:tab w:val="num" w:pos="360"/>
        </w:tabs>
        <w:ind w:left="360" w:hanging="360"/>
        <w:jc w:val="left"/>
        <w:rPr>
          <w:rFonts w:ascii="Arial" w:hAnsi="Arial" w:cs="Arial"/>
          <w:sz w:val="24"/>
        </w:rPr>
      </w:pPr>
      <w:r>
        <w:rPr>
          <w:rFonts w:ascii="Arial" w:hAnsi="Arial" w:cs="Arial"/>
          <w:sz w:val="24"/>
        </w:rPr>
        <w:tab/>
      </w:r>
      <w:r w:rsidR="009367BD">
        <w:rPr>
          <w:rFonts w:ascii="Arial" w:hAnsi="Arial" w:cs="Arial"/>
          <w:sz w:val="24"/>
        </w:rPr>
        <w:t>Proposal</w:t>
      </w:r>
      <w:r w:rsidR="00C61E29">
        <w:rPr>
          <w:rFonts w:ascii="Arial" w:hAnsi="Arial" w:cs="Arial"/>
          <w:sz w:val="24"/>
        </w:rPr>
        <w:t>s</w:t>
      </w:r>
      <w:r w:rsidR="009367BD">
        <w:rPr>
          <w:rFonts w:ascii="Arial" w:hAnsi="Arial" w:cs="Arial"/>
          <w:sz w:val="24"/>
        </w:rPr>
        <w:t xml:space="preserve"> should clearly demonstrate how the</w:t>
      </w:r>
      <w:r w:rsidR="008834E8">
        <w:rPr>
          <w:rFonts w:ascii="Arial" w:hAnsi="Arial" w:cs="Arial"/>
          <w:sz w:val="24"/>
        </w:rPr>
        <w:t>y would achieve the RFP</w:t>
      </w:r>
      <w:r w:rsidR="009367BD">
        <w:rPr>
          <w:rFonts w:ascii="Arial" w:hAnsi="Arial" w:cs="Arial"/>
          <w:sz w:val="24"/>
        </w:rPr>
        <w:t xml:space="preserve"> objectives and </w:t>
      </w:r>
      <w:r w:rsidR="008834E8">
        <w:rPr>
          <w:rFonts w:ascii="Arial" w:hAnsi="Arial" w:cs="Arial"/>
          <w:sz w:val="24"/>
        </w:rPr>
        <w:t xml:space="preserve">rank within the above </w:t>
      </w:r>
      <w:r w:rsidR="009367BD">
        <w:rPr>
          <w:rFonts w:ascii="Arial" w:hAnsi="Arial" w:cs="Arial"/>
          <w:sz w:val="24"/>
        </w:rPr>
        <w:t>priorit</w:t>
      </w:r>
      <w:r w:rsidR="008834E8">
        <w:rPr>
          <w:rFonts w:ascii="Arial" w:hAnsi="Arial" w:cs="Arial"/>
          <w:sz w:val="24"/>
        </w:rPr>
        <w:t>y order.</w:t>
      </w:r>
    </w:p>
    <w:p w14:paraId="072EF2A7" w14:textId="77777777" w:rsidR="00EF177A" w:rsidRPr="00EF177A" w:rsidRDefault="00EF177A" w:rsidP="002B3C60">
      <w:pPr>
        <w:tabs>
          <w:tab w:val="num" w:pos="360"/>
        </w:tabs>
        <w:ind w:left="360" w:hanging="360"/>
        <w:jc w:val="left"/>
        <w:rPr>
          <w:rFonts w:ascii="Arial" w:hAnsi="Arial" w:cs="Arial"/>
          <w:sz w:val="24"/>
        </w:rPr>
      </w:pPr>
    </w:p>
    <w:p w14:paraId="64E61D44" w14:textId="65C8587C" w:rsidR="0085390F" w:rsidRDefault="009367BD" w:rsidP="00EF177A">
      <w:pPr>
        <w:tabs>
          <w:tab w:val="num" w:pos="360"/>
        </w:tabs>
        <w:ind w:left="360" w:hanging="360"/>
        <w:jc w:val="left"/>
        <w:rPr>
          <w:rFonts w:ascii="Arial" w:hAnsi="Arial"/>
          <w:sz w:val="24"/>
        </w:rPr>
      </w:pPr>
      <w:r>
        <w:rPr>
          <w:rFonts w:ascii="Arial" w:hAnsi="Arial"/>
          <w:sz w:val="24"/>
        </w:rPr>
        <w:t xml:space="preserve"> </w:t>
      </w:r>
      <w:r w:rsidR="00E51810">
        <w:rPr>
          <w:rFonts w:ascii="Arial" w:hAnsi="Arial"/>
          <w:sz w:val="24"/>
        </w:rPr>
        <w:tab/>
        <w:t>3.</w:t>
      </w:r>
      <w:r w:rsidR="009E270B">
        <w:rPr>
          <w:rFonts w:ascii="Arial" w:hAnsi="Arial"/>
          <w:sz w:val="24"/>
        </w:rPr>
        <w:t>4</w:t>
      </w:r>
      <w:r w:rsidR="009B43C6" w:rsidRPr="004A26C8">
        <w:rPr>
          <w:rFonts w:ascii="Arial" w:hAnsi="Arial"/>
          <w:sz w:val="24"/>
        </w:rPr>
        <w:t xml:space="preserve"> </w:t>
      </w:r>
      <w:r w:rsidR="0085390F">
        <w:rPr>
          <w:rFonts w:ascii="Arial" w:hAnsi="Arial"/>
          <w:b/>
          <w:sz w:val="24"/>
        </w:rPr>
        <w:t xml:space="preserve">  Transaction and Pricing Structures</w:t>
      </w:r>
    </w:p>
    <w:p w14:paraId="6AFDAB98" w14:textId="2A12B5E0" w:rsidR="0085390F" w:rsidRDefault="0085390F">
      <w:pPr>
        <w:tabs>
          <w:tab w:val="num" w:pos="360"/>
        </w:tabs>
        <w:ind w:left="360" w:hanging="360"/>
        <w:jc w:val="left"/>
        <w:rPr>
          <w:rFonts w:ascii="Arial" w:hAnsi="Arial"/>
          <w:sz w:val="24"/>
        </w:rPr>
      </w:pPr>
      <w:r>
        <w:rPr>
          <w:rFonts w:ascii="Arial" w:hAnsi="Arial"/>
          <w:sz w:val="24"/>
        </w:rPr>
        <w:tab/>
        <w:t>Proposals should specify annual quantities or quantity caps for the amounts of capacity</w:t>
      </w:r>
      <w:r w:rsidR="00496EC4">
        <w:rPr>
          <w:rFonts w:ascii="Arial" w:hAnsi="Arial"/>
          <w:sz w:val="24"/>
        </w:rPr>
        <w:t xml:space="preserve"> and/or </w:t>
      </w:r>
      <w:r>
        <w:rPr>
          <w:rFonts w:ascii="Arial" w:hAnsi="Arial"/>
          <w:sz w:val="24"/>
        </w:rPr>
        <w:t>energy for each year of the proposed contract term.</w:t>
      </w:r>
    </w:p>
    <w:p w14:paraId="20ACC3A8" w14:textId="42250BA7" w:rsidR="0085390F" w:rsidRDefault="0085390F">
      <w:pPr>
        <w:tabs>
          <w:tab w:val="num" w:pos="360"/>
        </w:tabs>
        <w:ind w:left="360" w:hanging="360"/>
        <w:jc w:val="left"/>
        <w:rPr>
          <w:rFonts w:ascii="Arial" w:hAnsi="Arial"/>
          <w:sz w:val="24"/>
        </w:rPr>
      </w:pPr>
      <w:r>
        <w:rPr>
          <w:rFonts w:ascii="Arial" w:hAnsi="Arial"/>
          <w:sz w:val="24"/>
        </w:rPr>
        <w:tab/>
        <w:t>Proposals may be structured as physical or financial transactions.</w:t>
      </w:r>
    </w:p>
    <w:p w14:paraId="6B0B9752" w14:textId="77777777" w:rsidR="003A2A04" w:rsidRDefault="0085390F">
      <w:pPr>
        <w:tabs>
          <w:tab w:val="num" w:pos="360"/>
        </w:tabs>
        <w:ind w:left="360" w:hanging="360"/>
        <w:jc w:val="left"/>
        <w:rPr>
          <w:rFonts w:ascii="Arial" w:hAnsi="Arial"/>
          <w:sz w:val="24"/>
        </w:rPr>
      </w:pPr>
      <w:r>
        <w:rPr>
          <w:rFonts w:ascii="Arial" w:hAnsi="Arial"/>
          <w:sz w:val="24"/>
        </w:rPr>
        <w:tab/>
        <w:t>Proposals may include separate or bundled prices for capacity</w:t>
      </w:r>
      <w:r w:rsidR="00264EDE">
        <w:rPr>
          <w:rFonts w:ascii="Arial" w:hAnsi="Arial"/>
          <w:sz w:val="24"/>
        </w:rPr>
        <w:t xml:space="preserve"> and </w:t>
      </w:r>
      <w:r>
        <w:rPr>
          <w:rFonts w:ascii="Arial" w:hAnsi="Arial"/>
          <w:sz w:val="24"/>
        </w:rPr>
        <w:t>associated energy</w:t>
      </w:r>
      <w:r w:rsidR="00264EDE">
        <w:rPr>
          <w:rFonts w:ascii="Arial" w:hAnsi="Arial"/>
          <w:sz w:val="24"/>
        </w:rPr>
        <w:t xml:space="preserve">.  </w:t>
      </w:r>
      <w:r>
        <w:rPr>
          <w:rFonts w:ascii="Arial" w:hAnsi="Arial"/>
          <w:sz w:val="24"/>
        </w:rPr>
        <w:t>Prices may be fixed, or defined by formula or indices</w:t>
      </w:r>
      <w:r w:rsidR="004E7419">
        <w:rPr>
          <w:rFonts w:ascii="Arial" w:hAnsi="Arial"/>
          <w:sz w:val="24"/>
        </w:rPr>
        <w:t xml:space="preserve"> (e.g., caps and floors)</w:t>
      </w:r>
      <w:r>
        <w:rPr>
          <w:rFonts w:ascii="Arial" w:hAnsi="Arial"/>
          <w:sz w:val="24"/>
        </w:rPr>
        <w:t xml:space="preserve">. </w:t>
      </w:r>
    </w:p>
    <w:p w14:paraId="1EDACAFE" w14:textId="75A50ED9" w:rsidR="0085390F" w:rsidRPr="00EF177A" w:rsidRDefault="003A2A04">
      <w:pPr>
        <w:tabs>
          <w:tab w:val="num" w:pos="360"/>
        </w:tabs>
        <w:ind w:left="360" w:hanging="360"/>
        <w:jc w:val="left"/>
        <w:rPr>
          <w:rFonts w:ascii="Arial" w:hAnsi="Arial"/>
          <w:b/>
          <w:i/>
          <w:sz w:val="24"/>
          <w:shd w:val="clear" w:color="auto" w:fill="FFFF00"/>
        </w:rPr>
      </w:pPr>
      <w:r>
        <w:rPr>
          <w:rFonts w:ascii="Arial" w:hAnsi="Arial"/>
          <w:sz w:val="24"/>
        </w:rPr>
        <w:tab/>
      </w:r>
      <w:r w:rsidR="0085390F">
        <w:rPr>
          <w:rFonts w:ascii="Arial" w:hAnsi="Arial"/>
          <w:sz w:val="24"/>
        </w:rPr>
        <w:t>Prices must be in nominal dollar terms.</w:t>
      </w:r>
      <w:r w:rsidR="0085390F">
        <w:rPr>
          <w:rFonts w:ascii="Arial" w:hAnsi="Arial"/>
          <w:b/>
          <w:sz w:val="24"/>
        </w:rPr>
        <w:tab/>
      </w:r>
      <w:r w:rsidR="0085390F" w:rsidRPr="00EF177A">
        <w:rPr>
          <w:rFonts w:ascii="Arial" w:hAnsi="Arial"/>
          <w:b/>
          <w:sz w:val="24"/>
        </w:rPr>
        <w:t xml:space="preserve"> </w:t>
      </w:r>
    </w:p>
    <w:p w14:paraId="3BED730E" w14:textId="77777777" w:rsidR="009B1CE5" w:rsidRPr="004A26C8" w:rsidRDefault="00E322E2" w:rsidP="002B3C60">
      <w:pPr>
        <w:tabs>
          <w:tab w:val="num" w:pos="360"/>
        </w:tabs>
        <w:ind w:left="360" w:hanging="360"/>
        <w:jc w:val="left"/>
        <w:rPr>
          <w:rFonts w:ascii="Arial" w:hAnsi="Arial"/>
          <w:sz w:val="24"/>
          <w:shd w:val="clear" w:color="auto" w:fill="FFFF99"/>
        </w:rPr>
      </w:pPr>
      <w:r w:rsidRPr="004A26C8">
        <w:rPr>
          <w:rFonts w:ascii="Arial" w:hAnsi="Arial"/>
          <w:sz w:val="24"/>
        </w:rPr>
        <w:lastRenderedPageBreak/>
        <w:tab/>
      </w:r>
      <w:r w:rsidR="009B1CE5" w:rsidRPr="004A26C8">
        <w:rPr>
          <w:rFonts w:ascii="Arial" w:hAnsi="Arial"/>
          <w:sz w:val="24"/>
        </w:rPr>
        <w:t xml:space="preserve">The same </w:t>
      </w:r>
      <w:r w:rsidR="00BE4EA3">
        <w:rPr>
          <w:rFonts w:ascii="Arial" w:hAnsi="Arial"/>
          <w:sz w:val="24"/>
        </w:rPr>
        <w:t>project/resource</w:t>
      </w:r>
      <w:r w:rsidR="009B1CE5" w:rsidRPr="004A26C8">
        <w:rPr>
          <w:rFonts w:ascii="Arial" w:hAnsi="Arial"/>
          <w:sz w:val="24"/>
        </w:rPr>
        <w:t xml:space="preserve"> may submit multiple pricing proposals, as long as they are mutually exclusive. A pricing proposal for one project cannot be contingent on another project being accepted, but can be mutually exclusive. </w:t>
      </w:r>
    </w:p>
    <w:p w14:paraId="4AAA2646" w14:textId="5837932A" w:rsidR="0085390F" w:rsidRDefault="0085390F" w:rsidP="00EF177A">
      <w:pPr>
        <w:tabs>
          <w:tab w:val="num" w:pos="360"/>
        </w:tabs>
        <w:ind w:left="360" w:hanging="360"/>
        <w:jc w:val="left"/>
        <w:rPr>
          <w:rFonts w:ascii="Arial" w:hAnsi="Arial"/>
          <w:sz w:val="24"/>
        </w:rPr>
      </w:pPr>
      <w:r>
        <w:rPr>
          <w:rFonts w:ascii="Arial" w:hAnsi="Arial"/>
          <w:b/>
          <w:sz w:val="24"/>
        </w:rPr>
        <w:tab/>
      </w:r>
      <w:bookmarkStart w:id="6" w:name="_Toc208237840"/>
      <w:bookmarkStart w:id="7" w:name="_Toc208238007"/>
      <w:bookmarkStart w:id="8" w:name="_Toc208238062"/>
      <w:bookmarkEnd w:id="6"/>
      <w:bookmarkEnd w:id="7"/>
      <w:bookmarkEnd w:id="8"/>
      <w:proofErr w:type="gramStart"/>
      <w:r>
        <w:rPr>
          <w:rFonts w:ascii="Arial" w:hAnsi="Arial"/>
          <w:b/>
          <w:sz w:val="24"/>
        </w:rPr>
        <w:t>3.</w:t>
      </w:r>
      <w:r w:rsidR="009E270B" w:rsidRPr="00E7219C">
        <w:rPr>
          <w:rFonts w:ascii="Arial" w:hAnsi="Arial"/>
          <w:sz w:val="24"/>
        </w:rPr>
        <w:t>5</w:t>
      </w:r>
      <w:r>
        <w:rPr>
          <w:rFonts w:ascii="Arial" w:hAnsi="Arial"/>
          <w:b/>
          <w:sz w:val="24"/>
        </w:rPr>
        <w:t xml:space="preserve">  Contract</w:t>
      </w:r>
      <w:proofErr w:type="gramEnd"/>
    </w:p>
    <w:p w14:paraId="115ACAB6" w14:textId="3B3F161B" w:rsidR="003A2A04" w:rsidRDefault="0085390F">
      <w:pPr>
        <w:ind w:left="360"/>
        <w:rPr>
          <w:rFonts w:ascii="Arial" w:hAnsi="Arial" w:cs="Arial"/>
          <w:sz w:val="20"/>
        </w:rPr>
      </w:pPr>
      <w:r>
        <w:rPr>
          <w:rFonts w:ascii="Arial" w:hAnsi="Arial"/>
          <w:sz w:val="24"/>
        </w:rPr>
        <w:t>A standard form Purchase and Sale Agreement will be posted at the RFP website at</w:t>
      </w:r>
      <w:r w:rsidR="00FD5453">
        <w:rPr>
          <w:rFonts w:ascii="Arial" w:hAnsi="Arial"/>
          <w:sz w:val="24"/>
        </w:rPr>
        <w:t xml:space="preserve"> </w:t>
      </w:r>
      <w:r w:rsidR="00FD5453" w:rsidRPr="00FD5453">
        <w:rPr>
          <w:rFonts w:ascii="Arial" w:hAnsi="Arial"/>
          <w:sz w:val="24"/>
        </w:rPr>
        <w:t>http://maine.gov/mpuc/electricity/rfps/longterm2015/longterm2015.html</w:t>
      </w:r>
      <w:r w:rsidR="00FD5453">
        <w:rPr>
          <w:rFonts w:ascii="Arial" w:hAnsi="Arial"/>
          <w:sz w:val="24"/>
        </w:rPr>
        <w:t xml:space="preserve"> </w:t>
      </w:r>
      <w:r>
        <w:rPr>
          <w:rFonts w:ascii="Arial" w:hAnsi="Arial"/>
          <w:sz w:val="24"/>
        </w:rPr>
        <w:t xml:space="preserve"> </w:t>
      </w:r>
      <w:r>
        <w:rPr>
          <w:rFonts w:ascii="Arial" w:hAnsi="Arial" w:cs="Arial"/>
          <w:sz w:val="20"/>
        </w:rPr>
        <w:t xml:space="preserve"> </w:t>
      </w:r>
    </w:p>
    <w:p w14:paraId="7C8B2783" w14:textId="631F55E6" w:rsidR="0085390F" w:rsidRDefault="0085390F">
      <w:pPr>
        <w:ind w:left="360"/>
        <w:rPr>
          <w:rFonts w:ascii="Arial" w:hAnsi="Arial" w:cs="Arial"/>
          <w:sz w:val="20"/>
        </w:rPr>
      </w:pPr>
      <w:r>
        <w:rPr>
          <w:rFonts w:ascii="Arial" w:hAnsi="Arial"/>
          <w:sz w:val="24"/>
        </w:rPr>
        <w:t xml:space="preserve">Modifications to the standard form will be considered.  </w:t>
      </w:r>
    </w:p>
    <w:p w14:paraId="0177D5DD" w14:textId="319A14F1" w:rsidR="0085390F" w:rsidRDefault="0085390F">
      <w:pPr>
        <w:tabs>
          <w:tab w:val="num" w:pos="360"/>
        </w:tabs>
        <w:ind w:left="360" w:hanging="360"/>
        <w:jc w:val="left"/>
        <w:rPr>
          <w:rFonts w:ascii="Arial" w:hAnsi="Arial"/>
          <w:b/>
          <w:sz w:val="24"/>
        </w:rPr>
      </w:pPr>
      <w:r>
        <w:rPr>
          <w:rFonts w:ascii="Arial" w:hAnsi="Arial"/>
          <w:sz w:val="24"/>
        </w:rPr>
        <w:tab/>
      </w:r>
      <w:proofErr w:type="gramStart"/>
      <w:r>
        <w:rPr>
          <w:rFonts w:ascii="Arial" w:hAnsi="Arial"/>
          <w:b/>
          <w:sz w:val="24"/>
        </w:rPr>
        <w:t>3.</w:t>
      </w:r>
      <w:r w:rsidR="009E270B">
        <w:rPr>
          <w:rFonts w:ascii="Arial" w:hAnsi="Arial"/>
          <w:b/>
          <w:sz w:val="24"/>
        </w:rPr>
        <w:t>6</w:t>
      </w:r>
      <w:r>
        <w:rPr>
          <w:rFonts w:ascii="Arial" w:hAnsi="Arial"/>
          <w:b/>
          <w:sz w:val="24"/>
        </w:rPr>
        <w:t xml:space="preserve">  Term</w:t>
      </w:r>
      <w:proofErr w:type="gramEnd"/>
    </w:p>
    <w:p w14:paraId="6D5429C4" w14:textId="77777777" w:rsidR="0085390F" w:rsidRDefault="0085390F">
      <w:pPr>
        <w:tabs>
          <w:tab w:val="num" w:pos="360"/>
        </w:tabs>
        <w:ind w:left="360" w:hanging="360"/>
        <w:jc w:val="left"/>
        <w:rPr>
          <w:rFonts w:ascii="Arial" w:hAnsi="Arial"/>
          <w:sz w:val="24"/>
        </w:rPr>
      </w:pPr>
      <w:r>
        <w:rPr>
          <w:rFonts w:ascii="Arial" w:hAnsi="Arial"/>
          <w:sz w:val="24"/>
        </w:rPr>
        <w:tab/>
        <w:t xml:space="preserve">Proposals should specify the term length for the contract. The Commission has statutory authority to approve contracts of up to ten years in duration, and can approve a longer term upon a finding that it is in the best interest of Maine consumers.  </w:t>
      </w:r>
    </w:p>
    <w:p w14:paraId="50D34408" w14:textId="7F222D4D" w:rsidR="0085390F" w:rsidRDefault="0085390F">
      <w:pPr>
        <w:pStyle w:val="Heading2"/>
        <w:numPr>
          <w:ilvl w:val="0"/>
          <w:numId w:val="0"/>
        </w:numPr>
        <w:tabs>
          <w:tab w:val="num" w:pos="360"/>
        </w:tabs>
        <w:ind w:left="360" w:hanging="360"/>
        <w:jc w:val="left"/>
        <w:rPr>
          <w:rFonts w:ascii="Arial" w:hAnsi="Arial"/>
          <w:sz w:val="24"/>
        </w:rPr>
      </w:pPr>
      <w:bookmarkStart w:id="9" w:name="_Toc208238116"/>
      <w:r>
        <w:rPr>
          <w:rFonts w:ascii="Arial" w:hAnsi="Arial"/>
          <w:sz w:val="24"/>
        </w:rPr>
        <w:tab/>
      </w:r>
      <w:proofErr w:type="gramStart"/>
      <w:r>
        <w:rPr>
          <w:rFonts w:ascii="Arial" w:hAnsi="Arial"/>
          <w:sz w:val="24"/>
        </w:rPr>
        <w:t>3.</w:t>
      </w:r>
      <w:r w:rsidR="009E270B">
        <w:rPr>
          <w:rFonts w:ascii="Arial" w:hAnsi="Arial"/>
          <w:sz w:val="24"/>
        </w:rPr>
        <w:t>7</w:t>
      </w:r>
      <w:r>
        <w:rPr>
          <w:rFonts w:ascii="Arial" w:hAnsi="Arial"/>
          <w:sz w:val="24"/>
        </w:rPr>
        <w:t xml:space="preserve">  Security</w:t>
      </w:r>
      <w:proofErr w:type="gramEnd"/>
      <w:r>
        <w:rPr>
          <w:rFonts w:ascii="Arial" w:hAnsi="Arial"/>
          <w:sz w:val="24"/>
        </w:rPr>
        <w:t xml:space="preserve"> </w:t>
      </w:r>
    </w:p>
    <w:p w14:paraId="53E5C7A3" w14:textId="47A55E2D" w:rsidR="0085390F" w:rsidRDefault="0085390F">
      <w:pPr>
        <w:tabs>
          <w:tab w:val="num" w:pos="360"/>
        </w:tabs>
        <w:ind w:left="360" w:hanging="360"/>
        <w:jc w:val="left"/>
        <w:rPr>
          <w:rFonts w:ascii="Arial" w:hAnsi="Arial"/>
          <w:sz w:val="24"/>
        </w:rPr>
      </w:pPr>
      <w:r>
        <w:rPr>
          <w:rFonts w:ascii="Arial" w:hAnsi="Arial"/>
          <w:sz w:val="24"/>
        </w:rPr>
        <w:tab/>
        <w:t xml:space="preserve">Requirements for the Proposal Security Deposit and Project and Performance Security are described in </w:t>
      </w:r>
      <w:r w:rsidRPr="00EF177A">
        <w:rPr>
          <w:rFonts w:ascii="Arial" w:hAnsi="Arial"/>
          <w:sz w:val="24"/>
        </w:rPr>
        <w:t>RFP Sections 5 and 6.</w:t>
      </w:r>
    </w:p>
    <w:p w14:paraId="3128A529" w14:textId="2E1AB1C0" w:rsidR="0085390F" w:rsidRDefault="0085390F">
      <w:pPr>
        <w:pStyle w:val="Heading2"/>
        <w:numPr>
          <w:ilvl w:val="0"/>
          <w:numId w:val="0"/>
        </w:numPr>
        <w:tabs>
          <w:tab w:val="num" w:pos="360"/>
        </w:tabs>
        <w:ind w:left="360" w:hanging="360"/>
        <w:jc w:val="left"/>
        <w:rPr>
          <w:rFonts w:ascii="Arial" w:hAnsi="Arial"/>
          <w:sz w:val="24"/>
        </w:rPr>
      </w:pPr>
      <w:r>
        <w:rPr>
          <w:rFonts w:ascii="Arial" w:hAnsi="Arial"/>
          <w:sz w:val="24"/>
        </w:rPr>
        <w:tab/>
        <w:t>3.</w:t>
      </w:r>
      <w:r w:rsidR="009E270B">
        <w:rPr>
          <w:rFonts w:ascii="Arial" w:hAnsi="Arial"/>
          <w:sz w:val="24"/>
        </w:rPr>
        <w:t>8</w:t>
      </w:r>
      <w:r>
        <w:rPr>
          <w:rFonts w:ascii="Arial" w:hAnsi="Arial"/>
          <w:sz w:val="24"/>
        </w:rPr>
        <w:t xml:space="preserve">   Proposal Information; Project Cost Data</w:t>
      </w:r>
      <w:bookmarkEnd w:id="9"/>
    </w:p>
    <w:p w14:paraId="7F54F3C7" w14:textId="77777777" w:rsidR="0085390F" w:rsidRDefault="0085390F">
      <w:pPr>
        <w:tabs>
          <w:tab w:val="num" w:pos="360"/>
        </w:tabs>
        <w:ind w:left="360" w:hanging="360"/>
        <w:jc w:val="left"/>
        <w:rPr>
          <w:rFonts w:ascii="Arial" w:hAnsi="Arial"/>
          <w:sz w:val="24"/>
        </w:rPr>
      </w:pPr>
      <w:r>
        <w:rPr>
          <w:rFonts w:ascii="Arial" w:hAnsi="Arial"/>
          <w:sz w:val="24"/>
        </w:rPr>
        <w:tab/>
        <w:t>The Commission reserves the right to ask bidders to provide additional information related to any aspect of a proposal, or to clarify or correct a proposal.  In the event the Commission determines it to be necessary, bidders may be required to submit detailed and verifiable capital and operating cost data.</w:t>
      </w:r>
    </w:p>
    <w:p w14:paraId="791909FB" w14:textId="5121DE94" w:rsidR="0085390F" w:rsidRDefault="0085390F">
      <w:pPr>
        <w:pStyle w:val="Heading2"/>
        <w:numPr>
          <w:ilvl w:val="0"/>
          <w:numId w:val="0"/>
        </w:numPr>
        <w:tabs>
          <w:tab w:val="num" w:pos="360"/>
        </w:tabs>
        <w:ind w:left="360" w:hanging="360"/>
        <w:jc w:val="left"/>
        <w:rPr>
          <w:rFonts w:ascii="Arial" w:hAnsi="Arial"/>
          <w:sz w:val="24"/>
        </w:rPr>
      </w:pPr>
      <w:bookmarkStart w:id="10" w:name="_Toc208237844"/>
      <w:bookmarkStart w:id="11" w:name="_Toc208238011"/>
      <w:bookmarkStart w:id="12" w:name="_Toc208238066"/>
      <w:bookmarkStart w:id="13" w:name="_Toc208238115"/>
      <w:bookmarkEnd w:id="10"/>
      <w:bookmarkEnd w:id="11"/>
      <w:bookmarkEnd w:id="12"/>
      <w:r>
        <w:rPr>
          <w:rFonts w:ascii="Arial" w:hAnsi="Arial"/>
          <w:sz w:val="24"/>
        </w:rPr>
        <w:tab/>
      </w:r>
      <w:proofErr w:type="gramStart"/>
      <w:r>
        <w:rPr>
          <w:rFonts w:ascii="Arial" w:hAnsi="Arial"/>
          <w:sz w:val="24"/>
        </w:rPr>
        <w:t>3.</w:t>
      </w:r>
      <w:r w:rsidR="009E270B">
        <w:rPr>
          <w:rFonts w:ascii="Arial" w:hAnsi="Arial"/>
          <w:sz w:val="24"/>
        </w:rPr>
        <w:t>9</w:t>
      </w:r>
      <w:r>
        <w:rPr>
          <w:rFonts w:ascii="Arial" w:hAnsi="Arial"/>
          <w:sz w:val="24"/>
        </w:rPr>
        <w:t xml:space="preserve">  Indicative</w:t>
      </w:r>
      <w:proofErr w:type="gramEnd"/>
      <w:r>
        <w:rPr>
          <w:rFonts w:ascii="Arial" w:hAnsi="Arial"/>
          <w:sz w:val="24"/>
        </w:rPr>
        <w:t xml:space="preserve"> Bids; Firm and Final Bids </w:t>
      </w:r>
      <w:bookmarkEnd w:id="13"/>
    </w:p>
    <w:p w14:paraId="50A0E994" w14:textId="18633CA3" w:rsidR="0085390F" w:rsidRDefault="0085390F">
      <w:pPr>
        <w:tabs>
          <w:tab w:val="num" w:pos="360"/>
        </w:tabs>
        <w:ind w:left="360" w:hanging="360"/>
        <w:jc w:val="left"/>
        <w:rPr>
          <w:rFonts w:ascii="Arial" w:hAnsi="Arial"/>
          <w:sz w:val="24"/>
        </w:rPr>
      </w:pPr>
      <w:r>
        <w:rPr>
          <w:rFonts w:ascii="Arial" w:hAnsi="Arial"/>
          <w:sz w:val="24"/>
        </w:rPr>
        <w:tab/>
        <w:t xml:space="preserve">Indicative bids are acceptable with </w:t>
      </w:r>
      <w:r w:rsidR="009B1CE5" w:rsidRPr="004A26C8">
        <w:rPr>
          <w:rFonts w:ascii="Arial" w:hAnsi="Arial"/>
          <w:sz w:val="24"/>
        </w:rPr>
        <w:t>a bidder’s</w:t>
      </w:r>
      <w:r>
        <w:rPr>
          <w:rFonts w:ascii="Arial" w:hAnsi="Arial"/>
          <w:sz w:val="24"/>
        </w:rPr>
        <w:t xml:space="preserve"> Initial Proposal.  Firm and final bids, when requested by the Commission, will be binding on the bidder. </w:t>
      </w:r>
      <w:r w:rsidR="009B1CE5" w:rsidRPr="004A26C8">
        <w:rPr>
          <w:rFonts w:ascii="Arial" w:hAnsi="Arial"/>
          <w:sz w:val="24"/>
        </w:rPr>
        <w:t xml:space="preserve">  </w:t>
      </w:r>
      <w:r>
        <w:rPr>
          <w:rFonts w:ascii="Arial" w:hAnsi="Arial"/>
          <w:sz w:val="24"/>
        </w:rPr>
        <w:t xml:space="preserve">Changes to proposals will not be accepted after the submission of firm and final bids except </w:t>
      </w:r>
      <w:r w:rsidR="003A2A04">
        <w:rPr>
          <w:rFonts w:ascii="Arial" w:hAnsi="Arial"/>
          <w:sz w:val="24"/>
        </w:rPr>
        <w:t xml:space="preserve">to </w:t>
      </w:r>
      <w:r>
        <w:rPr>
          <w:rFonts w:ascii="Arial" w:hAnsi="Arial"/>
          <w:sz w:val="24"/>
        </w:rPr>
        <w:t xml:space="preserve">the extent requested by the Commission. </w:t>
      </w:r>
    </w:p>
    <w:p w14:paraId="482DB54C" w14:textId="3219E50D" w:rsidR="0085390F" w:rsidRDefault="0085390F">
      <w:pPr>
        <w:pStyle w:val="Heading2"/>
        <w:numPr>
          <w:ilvl w:val="0"/>
          <w:numId w:val="0"/>
        </w:numPr>
        <w:tabs>
          <w:tab w:val="num" w:pos="360"/>
        </w:tabs>
        <w:ind w:left="360" w:hanging="360"/>
        <w:jc w:val="left"/>
        <w:rPr>
          <w:rFonts w:ascii="Arial" w:hAnsi="Arial"/>
          <w:sz w:val="24"/>
        </w:rPr>
      </w:pPr>
      <w:r>
        <w:rPr>
          <w:rFonts w:ascii="Arial" w:hAnsi="Arial"/>
          <w:sz w:val="24"/>
        </w:rPr>
        <w:tab/>
        <w:t>3.</w:t>
      </w:r>
      <w:r w:rsidR="009E270B">
        <w:rPr>
          <w:rFonts w:ascii="Arial" w:hAnsi="Arial"/>
          <w:sz w:val="24"/>
        </w:rPr>
        <w:t>10</w:t>
      </w:r>
      <w:r>
        <w:rPr>
          <w:rFonts w:ascii="Arial" w:hAnsi="Arial"/>
          <w:sz w:val="24"/>
        </w:rPr>
        <w:t xml:space="preserve"> Confidentiality</w:t>
      </w:r>
    </w:p>
    <w:p w14:paraId="1C90F8FB" w14:textId="6CEEDFFF" w:rsidR="0085390F" w:rsidRDefault="0085390F">
      <w:pPr>
        <w:pStyle w:val="BodyTextIndent3"/>
        <w:numPr>
          <w:ilvl w:val="12"/>
          <w:numId w:val="0"/>
        </w:numPr>
        <w:tabs>
          <w:tab w:val="num" w:pos="360"/>
        </w:tabs>
        <w:ind w:left="360" w:hanging="360"/>
        <w:jc w:val="left"/>
        <w:rPr>
          <w:rFonts w:ascii="Arial" w:hAnsi="Arial"/>
          <w:sz w:val="24"/>
        </w:rPr>
      </w:pPr>
      <w:r>
        <w:rPr>
          <w:rFonts w:ascii="Arial" w:hAnsi="Arial"/>
          <w:sz w:val="24"/>
        </w:rPr>
        <w:tab/>
        <w:t>A bidder may designate information included in its proposal as proprietary or confidential information.  The Commission will take every reasonable step, consistent with law, to protect information that is clearly identified as proprietary or confidential on the page on which it appears.  Protected information may be made available to the T&amp;D utilities, the OPA and/or the DEP under appropriate protective order and non-disclosure agreements.  The identity of bidders and general information about proposals selected will become public at the time of the Commission’s decision.  The long-term contracts and associated prices</w:t>
      </w:r>
      <w:r w:rsidR="004E7419">
        <w:rPr>
          <w:rFonts w:ascii="Arial" w:hAnsi="Arial"/>
          <w:sz w:val="24"/>
        </w:rPr>
        <w:t xml:space="preserve"> of selected </w:t>
      </w:r>
      <w:r w:rsidR="004E7419">
        <w:rPr>
          <w:rFonts w:ascii="Arial" w:hAnsi="Arial"/>
          <w:sz w:val="24"/>
        </w:rPr>
        <w:lastRenderedPageBreak/>
        <w:t>proposals</w:t>
      </w:r>
      <w:r>
        <w:rPr>
          <w:rFonts w:ascii="Arial" w:hAnsi="Arial"/>
          <w:sz w:val="24"/>
        </w:rPr>
        <w:t xml:space="preserve"> will ultimately become public; however, such information may be withheld for a period of time at the request of the bidder. </w:t>
      </w:r>
    </w:p>
    <w:p w14:paraId="00AC7CE5" w14:textId="77777777" w:rsidR="0085390F" w:rsidRDefault="0085390F">
      <w:pPr>
        <w:tabs>
          <w:tab w:val="num" w:pos="360"/>
        </w:tabs>
        <w:ind w:left="360" w:hanging="360"/>
        <w:jc w:val="left"/>
        <w:rPr>
          <w:rFonts w:ascii="Arial" w:hAnsi="Arial"/>
          <w:sz w:val="24"/>
        </w:rPr>
      </w:pPr>
      <w:bookmarkStart w:id="14" w:name="_Toc208237847"/>
      <w:bookmarkStart w:id="15" w:name="_Toc208238014"/>
      <w:bookmarkStart w:id="16" w:name="_Toc208238069"/>
      <w:bookmarkEnd w:id="14"/>
      <w:bookmarkEnd w:id="15"/>
      <w:bookmarkEnd w:id="16"/>
    </w:p>
    <w:p w14:paraId="74400A25" w14:textId="77777777" w:rsidR="0085390F" w:rsidRDefault="0085390F">
      <w:pPr>
        <w:pStyle w:val="Heading1"/>
        <w:numPr>
          <w:ilvl w:val="0"/>
          <w:numId w:val="0"/>
        </w:numPr>
        <w:tabs>
          <w:tab w:val="clear" w:pos="360"/>
        </w:tabs>
        <w:jc w:val="left"/>
        <w:rPr>
          <w:rFonts w:ascii="Arial" w:hAnsi="Arial"/>
          <w:sz w:val="24"/>
        </w:rPr>
      </w:pPr>
      <w:r>
        <w:rPr>
          <w:rFonts w:ascii="Arial" w:hAnsi="Arial"/>
          <w:sz w:val="24"/>
        </w:rPr>
        <w:t xml:space="preserve">4. </w:t>
      </w:r>
      <w:bookmarkStart w:id="17" w:name="_Toc208237849"/>
      <w:bookmarkStart w:id="18" w:name="_Toc208238016"/>
      <w:bookmarkStart w:id="19" w:name="_Toc208238071"/>
      <w:bookmarkStart w:id="20" w:name="_Toc208237850"/>
      <w:bookmarkStart w:id="21" w:name="_Toc208238017"/>
      <w:bookmarkStart w:id="22" w:name="_Toc208238072"/>
      <w:bookmarkStart w:id="23" w:name="_Toc208237851"/>
      <w:bookmarkStart w:id="24" w:name="_Toc208238018"/>
      <w:bookmarkStart w:id="25" w:name="_Toc208238073"/>
      <w:bookmarkStart w:id="26" w:name="_Toc208237853"/>
      <w:bookmarkStart w:id="27" w:name="_Toc208238020"/>
      <w:bookmarkStart w:id="28" w:name="_Toc208238075"/>
      <w:bookmarkStart w:id="29" w:name="_Toc208237854"/>
      <w:bookmarkStart w:id="30" w:name="_Toc208238021"/>
      <w:bookmarkStart w:id="31" w:name="_Toc208238076"/>
      <w:bookmarkStart w:id="32" w:name="_Toc20823811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Arial" w:hAnsi="Arial"/>
          <w:sz w:val="24"/>
        </w:rPr>
        <w:t>RFP Process</w:t>
      </w:r>
      <w:bookmarkEnd w:id="32"/>
    </w:p>
    <w:p w14:paraId="57D22D0B" w14:textId="77777777" w:rsidR="0085390F" w:rsidRDefault="0085390F">
      <w:pPr>
        <w:pStyle w:val="Heading2"/>
        <w:numPr>
          <w:ilvl w:val="0"/>
          <w:numId w:val="0"/>
        </w:numPr>
        <w:tabs>
          <w:tab w:val="num" w:pos="666"/>
        </w:tabs>
        <w:ind w:left="270"/>
        <w:jc w:val="left"/>
        <w:rPr>
          <w:rFonts w:ascii="Arial" w:hAnsi="Arial"/>
          <w:sz w:val="24"/>
        </w:rPr>
      </w:pPr>
      <w:bookmarkStart w:id="33" w:name="_Toc208238119"/>
      <w:proofErr w:type="gramStart"/>
      <w:r>
        <w:rPr>
          <w:rFonts w:ascii="Arial" w:hAnsi="Arial"/>
          <w:sz w:val="24"/>
        </w:rPr>
        <w:t>4.1  Overview</w:t>
      </w:r>
      <w:bookmarkEnd w:id="33"/>
      <w:proofErr w:type="gramEnd"/>
      <w:r>
        <w:rPr>
          <w:rFonts w:ascii="Arial" w:hAnsi="Arial"/>
          <w:sz w:val="24"/>
        </w:rPr>
        <w:t xml:space="preserve"> of Process; Schedule</w:t>
      </w:r>
    </w:p>
    <w:p w14:paraId="3516F143" w14:textId="42BFDDD0" w:rsidR="0085390F" w:rsidRDefault="0085390F">
      <w:pPr>
        <w:ind w:left="360"/>
        <w:jc w:val="left"/>
        <w:rPr>
          <w:rFonts w:ascii="Arial" w:hAnsi="Arial"/>
          <w:sz w:val="24"/>
        </w:rPr>
      </w:pPr>
      <w:r>
        <w:rPr>
          <w:rFonts w:ascii="Arial" w:hAnsi="Arial"/>
          <w:sz w:val="24"/>
        </w:rPr>
        <w:t xml:space="preserve">Initial Proposals will be due on or </w:t>
      </w:r>
      <w:r w:rsidRPr="00264EDE">
        <w:rPr>
          <w:rFonts w:ascii="Arial" w:hAnsi="Arial"/>
          <w:sz w:val="24"/>
        </w:rPr>
        <w:t xml:space="preserve">before </w:t>
      </w:r>
      <w:r w:rsidR="003A2A04" w:rsidRPr="00497088">
        <w:rPr>
          <w:rFonts w:ascii="Arial" w:hAnsi="Arial"/>
          <w:sz w:val="24"/>
        </w:rPr>
        <w:t>M</w:t>
      </w:r>
      <w:r w:rsidR="00087672" w:rsidRPr="00497088">
        <w:rPr>
          <w:rFonts w:ascii="Arial" w:hAnsi="Arial"/>
          <w:sz w:val="24"/>
        </w:rPr>
        <w:t>ay</w:t>
      </w:r>
      <w:r w:rsidR="003A2A04" w:rsidRPr="00497088">
        <w:rPr>
          <w:rFonts w:ascii="Arial" w:hAnsi="Arial"/>
          <w:sz w:val="24"/>
        </w:rPr>
        <w:t xml:space="preserve"> </w:t>
      </w:r>
      <w:r w:rsidR="00087672" w:rsidRPr="00497088">
        <w:rPr>
          <w:rFonts w:ascii="Arial" w:hAnsi="Arial"/>
          <w:sz w:val="24"/>
        </w:rPr>
        <w:t>1,</w:t>
      </w:r>
      <w:r w:rsidR="003A2A04" w:rsidRPr="00497088">
        <w:rPr>
          <w:rFonts w:ascii="Arial" w:hAnsi="Arial"/>
          <w:sz w:val="24"/>
        </w:rPr>
        <w:t xml:space="preserve"> 2015</w:t>
      </w:r>
      <w:r w:rsidRPr="007502DE">
        <w:rPr>
          <w:rFonts w:ascii="Arial" w:hAnsi="Arial"/>
          <w:sz w:val="24"/>
        </w:rPr>
        <w:t>.</w:t>
      </w:r>
      <w:r>
        <w:rPr>
          <w:rFonts w:ascii="Arial" w:hAnsi="Arial"/>
          <w:sz w:val="24"/>
        </w:rPr>
        <w:t xml:space="preserve"> </w:t>
      </w:r>
    </w:p>
    <w:p w14:paraId="4C327141" w14:textId="7044748F" w:rsidR="0085390F" w:rsidRPr="00EF177A" w:rsidRDefault="0085390F" w:rsidP="00EF177A">
      <w:pPr>
        <w:ind w:left="360"/>
        <w:rPr>
          <w:rFonts w:ascii="Arial" w:hAnsi="Arial"/>
          <w:sz w:val="20"/>
        </w:rPr>
      </w:pPr>
      <w:r>
        <w:rPr>
          <w:rFonts w:ascii="Arial" w:hAnsi="Arial"/>
          <w:sz w:val="24"/>
        </w:rPr>
        <w:t xml:space="preserve">Instructions for submitting proposals will be posted to the RFP website at: </w:t>
      </w:r>
      <w:r w:rsidR="00FD5453" w:rsidRPr="00FD5453">
        <w:rPr>
          <w:rFonts w:ascii="Arial" w:hAnsi="Arial"/>
          <w:sz w:val="24"/>
        </w:rPr>
        <w:t>http://maine.gov/mpuc/electricity/rfps/longterm2015/longterm2015.html</w:t>
      </w:r>
      <w:r w:rsidR="00FD5453">
        <w:rPr>
          <w:rFonts w:ascii="Arial" w:hAnsi="Arial"/>
          <w:sz w:val="24"/>
        </w:rPr>
        <w:t xml:space="preserve"> </w:t>
      </w:r>
      <w:r w:rsidR="003A2A04">
        <w:rPr>
          <w:rFonts w:ascii="Arial" w:hAnsi="Arial"/>
          <w:sz w:val="24"/>
        </w:rPr>
        <w:t xml:space="preserve">   </w:t>
      </w:r>
    </w:p>
    <w:p w14:paraId="462FA341" w14:textId="1C0DFFBB" w:rsidR="0085390F" w:rsidRDefault="0085390F">
      <w:pPr>
        <w:ind w:left="360"/>
        <w:jc w:val="left"/>
        <w:rPr>
          <w:rFonts w:ascii="Arial" w:hAnsi="Arial"/>
          <w:sz w:val="24"/>
        </w:rPr>
      </w:pPr>
      <w:r>
        <w:rPr>
          <w:rFonts w:ascii="Arial" w:hAnsi="Arial"/>
          <w:sz w:val="24"/>
        </w:rPr>
        <w:t xml:space="preserve">The Commission staff will review all proposals, and may ask for supplemental and/or clarifying information from bidders. Based on this review, the Commission staff will notify bidders as to whether their proposal has been “short-listed”.  For proposals that are short-listed, more in-depth discussions among the bidders, staff, and T&amp;D Utilities will occur.  When these discussions are completed for a particular proposal, the Commission will formally deliberate and render a decision on whether to authorize a long-term contract. </w:t>
      </w:r>
    </w:p>
    <w:p w14:paraId="2C96C9E2" w14:textId="77777777" w:rsidR="0085390F" w:rsidRDefault="0085390F">
      <w:pPr>
        <w:tabs>
          <w:tab w:val="left" w:pos="90"/>
        </w:tabs>
        <w:ind w:left="360"/>
        <w:jc w:val="left"/>
        <w:rPr>
          <w:rFonts w:ascii="Arial" w:hAnsi="Arial"/>
          <w:sz w:val="24"/>
        </w:rPr>
      </w:pPr>
      <w:r>
        <w:rPr>
          <w:rFonts w:ascii="Arial" w:hAnsi="Arial"/>
          <w:sz w:val="24"/>
        </w:rPr>
        <w:t>The Commission reserves the right to revise, suspend, or terminate the RFP at its sole discretion. In such event, the Commission will inform all bidders as soon as reasonably possible.</w:t>
      </w:r>
    </w:p>
    <w:p w14:paraId="2FCBB1B4" w14:textId="77777777" w:rsidR="0085390F" w:rsidRDefault="0085390F">
      <w:pPr>
        <w:pStyle w:val="Heading3"/>
        <w:numPr>
          <w:ilvl w:val="1"/>
          <w:numId w:val="15"/>
        </w:numPr>
        <w:tabs>
          <w:tab w:val="clear" w:pos="540"/>
          <w:tab w:val="num" w:pos="360"/>
        </w:tabs>
        <w:ind w:hanging="180"/>
        <w:rPr>
          <w:rFonts w:ascii="Arial" w:hAnsi="Arial"/>
          <w:sz w:val="24"/>
        </w:rPr>
      </w:pPr>
      <w:bookmarkStart w:id="34" w:name="_Toc208238121"/>
      <w:r>
        <w:rPr>
          <w:rFonts w:ascii="Arial" w:hAnsi="Arial"/>
          <w:sz w:val="24"/>
        </w:rPr>
        <w:t xml:space="preserve"> RFP Documents and Information</w:t>
      </w:r>
      <w:bookmarkEnd w:id="34"/>
      <w:r>
        <w:rPr>
          <w:rFonts w:ascii="Arial" w:hAnsi="Arial"/>
          <w:sz w:val="24"/>
        </w:rPr>
        <w:t>; Contact Persons</w:t>
      </w:r>
    </w:p>
    <w:p w14:paraId="346D0E9F" w14:textId="05CD2416" w:rsidR="0085390F" w:rsidRPr="00EF177A" w:rsidRDefault="0085390F" w:rsidP="00EF177A">
      <w:pPr>
        <w:ind w:left="360"/>
        <w:rPr>
          <w:rFonts w:ascii="Arial" w:hAnsi="Arial"/>
          <w:sz w:val="24"/>
        </w:rPr>
      </w:pPr>
      <w:r>
        <w:rPr>
          <w:rFonts w:ascii="Arial" w:hAnsi="Arial"/>
          <w:sz w:val="24"/>
        </w:rPr>
        <w:t>The RFP and all related documents and information a</w:t>
      </w:r>
      <w:r w:rsidR="00927118">
        <w:rPr>
          <w:rFonts w:ascii="Arial" w:hAnsi="Arial"/>
          <w:sz w:val="24"/>
        </w:rPr>
        <w:t>re available on the RFP Website</w:t>
      </w:r>
      <w:r w:rsidR="00575DDD">
        <w:rPr>
          <w:rFonts w:ascii="Arial" w:hAnsi="Arial"/>
          <w:sz w:val="24"/>
        </w:rPr>
        <w:t xml:space="preserve"> at:</w:t>
      </w:r>
      <w:r w:rsidR="00FD5453">
        <w:rPr>
          <w:rFonts w:ascii="Arial" w:hAnsi="Arial"/>
          <w:sz w:val="24"/>
        </w:rPr>
        <w:t xml:space="preserve">  </w:t>
      </w:r>
      <w:r w:rsidR="00FD5453" w:rsidRPr="00FD5453">
        <w:rPr>
          <w:rFonts w:ascii="Arial" w:hAnsi="Arial"/>
          <w:sz w:val="24"/>
        </w:rPr>
        <w:t>http://maine.gov/mpuc/electricity/rfps/longterm2015/longterm2015.html</w:t>
      </w:r>
    </w:p>
    <w:p w14:paraId="08B035E5" w14:textId="77777777" w:rsidR="0085390F" w:rsidRDefault="0085390F" w:rsidP="00EF177A">
      <w:pPr>
        <w:ind w:left="360"/>
        <w:jc w:val="left"/>
        <w:rPr>
          <w:rFonts w:ascii="Arial" w:hAnsi="Arial"/>
          <w:sz w:val="24"/>
        </w:rPr>
      </w:pPr>
      <w:r>
        <w:rPr>
          <w:rFonts w:ascii="Arial" w:hAnsi="Arial"/>
          <w:sz w:val="24"/>
        </w:rPr>
        <w:t xml:space="preserve">All changes and supplements to the RFP and related materials will be posted to the RFP Website.  Bidders are responsible to obtain these updates and additions. </w:t>
      </w:r>
    </w:p>
    <w:p w14:paraId="6B10551A" w14:textId="77777777" w:rsidR="0085390F" w:rsidRDefault="0085390F">
      <w:pPr>
        <w:tabs>
          <w:tab w:val="num" w:pos="360"/>
        </w:tabs>
        <w:ind w:left="360" w:hanging="360"/>
        <w:jc w:val="left"/>
        <w:rPr>
          <w:rFonts w:ascii="Arial" w:hAnsi="Arial"/>
          <w:sz w:val="24"/>
        </w:rPr>
      </w:pPr>
      <w:r>
        <w:rPr>
          <w:rFonts w:ascii="Arial" w:hAnsi="Arial"/>
          <w:sz w:val="24"/>
        </w:rPr>
        <w:tab/>
        <w:t>The RFP Contact Person is:</w:t>
      </w:r>
    </w:p>
    <w:p w14:paraId="6C9DA826" w14:textId="77777777" w:rsidR="0085390F" w:rsidRDefault="0085390F">
      <w:pPr>
        <w:tabs>
          <w:tab w:val="num" w:pos="360"/>
        </w:tabs>
        <w:ind w:left="360" w:hanging="360"/>
        <w:jc w:val="left"/>
        <w:rPr>
          <w:rFonts w:ascii="Arial" w:hAnsi="Arial"/>
          <w:sz w:val="24"/>
        </w:rPr>
      </w:pPr>
      <w:r>
        <w:rPr>
          <w:rFonts w:ascii="Arial" w:hAnsi="Arial"/>
          <w:sz w:val="24"/>
        </w:rPr>
        <w:tab/>
      </w:r>
      <w:r>
        <w:rPr>
          <w:rFonts w:ascii="Arial" w:hAnsi="Arial"/>
          <w:sz w:val="24"/>
        </w:rPr>
        <w:tab/>
      </w:r>
      <w:r>
        <w:rPr>
          <w:rFonts w:ascii="Arial" w:hAnsi="Arial"/>
          <w:sz w:val="24"/>
        </w:rPr>
        <w:tab/>
        <w:t>Faith Huntington</w:t>
      </w:r>
    </w:p>
    <w:p w14:paraId="5BD17964" w14:textId="77777777" w:rsidR="003A2A04" w:rsidRDefault="0085390F">
      <w:pPr>
        <w:tabs>
          <w:tab w:val="num" w:pos="360"/>
        </w:tabs>
        <w:ind w:left="360" w:hanging="360"/>
        <w:jc w:val="left"/>
        <w:rPr>
          <w:rFonts w:ascii="Arial" w:hAnsi="Arial"/>
          <w:sz w:val="24"/>
        </w:rPr>
      </w:pPr>
      <w:r>
        <w:rPr>
          <w:rFonts w:ascii="Arial" w:hAnsi="Arial"/>
          <w:sz w:val="24"/>
        </w:rPr>
        <w:tab/>
      </w:r>
      <w:r>
        <w:rPr>
          <w:rFonts w:ascii="Arial" w:hAnsi="Arial"/>
          <w:sz w:val="24"/>
        </w:rPr>
        <w:tab/>
      </w:r>
      <w:r>
        <w:rPr>
          <w:rFonts w:ascii="Arial" w:hAnsi="Arial"/>
          <w:sz w:val="24"/>
        </w:rPr>
        <w:tab/>
        <w:t>Director of Electricity and Natural Gas</w:t>
      </w:r>
    </w:p>
    <w:p w14:paraId="7748B49C" w14:textId="635C7A7D" w:rsidR="0085390F" w:rsidRDefault="003A2A04">
      <w:pPr>
        <w:tabs>
          <w:tab w:val="num" w:pos="360"/>
        </w:tabs>
        <w:ind w:left="360" w:hanging="360"/>
        <w:jc w:val="left"/>
        <w:rPr>
          <w:rFonts w:ascii="Arial" w:hAnsi="Arial"/>
          <w:sz w:val="24"/>
        </w:rPr>
      </w:pPr>
      <w:r>
        <w:rPr>
          <w:rFonts w:ascii="Arial" w:hAnsi="Arial"/>
          <w:sz w:val="24"/>
        </w:rPr>
        <w:tab/>
      </w:r>
      <w:r>
        <w:rPr>
          <w:rFonts w:ascii="Arial" w:hAnsi="Arial"/>
          <w:sz w:val="24"/>
        </w:rPr>
        <w:tab/>
      </w:r>
      <w:r>
        <w:rPr>
          <w:rFonts w:ascii="Arial" w:hAnsi="Arial"/>
          <w:sz w:val="24"/>
        </w:rPr>
        <w:tab/>
        <w:t>Maine Public Utilities Commission</w:t>
      </w:r>
    </w:p>
    <w:p w14:paraId="3B45B9C9" w14:textId="77777777" w:rsidR="0085390F" w:rsidRDefault="0085390F">
      <w:pPr>
        <w:tabs>
          <w:tab w:val="num" w:pos="360"/>
        </w:tabs>
        <w:ind w:left="360" w:hanging="360"/>
        <w:jc w:val="left"/>
        <w:rPr>
          <w:rFonts w:ascii="Arial" w:hAnsi="Arial"/>
          <w:sz w:val="24"/>
        </w:rPr>
      </w:pPr>
      <w:r>
        <w:rPr>
          <w:rFonts w:ascii="Arial" w:hAnsi="Arial"/>
          <w:sz w:val="24"/>
        </w:rPr>
        <w:tab/>
      </w:r>
      <w:r>
        <w:rPr>
          <w:rFonts w:ascii="Arial" w:hAnsi="Arial"/>
          <w:sz w:val="24"/>
        </w:rPr>
        <w:tab/>
      </w:r>
      <w:r>
        <w:rPr>
          <w:rFonts w:ascii="Arial" w:hAnsi="Arial"/>
          <w:sz w:val="24"/>
        </w:rPr>
        <w:tab/>
      </w:r>
      <w:hyperlink r:id="rId12" w:history="1">
        <w:r>
          <w:rPr>
            <w:rStyle w:val="Hyperlink"/>
            <w:rFonts w:ascii="Arial" w:hAnsi="Arial"/>
            <w:sz w:val="24"/>
          </w:rPr>
          <w:t>Faith.Huntington@maine.gov</w:t>
        </w:r>
      </w:hyperlink>
    </w:p>
    <w:p w14:paraId="7CF52A42" w14:textId="77777777" w:rsidR="0085390F" w:rsidRDefault="0085390F">
      <w:pPr>
        <w:tabs>
          <w:tab w:val="num" w:pos="360"/>
        </w:tabs>
        <w:ind w:left="360" w:hanging="360"/>
        <w:jc w:val="left"/>
        <w:rPr>
          <w:rFonts w:ascii="Arial" w:hAnsi="Arial"/>
          <w:sz w:val="24"/>
        </w:rPr>
      </w:pPr>
      <w:r>
        <w:rPr>
          <w:rFonts w:ascii="Arial" w:hAnsi="Arial"/>
          <w:sz w:val="24"/>
        </w:rPr>
        <w:tab/>
      </w:r>
      <w:r>
        <w:rPr>
          <w:rFonts w:ascii="Arial" w:hAnsi="Arial"/>
          <w:sz w:val="24"/>
        </w:rPr>
        <w:tab/>
      </w:r>
      <w:r>
        <w:rPr>
          <w:rFonts w:ascii="Arial" w:hAnsi="Arial"/>
          <w:sz w:val="24"/>
        </w:rPr>
        <w:tab/>
        <w:t>207-287-1373</w:t>
      </w:r>
    </w:p>
    <w:p w14:paraId="646328CD" w14:textId="6DD3F003" w:rsidR="0085390F" w:rsidRDefault="0085390F">
      <w:pPr>
        <w:tabs>
          <w:tab w:val="num" w:pos="360"/>
        </w:tabs>
        <w:ind w:left="360" w:hanging="360"/>
        <w:jc w:val="left"/>
        <w:rPr>
          <w:rFonts w:ascii="Arial" w:hAnsi="Arial"/>
          <w:sz w:val="24"/>
        </w:rPr>
      </w:pPr>
      <w:r>
        <w:rPr>
          <w:rFonts w:ascii="Arial" w:hAnsi="Arial"/>
          <w:sz w:val="24"/>
        </w:rPr>
        <w:tab/>
        <w:t xml:space="preserve">Bidders may submit questions or request additional information by contacting the RFP Contact Person.  To the extent bidder inquiries elicit generally applicable information or corrections/clarifications to existing information, such information may </w:t>
      </w:r>
      <w:r>
        <w:rPr>
          <w:rFonts w:ascii="Arial" w:hAnsi="Arial"/>
          <w:sz w:val="24"/>
        </w:rPr>
        <w:lastRenderedPageBreak/>
        <w:t>be posted to the RFP Website.  Bidder questions, information requests and the associated responses will not otherwise be made generally available.</w:t>
      </w:r>
    </w:p>
    <w:p w14:paraId="4B212002" w14:textId="77777777" w:rsidR="0085390F" w:rsidRDefault="0085390F">
      <w:pPr>
        <w:tabs>
          <w:tab w:val="num" w:pos="360"/>
        </w:tabs>
        <w:ind w:left="360" w:hanging="360"/>
        <w:jc w:val="left"/>
        <w:rPr>
          <w:rFonts w:ascii="Arial" w:hAnsi="Arial"/>
          <w:sz w:val="24"/>
        </w:rPr>
      </w:pPr>
      <w:r>
        <w:rPr>
          <w:rFonts w:ascii="Arial" w:hAnsi="Arial"/>
          <w:sz w:val="24"/>
        </w:rPr>
        <w:tab/>
        <w:t xml:space="preserve">The Commission will endeavor to respond to all questions and information requests, but it is under no obligation to do so. </w:t>
      </w:r>
    </w:p>
    <w:p w14:paraId="50D5B6E8" w14:textId="77777777" w:rsidR="0085390F" w:rsidRDefault="0085390F">
      <w:pPr>
        <w:pStyle w:val="Heading1"/>
        <w:numPr>
          <w:ilvl w:val="0"/>
          <w:numId w:val="20"/>
        </w:numPr>
        <w:ind w:hanging="630"/>
        <w:rPr>
          <w:rFonts w:ascii="Arial" w:hAnsi="Arial"/>
          <w:sz w:val="24"/>
        </w:rPr>
      </w:pPr>
      <w:bookmarkStart w:id="35" w:name="_Toc208238123"/>
      <w:r>
        <w:rPr>
          <w:rFonts w:ascii="Arial" w:hAnsi="Arial"/>
          <w:sz w:val="24"/>
        </w:rPr>
        <w:t xml:space="preserve"> Proposal </w:t>
      </w:r>
      <w:bookmarkEnd w:id="35"/>
      <w:r>
        <w:rPr>
          <w:rFonts w:ascii="Arial" w:hAnsi="Arial"/>
          <w:sz w:val="24"/>
        </w:rPr>
        <w:t>Content Requirements</w:t>
      </w:r>
    </w:p>
    <w:p w14:paraId="31D6B561" w14:textId="76ABA4CA" w:rsidR="0085390F" w:rsidRDefault="0085390F">
      <w:pPr>
        <w:tabs>
          <w:tab w:val="num" w:pos="360"/>
        </w:tabs>
        <w:ind w:left="360" w:hanging="360"/>
        <w:jc w:val="left"/>
        <w:rPr>
          <w:rFonts w:ascii="Arial" w:hAnsi="Arial"/>
          <w:sz w:val="24"/>
        </w:rPr>
      </w:pPr>
      <w:r>
        <w:rPr>
          <w:rFonts w:ascii="Arial" w:hAnsi="Arial"/>
          <w:sz w:val="24"/>
        </w:rPr>
        <w:tab/>
      </w:r>
      <w:r w:rsidRPr="00EF177A">
        <w:rPr>
          <w:rFonts w:ascii="Arial" w:hAnsi="Arial"/>
          <w:sz w:val="24"/>
        </w:rPr>
        <w:t xml:space="preserve">Initial </w:t>
      </w:r>
      <w:r>
        <w:rPr>
          <w:rFonts w:ascii="Arial" w:hAnsi="Arial"/>
          <w:sz w:val="24"/>
        </w:rPr>
        <w:t>proposals should include and address the following, with an affidavit warranting the completeness and accuracy of the material provided.</w:t>
      </w:r>
    </w:p>
    <w:p w14:paraId="14F90E93" w14:textId="239E4785" w:rsidR="0085390F" w:rsidRPr="00EF177A" w:rsidRDefault="0085390F">
      <w:pPr>
        <w:tabs>
          <w:tab w:val="num" w:pos="360"/>
        </w:tabs>
        <w:ind w:left="360"/>
        <w:jc w:val="left"/>
        <w:rPr>
          <w:rFonts w:ascii="Arial" w:hAnsi="Arial"/>
          <w:b/>
          <w:sz w:val="24"/>
        </w:rPr>
      </w:pPr>
      <w:r w:rsidRPr="00EF177A">
        <w:rPr>
          <w:rFonts w:ascii="Arial" w:hAnsi="Arial"/>
          <w:b/>
          <w:sz w:val="24"/>
        </w:rPr>
        <w:t xml:space="preserve"> </w:t>
      </w:r>
      <w:r>
        <w:rPr>
          <w:rFonts w:ascii="Arial" w:hAnsi="Arial"/>
          <w:b/>
          <w:sz w:val="24"/>
        </w:rPr>
        <w:t>5.</w:t>
      </w:r>
      <w:r w:rsidRPr="00EF177A">
        <w:rPr>
          <w:rFonts w:ascii="Arial" w:hAnsi="Arial"/>
          <w:b/>
          <w:sz w:val="24"/>
        </w:rPr>
        <w:t>1</w:t>
      </w:r>
      <w:r>
        <w:rPr>
          <w:rFonts w:ascii="Arial" w:hAnsi="Arial"/>
          <w:b/>
          <w:sz w:val="24"/>
        </w:rPr>
        <w:t xml:space="preserve"> </w:t>
      </w:r>
      <w:r w:rsidRPr="00EF177A">
        <w:rPr>
          <w:rFonts w:ascii="Arial" w:hAnsi="Arial"/>
          <w:b/>
          <w:sz w:val="24"/>
        </w:rPr>
        <w:t>Project Information</w:t>
      </w:r>
    </w:p>
    <w:p w14:paraId="1AD3126C" w14:textId="5312C503" w:rsidR="009B1CE5" w:rsidRDefault="00B90251" w:rsidP="00A914E8">
      <w:pPr>
        <w:tabs>
          <w:tab w:val="num" w:pos="990"/>
        </w:tabs>
        <w:spacing w:before="60" w:after="60"/>
        <w:ind w:left="720"/>
        <w:jc w:val="left"/>
        <w:rPr>
          <w:rFonts w:ascii="Arial" w:hAnsi="Arial" w:cs="Arial"/>
          <w:sz w:val="24"/>
        </w:rPr>
      </w:pPr>
      <w:r w:rsidRPr="004A26C8">
        <w:rPr>
          <w:rFonts w:ascii="Arial" w:hAnsi="Arial" w:cs="Arial"/>
          <w:sz w:val="24"/>
        </w:rPr>
        <w:t>a.</w:t>
      </w:r>
      <w:r w:rsidR="00E46603" w:rsidRPr="004A26C8">
        <w:rPr>
          <w:rFonts w:ascii="Arial" w:hAnsi="Arial" w:cs="Arial"/>
          <w:sz w:val="24"/>
        </w:rPr>
        <w:t xml:space="preserve"> </w:t>
      </w:r>
      <w:r w:rsidR="003E1CF7" w:rsidRPr="004A26C8">
        <w:rPr>
          <w:rFonts w:ascii="Arial" w:hAnsi="Arial" w:cs="Arial"/>
          <w:sz w:val="24"/>
        </w:rPr>
        <w:t xml:space="preserve">  </w:t>
      </w:r>
      <w:r w:rsidR="00C4324B">
        <w:rPr>
          <w:rFonts w:ascii="Arial" w:hAnsi="Arial" w:cs="Arial"/>
          <w:sz w:val="24"/>
        </w:rPr>
        <w:t>Proposals should include a</w:t>
      </w:r>
      <w:r w:rsidR="000F3646" w:rsidRPr="004A26C8">
        <w:rPr>
          <w:rFonts w:ascii="Arial" w:hAnsi="Arial" w:cs="Arial"/>
          <w:sz w:val="24"/>
        </w:rPr>
        <w:t xml:space="preserve"> s</w:t>
      </w:r>
      <w:r w:rsidR="009B1CE5" w:rsidRPr="004A26C8">
        <w:rPr>
          <w:rFonts w:ascii="Arial" w:hAnsi="Arial" w:cs="Arial"/>
          <w:sz w:val="24"/>
        </w:rPr>
        <w:t>tatement that the capacity resource is, or would be, recognized as capacity by the ISO-NE and/or NMISA, and the resource’s expected capacity value in MW</w:t>
      </w:r>
      <w:r w:rsidR="00853B7A" w:rsidRPr="004A26C8">
        <w:rPr>
          <w:rFonts w:ascii="Arial" w:hAnsi="Arial" w:cs="Arial"/>
          <w:sz w:val="24"/>
        </w:rPr>
        <w:t xml:space="preserve"> should be provided</w:t>
      </w:r>
      <w:r w:rsidR="00AF1D86" w:rsidRPr="004A26C8">
        <w:rPr>
          <w:rFonts w:ascii="Arial" w:hAnsi="Arial" w:cs="Arial"/>
          <w:sz w:val="24"/>
        </w:rPr>
        <w:t>.  In addition, proposals should demonstrate eligibility to participate in the ISO-NE or NMISA capacity</w:t>
      </w:r>
      <w:r w:rsidR="00C4324B">
        <w:rPr>
          <w:rFonts w:ascii="Arial" w:hAnsi="Arial" w:cs="Arial"/>
          <w:sz w:val="24"/>
        </w:rPr>
        <w:t xml:space="preserve"> and</w:t>
      </w:r>
      <w:r w:rsidR="00A914E8">
        <w:rPr>
          <w:rFonts w:ascii="Arial" w:hAnsi="Arial" w:cs="Arial"/>
          <w:sz w:val="24"/>
        </w:rPr>
        <w:t xml:space="preserve"> </w:t>
      </w:r>
      <w:r w:rsidR="00AF1D86" w:rsidRPr="004A26C8">
        <w:rPr>
          <w:rFonts w:ascii="Arial" w:hAnsi="Arial" w:cs="Arial"/>
          <w:sz w:val="24"/>
        </w:rPr>
        <w:t>energy</w:t>
      </w:r>
      <w:r w:rsidR="00A914E8">
        <w:rPr>
          <w:rFonts w:ascii="Arial" w:hAnsi="Arial" w:cs="Arial"/>
          <w:sz w:val="24"/>
        </w:rPr>
        <w:t xml:space="preserve"> </w:t>
      </w:r>
      <w:r w:rsidR="00AF1D86" w:rsidRPr="004A26C8">
        <w:rPr>
          <w:rFonts w:ascii="Arial" w:hAnsi="Arial" w:cs="Arial"/>
          <w:sz w:val="24"/>
        </w:rPr>
        <w:t>markets, as applicable.</w:t>
      </w:r>
      <w:r w:rsidR="00D31269" w:rsidRPr="004A26C8">
        <w:rPr>
          <w:rFonts w:ascii="Arial" w:hAnsi="Arial" w:cs="Arial"/>
          <w:sz w:val="24"/>
        </w:rPr>
        <w:t xml:space="preserve">  If a resource would not qualify as capacity in ISO-NE or NMISA, the proposal should describe and demonstrate the </w:t>
      </w:r>
      <w:r w:rsidR="00A914E8">
        <w:rPr>
          <w:rFonts w:ascii="Arial" w:hAnsi="Arial" w:cs="Arial"/>
          <w:sz w:val="24"/>
        </w:rPr>
        <w:t>capacity</w:t>
      </w:r>
      <w:r w:rsidR="00D31269" w:rsidRPr="004A26C8">
        <w:rPr>
          <w:rFonts w:ascii="Arial" w:hAnsi="Arial" w:cs="Arial"/>
          <w:sz w:val="24"/>
        </w:rPr>
        <w:t xml:space="preserve"> benefits it would provide for Maine consumers.</w:t>
      </w:r>
    </w:p>
    <w:p w14:paraId="2E767CF9" w14:textId="77777777" w:rsidR="00A914E8" w:rsidRPr="00A914E8" w:rsidRDefault="00A914E8" w:rsidP="00A914E8">
      <w:pPr>
        <w:tabs>
          <w:tab w:val="num" w:pos="990"/>
        </w:tabs>
        <w:spacing w:before="60" w:after="60"/>
        <w:ind w:left="720"/>
        <w:jc w:val="left"/>
        <w:rPr>
          <w:rFonts w:ascii="Arial" w:hAnsi="Arial" w:cs="Arial"/>
          <w:sz w:val="20"/>
        </w:rPr>
      </w:pPr>
    </w:p>
    <w:p w14:paraId="6B0FEDF4" w14:textId="7BAE0046" w:rsidR="0085390F" w:rsidRDefault="005824FD">
      <w:pPr>
        <w:tabs>
          <w:tab w:val="num" w:pos="720"/>
          <w:tab w:val="left" w:pos="1170"/>
        </w:tabs>
        <w:ind w:left="720"/>
        <w:jc w:val="left"/>
        <w:rPr>
          <w:rFonts w:ascii="Arial" w:hAnsi="Arial" w:cs="Arial"/>
          <w:sz w:val="24"/>
        </w:rPr>
      </w:pPr>
      <w:r w:rsidRPr="004A26C8">
        <w:rPr>
          <w:rFonts w:ascii="Arial" w:hAnsi="Arial"/>
          <w:sz w:val="24"/>
        </w:rPr>
        <w:t xml:space="preserve">b. </w:t>
      </w:r>
      <w:r w:rsidR="003E1CF7" w:rsidRPr="004A26C8">
        <w:rPr>
          <w:rFonts w:ascii="Arial" w:hAnsi="Arial"/>
          <w:sz w:val="24"/>
        </w:rPr>
        <w:t xml:space="preserve">  </w:t>
      </w:r>
      <w:r w:rsidR="0085390F">
        <w:rPr>
          <w:rFonts w:ascii="Arial" w:hAnsi="Arial" w:cs="Arial"/>
          <w:sz w:val="24"/>
        </w:rPr>
        <w:t>Proposals should demonstrate and document</w:t>
      </w:r>
      <w:r w:rsidR="00C4324B">
        <w:rPr>
          <w:rFonts w:ascii="Arial" w:hAnsi="Arial"/>
          <w:sz w:val="24"/>
        </w:rPr>
        <w:t xml:space="preserve"> </w:t>
      </w:r>
      <w:r w:rsidR="0085390F">
        <w:rPr>
          <w:rFonts w:ascii="Arial" w:hAnsi="Arial"/>
          <w:sz w:val="24"/>
        </w:rPr>
        <w:t>eligibility of the Project with respect to the requirements of the RFP</w:t>
      </w:r>
      <w:r w:rsidR="00C4324B">
        <w:rPr>
          <w:rFonts w:ascii="Arial" w:hAnsi="Arial"/>
          <w:sz w:val="24"/>
        </w:rPr>
        <w:t xml:space="preserve"> and include an analysis of how the Project meets the objectives of the RFP.</w:t>
      </w:r>
    </w:p>
    <w:p w14:paraId="567CD6A6" w14:textId="7D3ECB2F" w:rsidR="009B1CE5" w:rsidRPr="004A26C8" w:rsidRDefault="00C4324B" w:rsidP="00A914E8">
      <w:pPr>
        <w:tabs>
          <w:tab w:val="num" w:pos="720"/>
          <w:tab w:val="left" w:pos="1170"/>
        </w:tabs>
        <w:ind w:left="720"/>
        <w:jc w:val="left"/>
        <w:rPr>
          <w:rFonts w:ascii="Arial" w:hAnsi="Arial" w:cs="Arial"/>
          <w:sz w:val="24"/>
        </w:rPr>
      </w:pPr>
      <w:r>
        <w:rPr>
          <w:rFonts w:ascii="Arial" w:hAnsi="Arial" w:cs="Arial"/>
          <w:sz w:val="24"/>
        </w:rPr>
        <w:t>c</w:t>
      </w:r>
      <w:r w:rsidR="00B90251" w:rsidRPr="004A26C8">
        <w:rPr>
          <w:rFonts w:ascii="Arial" w:hAnsi="Arial" w:cs="Arial"/>
          <w:sz w:val="24"/>
        </w:rPr>
        <w:t>.</w:t>
      </w:r>
      <w:r w:rsidR="00892D9F" w:rsidRPr="004A26C8">
        <w:rPr>
          <w:rFonts w:ascii="Arial" w:hAnsi="Arial" w:cs="Arial"/>
          <w:sz w:val="24"/>
        </w:rPr>
        <w:t xml:space="preserve"> </w:t>
      </w:r>
      <w:r w:rsidR="003E1CF7" w:rsidRPr="004A26C8">
        <w:rPr>
          <w:rFonts w:ascii="Arial" w:hAnsi="Arial" w:cs="Arial"/>
          <w:sz w:val="24"/>
        </w:rPr>
        <w:t xml:space="preserve">  </w:t>
      </w:r>
      <w:r w:rsidR="00A914E8">
        <w:rPr>
          <w:rFonts w:ascii="Arial" w:hAnsi="Arial" w:cs="Arial"/>
          <w:sz w:val="24"/>
        </w:rPr>
        <w:t xml:space="preserve">Proposals should include a </w:t>
      </w:r>
      <w:r w:rsidR="000F3646" w:rsidRPr="004A26C8">
        <w:rPr>
          <w:rFonts w:ascii="Arial" w:hAnsi="Arial" w:cs="Arial"/>
          <w:sz w:val="24"/>
        </w:rPr>
        <w:t>d</w:t>
      </w:r>
      <w:r w:rsidR="009B1CE5" w:rsidRPr="004A26C8">
        <w:rPr>
          <w:rFonts w:ascii="Arial" w:hAnsi="Arial" w:cs="Arial"/>
          <w:sz w:val="24"/>
        </w:rPr>
        <w:t xml:space="preserve">escription of the </w:t>
      </w:r>
      <w:r>
        <w:rPr>
          <w:rFonts w:ascii="Arial" w:hAnsi="Arial" w:cs="Arial"/>
          <w:sz w:val="24"/>
        </w:rPr>
        <w:t>P</w:t>
      </w:r>
      <w:r w:rsidR="00775F6B">
        <w:rPr>
          <w:rFonts w:ascii="Arial" w:hAnsi="Arial" w:cs="Arial"/>
          <w:sz w:val="24"/>
        </w:rPr>
        <w:t>roject</w:t>
      </w:r>
      <w:r w:rsidR="00A914E8">
        <w:rPr>
          <w:rFonts w:ascii="Arial" w:hAnsi="Arial" w:cs="Arial"/>
          <w:sz w:val="24"/>
        </w:rPr>
        <w:t>, including where it ranks within the</w:t>
      </w:r>
      <w:r w:rsidR="009B1CE5" w:rsidRPr="004A26C8">
        <w:rPr>
          <w:rFonts w:ascii="Arial" w:hAnsi="Arial" w:cs="Arial"/>
          <w:sz w:val="24"/>
        </w:rPr>
        <w:t xml:space="preserve"> Resource Priority Order</w:t>
      </w:r>
      <w:r w:rsidR="00A914E8">
        <w:rPr>
          <w:rFonts w:ascii="Arial" w:hAnsi="Arial" w:cs="Arial"/>
          <w:sz w:val="24"/>
        </w:rPr>
        <w:t xml:space="preserve">, </w:t>
      </w:r>
      <w:r w:rsidR="008B74A2" w:rsidRPr="004A26C8">
        <w:rPr>
          <w:rFonts w:ascii="Arial" w:hAnsi="Arial" w:cs="Arial"/>
          <w:sz w:val="24"/>
        </w:rPr>
        <w:t>as well as a demonstration that the proposal is consistent with Maine’s statutory greenhouse gas reduction goals and climate action plan</w:t>
      </w:r>
      <w:r w:rsidR="002E4015" w:rsidRPr="004A26C8">
        <w:rPr>
          <w:rFonts w:ascii="Arial" w:hAnsi="Arial" w:cs="Arial"/>
          <w:sz w:val="24"/>
        </w:rPr>
        <w:t>.</w:t>
      </w:r>
    </w:p>
    <w:p w14:paraId="5C22E75D" w14:textId="1139829C" w:rsidR="00C4324B" w:rsidRPr="004A26C8" w:rsidRDefault="00C4324B" w:rsidP="00D14C12">
      <w:pPr>
        <w:tabs>
          <w:tab w:val="num" w:pos="720"/>
          <w:tab w:val="left" w:pos="1170"/>
        </w:tabs>
        <w:ind w:left="720"/>
        <w:jc w:val="left"/>
        <w:rPr>
          <w:rFonts w:ascii="Arial" w:hAnsi="Arial"/>
          <w:sz w:val="24"/>
        </w:rPr>
      </w:pPr>
      <w:r>
        <w:rPr>
          <w:rFonts w:ascii="Arial" w:hAnsi="Arial"/>
          <w:sz w:val="24"/>
        </w:rPr>
        <w:t>d</w:t>
      </w:r>
      <w:r w:rsidR="00ED11A4" w:rsidRPr="004A26C8">
        <w:rPr>
          <w:rFonts w:ascii="Arial" w:hAnsi="Arial"/>
          <w:sz w:val="24"/>
        </w:rPr>
        <w:t>.</w:t>
      </w:r>
      <w:r w:rsidR="003E1CF7" w:rsidRPr="004A26C8">
        <w:rPr>
          <w:rFonts w:ascii="Arial" w:hAnsi="Arial"/>
          <w:sz w:val="24"/>
        </w:rPr>
        <w:t xml:space="preserve">   </w:t>
      </w:r>
      <w:r w:rsidR="00ED11A4" w:rsidRPr="004A26C8">
        <w:rPr>
          <w:rFonts w:ascii="Arial" w:hAnsi="Arial"/>
          <w:sz w:val="24"/>
        </w:rPr>
        <w:t>P</w:t>
      </w:r>
      <w:r>
        <w:rPr>
          <w:rFonts w:ascii="Arial" w:hAnsi="Arial"/>
          <w:sz w:val="24"/>
        </w:rPr>
        <w:t>roposals for p</w:t>
      </w:r>
      <w:r w:rsidR="00ED11A4" w:rsidRPr="004A26C8">
        <w:rPr>
          <w:rFonts w:ascii="Arial" w:hAnsi="Arial"/>
          <w:sz w:val="24"/>
        </w:rPr>
        <w:t>rojects involving new capacity must demonstrate a sufficient level of site control, e.g., that which would be acceptable to ISO-NE for qualification as a capacity resource</w:t>
      </w:r>
      <w:r w:rsidR="00E77399" w:rsidRPr="004A26C8">
        <w:rPr>
          <w:rFonts w:ascii="Arial" w:hAnsi="Arial"/>
          <w:sz w:val="24"/>
        </w:rPr>
        <w:t>.</w:t>
      </w:r>
    </w:p>
    <w:p w14:paraId="4E1FCCB5" w14:textId="161CA439" w:rsidR="002171C6" w:rsidRPr="004A26C8" w:rsidRDefault="00C4324B" w:rsidP="00EF177A">
      <w:pPr>
        <w:tabs>
          <w:tab w:val="num" w:pos="720"/>
          <w:tab w:val="left" w:pos="1170"/>
        </w:tabs>
        <w:ind w:left="720"/>
        <w:jc w:val="left"/>
        <w:rPr>
          <w:rFonts w:ascii="Arial" w:hAnsi="Arial"/>
          <w:sz w:val="24"/>
        </w:rPr>
      </w:pPr>
      <w:r>
        <w:rPr>
          <w:rFonts w:ascii="Arial" w:hAnsi="Arial"/>
          <w:sz w:val="24"/>
        </w:rPr>
        <w:t>e.</w:t>
      </w:r>
      <w:r>
        <w:rPr>
          <w:rFonts w:ascii="Arial" w:hAnsi="Arial"/>
          <w:sz w:val="24"/>
        </w:rPr>
        <w:tab/>
      </w:r>
      <w:r w:rsidR="002171C6" w:rsidRPr="004A26C8">
        <w:rPr>
          <w:rFonts w:ascii="Arial" w:hAnsi="Arial"/>
          <w:sz w:val="24"/>
        </w:rPr>
        <w:t xml:space="preserve">Proposals must describe the </w:t>
      </w:r>
      <w:r w:rsidR="00B22538" w:rsidRPr="004A26C8">
        <w:rPr>
          <w:rFonts w:ascii="Arial" w:hAnsi="Arial"/>
          <w:sz w:val="24"/>
        </w:rPr>
        <w:t xml:space="preserve">technology </w:t>
      </w:r>
      <w:r w:rsidR="00F0573C">
        <w:rPr>
          <w:rFonts w:ascii="Arial" w:hAnsi="Arial"/>
          <w:sz w:val="24"/>
        </w:rPr>
        <w:t xml:space="preserve">and expected performance </w:t>
      </w:r>
      <w:r w:rsidR="00B22538" w:rsidRPr="004A26C8">
        <w:rPr>
          <w:rFonts w:ascii="Arial" w:hAnsi="Arial"/>
          <w:sz w:val="24"/>
        </w:rPr>
        <w:t>of the supply resource</w:t>
      </w:r>
      <w:r w:rsidR="00E846EC">
        <w:rPr>
          <w:rFonts w:ascii="Arial" w:hAnsi="Arial"/>
          <w:sz w:val="24"/>
        </w:rPr>
        <w:t>;</w:t>
      </w:r>
    </w:p>
    <w:p w14:paraId="5D28A5CC" w14:textId="43345C53" w:rsidR="0085390F" w:rsidRDefault="00C4324B" w:rsidP="00EF177A">
      <w:pPr>
        <w:tabs>
          <w:tab w:val="num" w:pos="720"/>
          <w:tab w:val="left" w:pos="1170"/>
        </w:tabs>
        <w:ind w:left="720"/>
        <w:jc w:val="left"/>
        <w:rPr>
          <w:rFonts w:ascii="Arial" w:hAnsi="Arial"/>
          <w:sz w:val="24"/>
        </w:rPr>
      </w:pPr>
      <w:r>
        <w:rPr>
          <w:rFonts w:ascii="Arial" w:hAnsi="Arial"/>
          <w:sz w:val="24"/>
        </w:rPr>
        <w:t>f.</w:t>
      </w:r>
      <w:r>
        <w:rPr>
          <w:rFonts w:ascii="Arial" w:hAnsi="Arial"/>
          <w:sz w:val="24"/>
        </w:rPr>
        <w:tab/>
      </w:r>
      <w:r w:rsidR="0085390F">
        <w:rPr>
          <w:rFonts w:ascii="Arial" w:hAnsi="Arial"/>
          <w:sz w:val="24"/>
        </w:rPr>
        <w:t>Proposals should also include detailed information about the siting and location of the Project, including</w:t>
      </w:r>
      <w:r>
        <w:rPr>
          <w:rFonts w:ascii="Arial" w:hAnsi="Arial"/>
          <w:sz w:val="24"/>
        </w:rPr>
        <w:t xml:space="preserve"> demonstration of a</w:t>
      </w:r>
      <w:r w:rsidR="0085390F">
        <w:rPr>
          <w:rFonts w:ascii="Arial" w:hAnsi="Arial"/>
          <w:sz w:val="24"/>
        </w:rPr>
        <w:t xml:space="preserve"> sufficient level of site control, as well as the expected interconnection point and applicable ISO-NE pricing node. Proposals should also provide the status of the Project with respect to the required interconnection and any applicable permitting requirements.</w:t>
      </w:r>
    </w:p>
    <w:p w14:paraId="7B6D5C32" w14:textId="46DB84F1" w:rsidR="0085390F" w:rsidRDefault="00C4324B">
      <w:pPr>
        <w:tabs>
          <w:tab w:val="left" w:pos="1170"/>
        </w:tabs>
        <w:ind w:left="720"/>
        <w:jc w:val="left"/>
        <w:rPr>
          <w:rFonts w:ascii="Arial" w:hAnsi="Arial"/>
          <w:sz w:val="24"/>
        </w:rPr>
      </w:pPr>
      <w:r>
        <w:rPr>
          <w:rFonts w:ascii="Arial" w:hAnsi="Arial" w:cs="Arial"/>
          <w:sz w:val="24"/>
        </w:rPr>
        <w:t>g.</w:t>
      </w:r>
      <w:r>
        <w:rPr>
          <w:rFonts w:ascii="Arial" w:hAnsi="Arial" w:cs="Arial"/>
          <w:sz w:val="24"/>
        </w:rPr>
        <w:tab/>
      </w:r>
      <w:r w:rsidR="0085390F">
        <w:rPr>
          <w:rFonts w:ascii="Arial" w:hAnsi="Arial"/>
          <w:sz w:val="24"/>
        </w:rPr>
        <w:t>Proposals should include estimated hourly energy production levels in Excel format.</w:t>
      </w:r>
    </w:p>
    <w:p w14:paraId="2D76E93E" w14:textId="6E87EDEF" w:rsidR="0085390F" w:rsidRPr="00EF177A" w:rsidRDefault="0085390F">
      <w:pPr>
        <w:tabs>
          <w:tab w:val="num" w:pos="360"/>
        </w:tabs>
        <w:spacing w:before="60" w:after="60"/>
        <w:ind w:left="360" w:hanging="360"/>
        <w:jc w:val="left"/>
        <w:rPr>
          <w:rFonts w:ascii="Arial" w:hAnsi="Arial"/>
          <w:b/>
          <w:sz w:val="24"/>
        </w:rPr>
      </w:pPr>
      <w:r>
        <w:rPr>
          <w:rFonts w:ascii="Arial" w:hAnsi="Arial" w:cs="Arial"/>
          <w:sz w:val="24"/>
        </w:rPr>
        <w:tab/>
      </w:r>
      <w:r>
        <w:rPr>
          <w:rFonts w:ascii="Arial" w:hAnsi="Arial" w:cs="Arial"/>
          <w:sz w:val="24"/>
        </w:rPr>
        <w:tab/>
      </w:r>
      <w:r>
        <w:rPr>
          <w:rFonts w:ascii="Arial" w:hAnsi="Arial" w:cs="Arial"/>
          <w:b/>
          <w:sz w:val="24"/>
        </w:rPr>
        <w:t>5.</w:t>
      </w:r>
      <w:r w:rsidRPr="00EF177A">
        <w:rPr>
          <w:rFonts w:ascii="Arial" w:hAnsi="Arial"/>
          <w:b/>
          <w:sz w:val="24"/>
        </w:rPr>
        <w:t>2   Financial and Technical Capability</w:t>
      </w:r>
    </w:p>
    <w:p w14:paraId="45DECBC3" w14:textId="766446EA" w:rsidR="00264EDE" w:rsidRDefault="0085390F" w:rsidP="00EF177A">
      <w:pPr>
        <w:tabs>
          <w:tab w:val="num" w:pos="1260"/>
        </w:tabs>
        <w:spacing w:before="60" w:after="60"/>
        <w:ind w:left="720"/>
        <w:jc w:val="left"/>
        <w:rPr>
          <w:rFonts w:ascii="Arial" w:hAnsi="Arial" w:cs="Arial"/>
          <w:sz w:val="24"/>
        </w:rPr>
      </w:pPr>
      <w:r>
        <w:rPr>
          <w:rFonts w:ascii="Arial" w:hAnsi="Arial" w:cs="Arial"/>
          <w:sz w:val="24"/>
        </w:rPr>
        <w:lastRenderedPageBreak/>
        <w:t xml:space="preserve">Information and supporting documents sufficient to demonstrate the financial and technical capability of the Project and Project team should be provided, including audited financial statements of the Project team companies (if applicable), their most current credit agency rating reports (if applicable) and other documentation demonstrating the financial capability of the Project team, and documentation demonstrating sufficient technical experience and expertise to develop the </w:t>
      </w:r>
      <w:r w:rsidR="00EF177A">
        <w:rPr>
          <w:rFonts w:ascii="Arial" w:hAnsi="Arial" w:cs="Arial"/>
          <w:sz w:val="24"/>
        </w:rPr>
        <w:t>P</w:t>
      </w:r>
      <w:r>
        <w:rPr>
          <w:rFonts w:ascii="Arial" w:hAnsi="Arial" w:cs="Arial"/>
          <w:sz w:val="24"/>
        </w:rPr>
        <w:t>roject.</w:t>
      </w:r>
    </w:p>
    <w:p w14:paraId="0F3BC252" w14:textId="77777777" w:rsidR="00D45C23" w:rsidRDefault="00D45C23">
      <w:pPr>
        <w:tabs>
          <w:tab w:val="num" w:pos="1260"/>
        </w:tabs>
        <w:spacing w:before="60" w:after="60"/>
        <w:ind w:left="720"/>
        <w:jc w:val="left"/>
        <w:rPr>
          <w:rFonts w:ascii="Arial" w:hAnsi="Arial" w:cs="Arial"/>
          <w:sz w:val="24"/>
        </w:rPr>
      </w:pPr>
    </w:p>
    <w:p w14:paraId="029A8C66" w14:textId="264E4F3F" w:rsidR="0085390F" w:rsidRPr="00EF177A" w:rsidRDefault="0085390F" w:rsidP="00EF177A">
      <w:pPr>
        <w:tabs>
          <w:tab w:val="num" w:pos="1260"/>
        </w:tabs>
        <w:ind w:left="720"/>
        <w:jc w:val="left"/>
        <w:rPr>
          <w:rFonts w:ascii="Arial" w:hAnsi="Arial"/>
          <w:sz w:val="24"/>
          <w:u w:val="single"/>
        </w:rPr>
      </w:pPr>
      <w:r>
        <w:rPr>
          <w:rFonts w:ascii="Arial" w:hAnsi="Arial"/>
          <w:sz w:val="24"/>
        </w:rPr>
        <w:t>Proposals should also include the financing plan for the Project and a description of the financing process, as well as the status of the bidder’s effort to secure financing.  Proposals should</w:t>
      </w:r>
      <w:r w:rsidR="00264EDE">
        <w:rPr>
          <w:rFonts w:ascii="Arial" w:hAnsi="Arial"/>
          <w:sz w:val="24"/>
        </w:rPr>
        <w:t xml:space="preserve"> </w:t>
      </w:r>
      <w:r>
        <w:rPr>
          <w:rFonts w:ascii="Arial" w:hAnsi="Arial"/>
          <w:sz w:val="24"/>
        </w:rPr>
        <w:t xml:space="preserve">demonstrate firm commitment to the plan from one or more qualified financial institution or funding source. Firm </w:t>
      </w:r>
      <w:r w:rsidR="00D45C23">
        <w:rPr>
          <w:rFonts w:ascii="Arial" w:hAnsi="Arial"/>
          <w:sz w:val="24"/>
        </w:rPr>
        <w:t>commitment should</w:t>
      </w:r>
      <w:r>
        <w:rPr>
          <w:rFonts w:ascii="Arial" w:hAnsi="Arial"/>
          <w:sz w:val="24"/>
        </w:rPr>
        <w:t xml:space="preserve"> be in the form of a letter indicating intent to provide the required financing. </w:t>
      </w:r>
    </w:p>
    <w:p w14:paraId="34760A6F" w14:textId="25F9DD9D" w:rsidR="0085390F" w:rsidRPr="00EF177A" w:rsidRDefault="0085390F" w:rsidP="00EF177A">
      <w:pPr>
        <w:tabs>
          <w:tab w:val="left" w:pos="1260"/>
        </w:tabs>
        <w:spacing w:before="60" w:after="60"/>
        <w:ind w:left="360" w:firstLine="360"/>
        <w:jc w:val="left"/>
        <w:rPr>
          <w:rFonts w:ascii="Arial" w:hAnsi="Arial"/>
          <w:b/>
          <w:sz w:val="24"/>
        </w:rPr>
      </w:pPr>
      <w:r>
        <w:rPr>
          <w:rFonts w:ascii="Arial" w:hAnsi="Arial" w:cs="Arial"/>
          <w:b/>
          <w:sz w:val="24"/>
        </w:rPr>
        <w:t>5.</w:t>
      </w:r>
      <w:r w:rsidRPr="00EF177A">
        <w:rPr>
          <w:rFonts w:ascii="Arial" w:hAnsi="Arial"/>
          <w:b/>
          <w:sz w:val="24"/>
        </w:rPr>
        <w:t>3</w:t>
      </w:r>
      <w:r>
        <w:rPr>
          <w:rFonts w:ascii="Arial" w:hAnsi="Arial" w:cs="Arial"/>
          <w:b/>
          <w:sz w:val="24"/>
        </w:rPr>
        <w:t xml:space="preserve"> </w:t>
      </w:r>
      <w:r w:rsidRPr="00EF177A">
        <w:rPr>
          <w:rFonts w:ascii="Arial" w:hAnsi="Arial"/>
          <w:b/>
          <w:sz w:val="24"/>
        </w:rPr>
        <w:t xml:space="preserve">  Pricing</w:t>
      </w:r>
    </w:p>
    <w:p w14:paraId="2F7B201D" w14:textId="2BED728C" w:rsidR="0085390F" w:rsidRDefault="0085390F" w:rsidP="00EF177A">
      <w:pPr>
        <w:spacing w:before="60" w:after="60"/>
        <w:ind w:left="810"/>
        <w:jc w:val="left"/>
        <w:rPr>
          <w:rFonts w:ascii="Arial" w:hAnsi="Arial" w:cs="Arial"/>
          <w:sz w:val="24"/>
        </w:rPr>
      </w:pPr>
      <w:r>
        <w:rPr>
          <w:rFonts w:ascii="Arial" w:hAnsi="Arial" w:cs="Arial"/>
          <w:sz w:val="24"/>
        </w:rPr>
        <w:t>Proposals should include the quantities (or quantity caps) and prices for capacity</w:t>
      </w:r>
      <w:r w:rsidR="00DA22C0">
        <w:rPr>
          <w:rFonts w:ascii="Arial" w:hAnsi="Arial" w:cs="Arial"/>
          <w:sz w:val="24"/>
        </w:rPr>
        <w:t xml:space="preserve"> and </w:t>
      </w:r>
      <w:r>
        <w:rPr>
          <w:rFonts w:ascii="Arial" w:hAnsi="Arial" w:cs="Arial"/>
          <w:sz w:val="24"/>
        </w:rPr>
        <w:t>associated energy for each year of the proposed term.  To the extent pricing is based on an index or formula, a detailed example of how the formula would operate using historic index values should also be provided.  Pricing provided in Initial Proposals may be indicative. All contingencies associated with a proposal and/or pricing should be clearly indicated.</w:t>
      </w:r>
    </w:p>
    <w:p w14:paraId="218BBF92" w14:textId="50CC9AB8" w:rsidR="0085390F" w:rsidRDefault="0085390F">
      <w:pPr>
        <w:tabs>
          <w:tab w:val="num" w:pos="720"/>
        </w:tabs>
        <w:spacing w:before="60" w:after="60"/>
        <w:ind w:left="720"/>
        <w:jc w:val="left"/>
        <w:rPr>
          <w:rFonts w:ascii="Arial" w:hAnsi="Arial" w:cs="Arial"/>
          <w:sz w:val="24"/>
        </w:rPr>
      </w:pPr>
    </w:p>
    <w:p w14:paraId="0940FF03" w14:textId="5AAD5CB8" w:rsidR="0085390F" w:rsidRPr="00EF177A" w:rsidRDefault="0085390F" w:rsidP="00EF177A">
      <w:pPr>
        <w:tabs>
          <w:tab w:val="left" w:pos="720"/>
        </w:tabs>
        <w:spacing w:before="60" w:after="60"/>
        <w:ind w:left="360" w:firstLine="450"/>
        <w:jc w:val="left"/>
        <w:rPr>
          <w:rFonts w:ascii="Arial" w:hAnsi="Arial"/>
          <w:b/>
          <w:sz w:val="24"/>
        </w:rPr>
      </w:pPr>
      <w:r w:rsidRPr="00EF177A">
        <w:rPr>
          <w:rFonts w:ascii="Arial" w:hAnsi="Arial"/>
          <w:b/>
          <w:sz w:val="24"/>
        </w:rPr>
        <w:t>5.</w:t>
      </w:r>
      <w:r>
        <w:rPr>
          <w:rFonts w:ascii="Arial" w:hAnsi="Arial" w:cs="Arial"/>
          <w:b/>
          <w:sz w:val="24"/>
        </w:rPr>
        <w:t>4</w:t>
      </w:r>
      <w:r w:rsidR="00EF177A">
        <w:rPr>
          <w:rFonts w:ascii="Arial" w:hAnsi="Arial"/>
          <w:b/>
          <w:sz w:val="24"/>
        </w:rPr>
        <w:tab/>
      </w:r>
      <w:r w:rsidRPr="00EF177A">
        <w:rPr>
          <w:rFonts w:ascii="Arial" w:hAnsi="Arial"/>
          <w:b/>
          <w:sz w:val="24"/>
        </w:rPr>
        <w:t xml:space="preserve">Proposal Security Deposit </w:t>
      </w:r>
    </w:p>
    <w:p w14:paraId="1D83C7B2" w14:textId="77777777" w:rsidR="0085390F" w:rsidRDefault="0085390F" w:rsidP="00EF177A">
      <w:pPr>
        <w:tabs>
          <w:tab w:val="left" w:pos="810"/>
        </w:tabs>
        <w:spacing w:before="60" w:after="60"/>
        <w:ind w:left="810"/>
        <w:jc w:val="left"/>
        <w:rPr>
          <w:rFonts w:ascii="Arial" w:hAnsi="Arial" w:cs="Arial"/>
          <w:sz w:val="24"/>
        </w:rPr>
      </w:pPr>
      <w:r>
        <w:rPr>
          <w:rFonts w:ascii="Arial" w:hAnsi="Arial" w:cs="Arial"/>
          <w:sz w:val="24"/>
        </w:rPr>
        <w:t xml:space="preserve">A Proposal Security Deposit must be provided with the Initial Proposal. Deposits should be submitted directly to the T&amp;D utility that would be the contractual counterparty in the contract. The Proposal Security Deposit must be in the form of U.S. currency or an irrevocable, transferable and unconditional standby letter of credit issued by a U.S. commercial bank or a foreign bank with a U.S. branch with such bank having a </w:t>
      </w:r>
      <w:r>
        <w:rPr>
          <w:rFonts w:ascii="Arial" w:hAnsi="Arial"/>
          <w:sz w:val="24"/>
        </w:rPr>
        <w:t xml:space="preserve">minimum credit rating of A- from S&amp;P or A3 from Moody’s.  Deposits provided in cash will be held by the T&amp;D utility in an interest-bearing escrow account. </w:t>
      </w:r>
      <w:r>
        <w:rPr>
          <w:rFonts w:ascii="Arial" w:hAnsi="Arial" w:cs="Arial"/>
          <w:sz w:val="24"/>
        </w:rPr>
        <w:t>The Proposal Security Deposit will (1) be refunded if a proposal is not selected or (2) be replaced with the Project and Performance Security if a proposal is selected.</w:t>
      </w:r>
    </w:p>
    <w:p w14:paraId="6390B494" w14:textId="0129A954" w:rsidR="0085390F" w:rsidRPr="00EF177A" w:rsidRDefault="0085390F" w:rsidP="00EF177A">
      <w:pPr>
        <w:tabs>
          <w:tab w:val="left" w:pos="810"/>
        </w:tabs>
        <w:spacing w:before="60" w:after="60"/>
        <w:ind w:left="810"/>
        <w:jc w:val="left"/>
        <w:rPr>
          <w:rFonts w:ascii="Arial" w:hAnsi="Arial"/>
          <w:sz w:val="24"/>
          <w:shd w:val="clear" w:color="auto" w:fill="FFFFFF"/>
        </w:rPr>
      </w:pPr>
      <w:r w:rsidRPr="00EF177A">
        <w:rPr>
          <w:rFonts w:ascii="Arial" w:hAnsi="Arial"/>
          <w:sz w:val="24"/>
          <w:shd w:val="clear" w:color="auto" w:fill="FFFFFF"/>
        </w:rPr>
        <w:t xml:space="preserve">The </w:t>
      </w:r>
      <w:r>
        <w:rPr>
          <w:rFonts w:ascii="Arial" w:hAnsi="Arial"/>
          <w:sz w:val="24"/>
          <w:shd w:val="clear" w:color="auto" w:fill="FFFFFF"/>
        </w:rPr>
        <w:t xml:space="preserve">required </w:t>
      </w:r>
      <w:r w:rsidRPr="00EF177A">
        <w:rPr>
          <w:rFonts w:ascii="Arial" w:hAnsi="Arial"/>
          <w:sz w:val="24"/>
          <w:shd w:val="clear" w:color="auto" w:fill="FFFFFF"/>
        </w:rPr>
        <w:t>Proposal Security Deposit is $5 per kW of capacity proposed, with a cap of $100,000.</w:t>
      </w:r>
    </w:p>
    <w:p w14:paraId="416C8575" w14:textId="77777777" w:rsidR="0085390F" w:rsidRPr="00EF177A" w:rsidRDefault="0085390F">
      <w:pPr>
        <w:tabs>
          <w:tab w:val="num" w:pos="360"/>
        </w:tabs>
        <w:spacing w:before="60" w:after="60"/>
        <w:ind w:left="360" w:hanging="360"/>
        <w:jc w:val="left"/>
        <w:rPr>
          <w:rFonts w:ascii="Arial" w:hAnsi="Arial"/>
          <w:sz w:val="24"/>
        </w:rPr>
      </w:pPr>
      <w:r>
        <w:rPr>
          <w:rFonts w:ascii="Arial" w:hAnsi="Arial"/>
          <w:sz w:val="24"/>
        </w:rPr>
        <w:tab/>
      </w:r>
      <w:r>
        <w:rPr>
          <w:rFonts w:ascii="Arial" w:hAnsi="Arial"/>
          <w:sz w:val="24"/>
        </w:rPr>
        <w:tab/>
      </w:r>
      <w:r>
        <w:rPr>
          <w:rFonts w:ascii="Arial" w:hAnsi="Arial"/>
          <w:sz w:val="24"/>
        </w:rPr>
        <w:tab/>
      </w:r>
    </w:p>
    <w:p w14:paraId="7B489E5C" w14:textId="36519C09" w:rsidR="0085390F" w:rsidRPr="00EF177A" w:rsidRDefault="0085390F" w:rsidP="00EF177A">
      <w:pPr>
        <w:keepNext/>
        <w:tabs>
          <w:tab w:val="num" w:pos="360"/>
        </w:tabs>
        <w:spacing w:before="60" w:after="60"/>
        <w:ind w:left="360" w:hanging="360"/>
        <w:jc w:val="left"/>
        <w:rPr>
          <w:rFonts w:ascii="Arial" w:hAnsi="Arial"/>
          <w:sz w:val="28"/>
        </w:rPr>
      </w:pPr>
      <w:r>
        <w:rPr>
          <w:rFonts w:ascii="Arial" w:hAnsi="Arial"/>
          <w:b/>
          <w:sz w:val="24"/>
        </w:rPr>
        <w:lastRenderedPageBreak/>
        <w:t>6.</w:t>
      </w:r>
      <w:r>
        <w:rPr>
          <w:rFonts w:ascii="Arial" w:hAnsi="Arial" w:cs="Arial"/>
          <w:b/>
          <w:sz w:val="24"/>
          <w:szCs w:val="24"/>
        </w:rPr>
        <w:t xml:space="preserve">  </w:t>
      </w:r>
      <w:r>
        <w:rPr>
          <w:rFonts w:ascii="Arial" w:hAnsi="Arial"/>
          <w:b/>
          <w:sz w:val="24"/>
        </w:rPr>
        <w:t xml:space="preserve">  Project and Performance Security</w:t>
      </w:r>
    </w:p>
    <w:p w14:paraId="2BF02CDA" w14:textId="6BF3B7BC" w:rsidR="0085390F" w:rsidRDefault="0085390F">
      <w:pPr>
        <w:pStyle w:val="Heading2"/>
        <w:numPr>
          <w:ilvl w:val="0"/>
          <w:numId w:val="0"/>
        </w:numPr>
        <w:ind w:left="630"/>
        <w:jc w:val="left"/>
        <w:rPr>
          <w:rFonts w:ascii="Arial" w:hAnsi="Arial" w:cs="Arial"/>
          <w:b w:val="0"/>
          <w:sz w:val="24"/>
        </w:rPr>
      </w:pPr>
      <w:r>
        <w:rPr>
          <w:rFonts w:ascii="Arial" w:hAnsi="Arial" w:cs="Arial"/>
          <w:b w:val="0"/>
          <w:sz w:val="24"/>
        </w:rPr>
        <w:t>Project and Performance Security will be determined on a project-specific basis based on the Commission’s assessment of the risks and benefits of the contract.  The Commission may establish a security “Base Amount”, as well as contractual terms by which margining would occur.</w:t>
      </w:r>
    </w:p>
    <w:p w14:paraId="37F583BC" w14:textId="77777777" w:rsidR="0085390F" w:rsidRDefault="0085390F">
      <w:pPr>
        <w:ind w:left="630"/>
        <w:rPr>
          <w:rFonts w:ascii="Arial" w:hAnsi="Arial" w:cs="Arial"/>
          <w:sz w:val="24"/>
          <w:szCs w:val="24"/>
        </w:rPr>
      </w:pPr>
      <w:r>
        <w:rPr>
          <w:rFonts w:ascii="Arial" w:hAnsi="Arial" w:cs="Arial"/>
          <w:sz w:val="24"/>
          <w:szCs w:val="24"/>
        </w:rPr>
        <w:t xml:space="preserve">Acceptable forms of Project and Performance Security are: (1) cash (U.S. currency);  or (2) an irrevocable, transferable and unconditional standby letter of credit issued by a U.S. commercial bank or a foreign bank with a U.S. branch with such bank having a minimum credit rating of A- from S&amp;P or A3 from Moody’s.  The Commission may consider other forms of Project and Performance Security and will determine whether security in a form other than cash or an LOC is acceptable in the context of a specific proposal and prevailing economic conditions.     </w:t>
      </w:r>
    </w:p>
    <w:p w14:paraId="60CB8349" w14:textId="77777777" w:rsidR="0085390F" w:rsidRDefault="0085390F">
      <w:pPr>
        <w:pStyle w:val="Heading2"/>
        <w:numPr>
          <w:ilvl w:val="0"/>
          <w:numId w:val="0"/>
        </w:numPr>
        <w:ind w:left="630"/>
        <w:jc w:val="left"/>
        <w:rPr>
          <w:rFonts w:ascii="Arial" w:hAnsi="Arial"/>
          <w:b w:val="0"/>
          <w:sz w:val="24"/>
        </w:rPr>
      </w:pPr>
      <w:r>
        <w:rPr>
          <w:rFonts w:ascii="Arial" w:hAnsi="Arial" w:cs="Arial"/>
          <w:b w:val="0"/>
          <w:sz w:val="24"/>
        </w:rPr>
        <w:t xml:space="preserve">Project and Performance Security is not required to be posted with Initial Proposals, but Initial Proposals should include evidence of a bidder’s intent and ability to fulfill the Project and Performance Security Requirements should the proposal be selected.  In particular, Initial Proposals should include a statement from a qualified bank meeting the minimum credit rating criteria noted above that it would provide the Project and Performance Security required for the proposal. </w:t>
      </w:r>
    </w:p>
    <w:p w14:paraId="7A786600" w14:textId="7FDC9FA1" w:rsidR="0085390F" w:rsidRDefault="0085390F">
      <w:pPr>
        <w:tabs>
          <w:tab w:val="num" w:pos="720"/>
        </w:tabs>
        <w:suppressAutoHyphens w:val="0"/>
        <w:spacing w:after="0"/>
        <w:ind w:left="630"/>
        <w:jc w:val="left"/>
        <w:rPr>
          <w:rFonts w:ascii="Arial" w:hAnsi="Arial"/>
          <w:sz w:val="24"/>
        </w:rPr>
      </w:pPr>
      <w:r>
        <w:rPr>
          <w:rFonts w:ascii="Arial" w:hAnsi="Arial"/>
          <w:sz w:val="24"/>
        </w:rPr>
        <w:t xml:space="preserve">Winning bidders must post Project and Performance Security (Base Amount) within 2 business days of contract execution, at which time their Proposal Security Deposit will be refunded.  </w:t>
      </w:r>
    </w:p>
    <w:p w14:paraId="77EE1013" w14:textId="77777777" w:rsidR="0085390F" w:rsidRDefault="0085390F">
      <w:pPr>
        <w:tabs>
          <w:tab w:val="num" w:pos="360"/>
        </w:tabs>
        <w:suppressAutoHyphens w:val="0"/>
        <w:spacing w:after="0"/>
        <w:ind w:left="360" w:hanging="360"/>
        <w:jc w:val="left"/>
        <w:rPr>
          <w:rFonts w:ascii="Arial" w:hAnsi="Arial"/>
          <w:sz w:val="24"/>
        </w:rPr>
      </w:pPr>
    </w:p>
    <w:p w14:paraId="02EB8F55" w14:textId="77777777" w:rsidR="0085390F" w:rsidRDefault="0085390F">
      <w:pPr>
        <w:keepNext/>
        <w:tabs>
          <w:tab w:val="num" w:pos="360"/>
          <w:tab w:val="left" w:pos="5850"/>
        </w:tabs>
        <w:ind w:left="360" w:hanging="360"/>
        <w:jc w:val="left"/>
        <w:rPr>
          <w:rFonts w:ascii="Arial" w:hAnsi="Arial"/>
          <w:b/>
          <w:sz w:val="24"/>
        </w:rPr>
      </w:pPr>
      <w:bookmarkStart w:id="36" w:name="_Toc208238128"/>
      <w:r>
        <w:rPr>
          <w:rFonts w:ascii="Arial" w:hAnsi="Arial"/>
          <w:b/>
          <w:sz w:val="24"/>
        </w:rPr>
        <w:t xml:space="preserve">7.  General </w:t>
      </w:r>
      <w:bookmarkEnd w:id="36"/>
    </w:p>
    <w:p w14:paraId="21E66F0C" w14:textId="77777777" w:rsidR="0085390F" w:rsidRDefault="0085390F">
      <w:pPr>
        <w:tabs>
          <w:tab w:val="num" w:pos="360"/>
        </w:tabs>
        <w:ind w:left="360" w:hanging="360"/>
        <w:jc w:val="left"/>
        <w:rPr>
          <w:rFonts w:ascii="Arial" w:hAnsi="Arial"/>
          <w:b/>
          <w:sz w:val="24"/>
        </w:rPr>
      </w:pPr>
      <w:r>
        <w:rPr>
          <w:rFonts w:ascii="Arial" w:hAnsi="Arial"/>
          <w:b/>
          <w:sz w:val="24"/>
        </w:rPr>
        <w:tab/>
        <w:t>7.1 Proposals</w:t>
      </w:r>
    </w:p>
    <w:p w14:paraId="203ED78F" w14:textId="77777777" w:rsidR="0085390F" w:rsidRDefault="0085390F">
      <w:pPr>
        <w:tabs>
          <w:tab w:val="num" w:pos="360"/>
        </w:tabs>
        <w:ind w:left="360" w:hanging="360"/>
        <w:jc w:val="left"/>
        <w:rPr>
          <w:rFonts w:ascii="Arial" w:hAnsi="Arial"/>
          <w:sz w:val="24"/>
        </w:rPr>
      </w:pPr>
      <w:r>
        <w:rPr>
          <w:rFonts w:ascii="Arial" w:hAnsi="Arial"/>
          <w:sz w:val="24"/>
        </w:rPr>
        <w:tab/>
        <w:t xml:space="preserve">Proposals must be submitted in accordance with this RFP or as otherwise specified by the Commission. The Commission reserves the right to seek clarification and request additional information, documentation and other material related to the proposals. Failure to provide any such items within the timeframes requested may result in disqualification.  </w:t>
      </w:r>
    </w:p>
    <w:p w14:paraId="25E05C45" w14:textId="4DE4D8E7" w:rsidR="0085390F" w:rsidRDefault="0085390F">
      <w:pPr>
        <w:tabs>
          <w:tab w:val="num" w:pos="360"/>
        </w:tabs>
        <w:ind w:left="360" w:hanging="360"/>
        <w:jc w:val="left"/>
        <w:rPr>
          <w:rFonts w:ascii="Arial" w:hAnsi="Arial"/>
          <w:sz w:val="24"/>
        </w:rPr>
      </w:pPr>
      <w:r>
        <w:rPr>
          <w:rFonts w:ascii="Arial" w:hAnsi="Arial"/>
          <w:sz w:val="24"/>
        </w:rPr>
        <w:tab/>
        <w:t xml:space="preserve">A bidder may amend or withdraw its proposal, or any portion of its proposal, or may withdraw entirely from the RFP, at any time prior to the submission of a Final Proposal. </w:t>
      </w:r>
    </w:p>
    <w:p w14:paraId="2B409C4F" w14:textId="491B4F76" w:rsidR="0085390F" w:rsidRDefault="0085390F">
      <w:pPr>
        <w:shd w:val="clear" w:color="auto" w:fill="FFFFFF"/>
        <w:tabs>
          <w:tab w:val="num" w:pos="360"/>
        </w:tabs>
        <w:ind w:left="360" w:hanging="360"/>
        <w:jc w:val="left"/>
        <w:rPr>
          <w:rFonts w:ascii="Arial" w:hAnsi="Arial"/>
          <w:sz w:val="24"/>
          <w:shd w:val="clear" w:color="auto" w:fill="FFFFFF"/>
        </w:rPr>
      </w:pPr>
      <w:r>
        <w:rPr>
          <w:rFonts w:ascii="Arial" w:hAnsi="Arial"/>
          <w:sz w:val="24"/>
        </w:rPr>
        <w:tab/>
        <w:t>Final Proposals, when requested as such by the Commission, are binding. A change in Final Proposal terms, except as authorized or requested by the Commission, may result in disqualification and/or the forfeit of the Proposal Security Deposit. In addition, a bidder’s failure to execute the Contract or provide the required Project and Performance Security, should a bidder’s Final Proposal be accepted, will also result in the forfeit of its Proposal Security Deposit</w:t>
      </w:r>
      <w:r>
        <w:rPr>
          <w:rFonts w:ascii="Arial" w:hAnsi="Arial"/>
          <w:sz w:val="24"/>
          <w:shd w:val="clear" w:color="auto" w:fill="FFFFFF"/>
        </w:rPr>
        <w:t xml:space="preserve">. Final Proposals may include an </w:t>
      </w:r>
      <w:r>
        <w:rPr>
          <w:rFonts w:ascii="Arial" w:hAnsi="Arial"/>
          <w:sz w:val="24"/>
          <w:shd w:val="clear" w:color="auto" w:fill="FFFFFF"/>
        </w:rPr>
        <w:lastRenderedPageBreak/>
        <w:t xml:space="preserve">expiration date such that the proposal would expire if not accepted by the Commission by the specified date. </w:t>
      </w:r>
    </w:p>
    <w:p w14:paraId="68B942FC" w14:textId="77777777" w:rsidR="0085390F" w:rsidRDefault="0085390F">
      <w:pPr>
        <w:tabs>
          <w:tab w:val="num" w:pos="360"/>
        </w:tabs>
        <w:ind w:left="360"/>
        <w:jc w:val="left"/>
        <w:rPr>
          <w:rFonts w:ascii="Arial" w:hAnsi="Arial"/>
          <w:b/>
          <w:sz w:val="24"/>
        </w:rPr>
      </w:pPr>
      <w:r>
        <w:rPr>
          <w:rFonts w:ascii="Arial" w:hAnsi="Arial"/>
          <w:b/>
          <w:sz w:val="24"/>
        </w:rPr>
        <w:t>7.2</w:t>
      </w:r>
      <w:r>
        <w:rPr>
          <w:rFonts w:ascii="Arial" w:hAnsi="Arial"/>
          <w:b/>
          <w:sz w:val="24"/>
        </w:rPr>
        <w:tab/>
        <w:t xml:space="preserve"> Proprietary Information</w:t>
      </w:r>
    </w:p>
    <w:p w14:paraId="264BB7E8" w14:textId="77777777" w:rsidR="0085390F" w:rsidRDefault="0085390F">
      <w:pPr>
        <w:pStyle w:val="BodyTextIndent3"/>
        <w:numPr>
          <w:ilvl w:val="12"/>
          <w:numId w:val="0"/>
        </w:numPr>
        <w:tabs>
          <w:tab w:val="num" w:pos="360"/>
        </w:tabs>
        <w:ind w:left="360"/>
        <w:jc w:val="left"/>
        <w:rPr>
          <w:rFonts w:ascii="Arial" w:hAnsi="Arial"/>
          <w:sz w:val="24"/>
        </w:rPr>
      </w:pPr>
      <w:r>
        <w:rPr>
          <w:rFonts w:ascii="Arial" w:hAnsi="Arial"/>
          <w:sz w:val="24"/>
        </w:rPr>
        <w:t>A bidder may designate information included in its proposal as proprietary or confidential information.  The Commission will take every reasonable step, consistent with law, to protect information that is clearly identified as proprietary or confidential on the page on which it appears.  Protected information may be made available to the T&amp;D utilities, the OPA and/or the DEP.  The identity of bidders and projects, and the associated prices and long-term contracts, for proposals chosen in this process will become public information.</w:t>
      </w:r>
    </w:p>
    <w:p w14:paraId="41DB0A82" w14:textId="77777777" w:rsidR="0085390F" w:rsidRDefault="0085390F">
      <w:pPr>
        <w:pStyle w:val="BodyTextIndent3"/>
        <w:numPr>
          <w:ilvl w:val="12"/>
          <w:numId w:val="0"/>
        </w:numPr>
        <w:tabs>
          <w:tab w:val="num" w:pos="360"/>
        </w:tabs>
        <w:ind w:left="360"/>
        <w:jc w:val="left"/>
        <w:rPr>
          <w:rFonts w:ascii="Arial" w:hAnsi="Arial"/>
          <w:sz w:val="24"/>
        </w:rPr>
      </w:pPr>
    </w:p>
    <w:p w14:paraId="0B2F0528" w14:textId="77777777" w:rsidR="0085390F" w:rsidRDefault="0085390F">
      <w:pPr>
        <w:tabs>
          <w:tab w:val="left" w:pos="90"/>
          <w:tab w:val="num" w:pos="360"/>
        </w:tabs>
        <w:ind w:left="360"/>
        <w:jc w:val="left"/>
        <w:rPr>
          <w:rFonts w:ascii="Arial" w:hAnsi="Arial"/>
          <w:b/>
          <w:sz w:val="24"/>
        </w:rPr>
      </w:pPr>
      <w:r>
        <w:rPr>
          <w:rFonts w:ascii="Arial" w:hAnsi="Arial"/>
          <w:b/>
          <w:sz w:val="24"/>
        </w:rPr>
        <w:t>7.3</w:t>
      </w:r>
      <w:r>
        <w:rPr>
          <w:rFonts w:ascii="Arial" w:hAnsi="Arial"/>
          <w:b/>
          <w:sz w:val="24"/>
        </w:rPr>
        <w:tab/>
        <w:t xml:space="preserve">  Proposal Costs</w:t>
      </w:r>
    </w:p>
    <w:p w14:paraId="25E58089" w14:textId="77777777" w:rsidR="0085390F" w:rsidRDefault="0085390F">
      <w:pPr>
        <w:pStyle w:val="BodyTextIndent3"/>
        <w:numPr>
          <w:ilvl w:val="12"/>
          <w:numId w:val="0"/>
        </w:numPr>
        <w:tabs>
          <w:tab w:val="num" w:pos="360"/>
        </w:tabs>
        <w:ind w:left="360" w:hanging="360"/>
        <w:jc w:val="left"/>
        <w:rPr>
          <w:rFonts w:ascii="Arial" w:hAnsi="Arial"/>
          <w:sz w:val="24"/>
        </w:rPr>
      </w:pPr>
      <w:r>
        <w:rPr>
          <w:rFonts w:ascii="Arial" w:hAnsi="Arial"/>
          <w:sz w:val="24"/>
        </w:rPr>
        <w:tab/>
        <w:t>All costs associated with developing and submitting a proposal in response to this RFP and providing oral or written clarification of its contents are borne by the bidder.</w:t>
      </w:r>
    </w:p>
    <w:p w14:paraId="7080D9AA" w14:textId="77777777" w:rsidR="0085390F" w:rsidRDefault="0085390F">
      <w:pPr>
        <w:pStyle w:val="BodyTextIndent3"/>
        <w:numPr>
          <w:ilvl w:val="12"/>
          <w:numId w:val="0"/>
        </w:numPr>
        <w:tabs>
          <w:tab w:val="num" w:pos="360"/>
        </w:tabs>
        <w:ind w:left="360" w:hanging="360"/>
        <w:jc w:val="left"/>
        <w:rPr>
          <w:rFonts w:ascii="Arial" w:hAnsi="Arial"/>
          <w:sz w:val="24"/>
        </w:rPr>
      </w:pPr>
    </w:p>
    <w:p w14:paraId="1A2B3D0E" w14:textId="77777777" w:rsidR="0085390F" w:rsidRDefault="0085390F">
      <w:pPr>
        <w:pStyle w:val="Heading2"/>
        <w:numPr>
          <w:ilvl w:val="0"/>
          <w:numId w:val="0"/>
        </w:numPr>
        <w:tabs>
          <w:tab w:val="num" w:pos="360"/>
        </w:tabs>
        <w:ind w:left="360"/>
        <w:jc w:val="left"/>
        <w:rPr>
          <w:rFonts w:ascii="Arial" w:hAnsi="Arial"/>
          <w:sz w:val="24"/>
        </w:rPr>
      </w:pPr>
      <w:proofErr w:type="gramStart"/>
      <w:r>
        <w:rPr>
          <w:rFonts w:ascii="Arial" w:hAnsi="Arial"/>
          <w:sz w:val="24"/>
        </w:rPr>
        <w:t>7.4  Rights</w:t>
      </w:r>
      <w:proofErr w:type="gramEnd"/>
      <w:r>
        <w:rPr>
          <w:rFonts w:ascii="Arial" w:hAnsi="Arial"/>
          <w:sz w:val="24"/>
        </w:rPr>
        <w:t xml:space="preserve"> of the Commission</w:t>
      </w:r>
    </w:p>
    <w:p w14:paraId="07D203F4" w14:textId="77777777" w:rsidR="0085390F" w:rsidRDefault="0085390F">
      <w:pPr>
        <w:tabs>
          <w:tab w:val="num" w:pos="360"/>
        </w:tabs>
        <w:ind w:left="360" w:hanging="360"/>
        <w:jc w:val="left"/>
        <w:rPr>
          <w:rFonts w:ascii="Arial" w:hAnsi="Arial" w:cs="Arial"/>
          <w:sz w:val="24"/>
        </w:rPr>
      </w:pPr>
      <w:r>
        <w:rPr>
          <w:rFonts w:ascii="Arial" w:hAnsi="Arial" w:cs="Arial"/>
          <w:sz w:val="24"/>
        </w:rPr>
        <w:tab/>
        <w:t xml:space="preserve">The Commission may accept or reject any proposal, or it may reject all proposals, based on its assessment of whether a proposal meets the requirements of the RFP, satisfies the applicable statutory policies and objectives, complies with the provisions of Chapter 316, is within the contracting authority of the Commission, conforms with generally accepted business practices and is likely to provide significant benefits to Maine electricity consumers. </w:t>
      </w:r>
    </w:p>
    <w:p w14:paraId="1EEE4E28" w14:textId="77777777" w:rsidR="0085390F" w:rsidRDefault="0085390F">
      <w:pPr>
        <w:tabs>
          <w:tab w:val="num" w:pos="360"/>
        </w:tabs>
        <w:ind w:left="360" w:hanging="360"/>
        <w:jc w:val="left"/>
        <w:rPr>
          <w:rFonts w:ascii="Arial" w:hAnsi="Arial" w:cs="Arial"/>
          <w:sz w:val="24"/>
        </w:rPr>
      </w:pPr>
      <w:r>
        <w:rPr>
          <w:rFonts w:ascii="Arial" w:hAnsi="Arial"/>
          <w:sz w:val="24"/>
        </w:rPr>
        <w:tab/>
        <w:t>The Commission reserves the right to withdraw or modify the RFP at any time, to negotiate with bidders and to solicit additional and/or modified proposals.</w:t>
      </w:r>
      <w:r>
        <w:rPr>
          <w:rFonts w:ascii="Arial" w:hAnsi="Arial" w:cs="Arial"/>
          <w:sz w:val="24"/>
        </w:rPr>
        <w:t xml:space="preserve">  </w:t>
      </w:r>
    </w:p>
    <w:p w14:paraId="373915F2" w14:textId="4C80BD52" w:rsidR="0085390F" w:rsidRDefault="0085390F">
      <w:pPr>
        <w:tabs>
          <w:tab w:val="num" w:pos="360"/>
        </w:tabs>
        <w:ind w:left="360" w:hanging="360"/>
        <w:jc w:val="left"/>
        <w:rPr>
          <w:rFonts w:ascii="Arial" w:hAnsi="Arial"/>
          <w:sz w:val="24"/>
        </w:rPr>
      </w:pPr>
      <w:r>
        <w:rPr>
          <w:rFonts w:ascii="Arial" w:hAnsi="Arial" w:cs="Arial"/>
          <w:sz w:val="24"/>
        </w:rPr>
        <w:tab/>
      </w:r>
      <w:r>
        <w:rPr>
          <w:rFonts w:ascii="Arial" w:hAnsi="Arial"/>
          <w:sz w:val="24"/>
        </w:rPr>
        <w:t xml:space="preserve">The </w:t>
      </w:r>
      <w:r w:rsidR="00087672">
        <w:rPr>
          <w:rFonts w:ascii="Arial" w:hAnsi="Arial"/>
          <w:sz w:val="24"/>
        </w:rPr>
        <w:t>type(s) and amounts of capacity and/or energy</w:t>
      </w:r>
      <w:r>
        <w:rPr>
          <w:rFonts w:ascii="Arial" w:hAnsi="Arial"/>
          <w:sz w:val="24"/>
        </w:rPr>
        <w:t xml:space="preserve"> awarded pursuant to this RFP will be determined by the Commission consistent with applicable laws and rules, the provisions of this RFP, and the Commission’s statutory public interest obligations.  </w:t>
      </w:r>
    </w:p>
    <w:p w14:paraId="240BAE59" w14:textId="77777777" w:rsidR="0085390F" w:rsidRDefault="0085390F">
      <w:pPr>
        <w:tabs>
          <w:tab w:val="num" w:pos="360"/>
        </w:tabs>
        <w:ind w:left="360" w:hanging="360"/>
        <w:jc w:val="left"/>
        <w:rPr>
          <w:rFonts w:ascii="Arial" w:hAnsi="Arial"/>
          <w:sz w:val="24"/>
        </w:rPr>
      </w:pPr>
      <w:r>
        <w:rPr>
          <w:rFonts w:ascii="Arial" w:hAnsi="Arial"/>
          <w:sz w:val="24"/>
        </w:rPr>
        <w:tab/>
        <w:t>The Commission shall not be responsible or liable in any manner for risks, costs, expenses, or other damages incurred by any bidder or other entity involved, directly or indirectly, with this RFP.</w:t>
      </w:r>
    </w:p>
    <w:p w14:paraId="6F2C401B" w14:textId="77777777" w:rsidR="0085390F" w:rsidRDefault="0085390F">
      <w:pPr>
        <w:pStyle w:val="BodyTextIndent3"/>
        <w:tabs>
          <w:tab w:val="num" w:pos="360"/>
        </w:tabs>
        <w:ind w:left="360"/>
        <w:jc w:val="left"/>
        <w:rPr>
          <w:rFonts w:ascii="Arial" w:hAnsi="Arial"/>
          <w:sz w:val="24"/>
        </w:rPr>
      </w:pPr>
      <w:r>
        <w:rPr>
          <w:rFonts w:ascii="Arial" w:hAnsi="Arial"/>
          <w:b/>
          <w:sz w:val="24"/>
        </w:rPr>
        <w:t>7.5</w:t>
      </w:r>
      <w:r>
        <w:rPr>
          <w:rFonts w:ascii="Arial" w:hAnsi="Arial"/>
          <w:b/>
          <w:sz w:val="24"/>
        </w:rPr>
        <w:tab/>
        <w:t xml:space="preserve"> State Held Harmless</w:t>
      </w:r>
    </w:p>
    <w:p w14:paraId="0FA4395B" w14:textId="77777777" w:rsidR="0085390F" w:rsidRDefault="0085390F">
      <w:pPr>
        <w:pStyle w:val="BodyTextIndent3"/>
        <w:tabs>
          <w:tab w:val="num" w:pos="360"/>
        </w:tabs>
        <w:ind w:left="360" w:hanging="360"/>
        <w:jc w:val="left"/>
        <w:rPr>
          <w:rFonts w:ascii="Arial" w:hAnsi="Arial"/>
          <w:sz w:val="24"/>
        </w:rPr>
      </w:pPr>
    </w:p>
    <w:p w14:paraId="2A39211E" w14:textId="7F419444" w:rsidR="0085390F" w:rsidRDefault="0085390F">
      <w:pPr>
        <w:pStyle w:val="BodyTextIndent3"/>
        <w:tabs>
          <w:tab w:val="num" w:pos="360"/>
        </w:tabs>
        <w:ind w:left="360" w:hanging="360"/>
        <w:jc w:val="left"/>
        <w:rPr>
          <w:rFonts w:ascii="Arial" w:hAnsi="Arial"/>
          <w:sz w:val="24"/>
        </w:rPr>
      </w:pPr>
      <w:r>
        <w:rPr>
          <w:rFonts w:ascii="Arial" w:hAnsi="Arial"/>
          <w:sz w:val="24"/>
        </w:rPr>
        <w:tab/>
        <w:t>The State of Maine, its officers, agents, and employees, including the Maine Public Utilities Commission, Commissioners and the employees or agents of the Maine Public Utilities Commission shall be held harmless from any and all claims, costs, expenses, injuries, liabilities, losses and damages of every kind and description resulting from or arising out of this RFP</w:t>
      </w:r>
      <w:r w:rsidR="008A406C">
        <w:rPr>
          <w:rFonts w:ascii="Arial" w:hAnsi="Arial"/>
          <w:sz w:val="24"/>
        </w:rPr>
        <w:t>.</w:t>
      </w:r>
    </w:p>
    <w:p w14:paraId="6CB83331" w14:textId="77777777" w:rsidR="0085390F" w:rsidRDefault="0085390F">
      <w:pPr>
        <w:pStyle w:val="BodyTextIndent3"/>
        <w:tabs>
          <w:tab w:val="num" w:pos="360"/>
        </w:tabs>
        <w:ind w:left="360" w:hanging="360"/>
        <w:jc w:val="left"/>
        <w:rPr>
          <w:rFonts w:ascii="Arial" w:hAnsi="Arial"/>
          <w:sz w:val="24"/>
        </w:rPr>
      </w:pPr>
    </w:p>
    <w:p w14:paraId="7190E0F3" w14:textId="77777777" w:rsidR="0085390F" w:rsidRDefault="0085390F">
      <w:pPr>
        <w:pStyle w:val="Heading2"/>
        <w:numPr>
          <w:ilvl w:val="0"/>
          <w:numId w:val="0"/>
        </w:numPr>
        <w:tabs>
          <w:tab w:val="num" w:pos="360"/>
        </w:tabs>
        <w:ind w:left="360"/>
        <w:jc w:val="left"/>
        <w:rPr>
          <w:rFonts w:ascii="Arial" w:hAnsi="Arial"/>
          <w:sz w:val="24"/>
        </w:rPr>
      </w:pPr>
      <w:proofErr w:type="gramStart"/>
      <w:r>
        <w:rPr>
          <w:rFonts w:ascii="Arial" w:hAnsi="Arial"/>
          <w:sz w:val="24"/>
        </w:rPr>
        <w:lastRenderedPageBreak/>
        <w:t>7.6  Warranty</w:t>
      </w:r>
      <w:proofErr w:type="gramEnd"/>
    </w:p>
    <w:p w14:paraId="5E12B7BF" w14:textId="77777777" w:rsidR="0085390F" w:rsidRDefault="0085390F">
      <w:pPr>
        <w:pStyle w:val="BodyTextIndent3"/>
        <w:tabs>
          <w:tab w:val="num" w:pos="360"/>
        </w:tabs>
        <w:ind w:left="360" w:hanging="360"/>
        <w:jc w:val="left"/>
        <w:rPr>
          <w:rFonts w:ascii="Arial" w:hAnsi="Arial"/>
          <w:sz w:val="24"/>
        </w:rPr>
      </w:pPr>
      <w:r>
        <w:rPr>
          <w:rFonts w:ascii="Arial" w:hAnsi="Arial"/>
          <w:sz w:val="24"/>
        </w:rPr>
        <w:tab/>
        <w:t>The information contained in the RFP and provided subsequently is prepared to assist bidders and does not purport to contain all of the information that may be relevant to bidders.  The Commission makes no representation or warranty, expressed or implied, as to the accuracy or completeness of the information.  The Commission, its staff and its agents shall not have any liability for any representations expressed or implied in, or any omissions from, the RFP or information obtained by bidders from the Commission, its staff, its agents or any other source.</w:t>
      </w:r>
    </w:p>
    <w:p w14:paraId="0F2002C4" w14:textId="77777777" w:rsidR="0085390F" w:rsidRDefault="0085390F">
      <w:pPr>
        <w:pStyle w:val="BodyTextIndent3"/>
        <w:tabs>
          <w:tab w:val="num" w:pos="360"/>
        </w:tabs>
        <w:ind w:left="360" w:hanging="360"/>
        <w:jc w:val="left"/>
        <w:rPr>
          <w:rFonts w:ascii="Arial" w:hAnsi="Arial"/>
          <w:sz w:val="24"/>
        </w:rPr>
      </w:pPr>
    </w:p>
    <w:p w14:paraId="5A16CDA7" w14:textId="77777777" w:rsidR="0085390F" w:rsidRDefault="0085390F">
      <w:pPr>
        <w:tabs>
          <w:tab w:val="num" w:pos="360"/>
        </w:tabs>
        <w:jc w:val="left"/>
        <w:rPr>
          <w:rFonts w:ascii="Arial" w:hAnsi="Arial"/>
          <w:sz w:val="24"/>
        </w:rPr>
      </w:pPr>
    </w:p>
    <w:p w14:paraId="37DC5F34" w14:textId="77777777" w:rsidR="0085390F" w:rsidRDefault="0085390F">
      <w:pPr>
        <w:pStyle w:val="Heading1"/>
        <w:numPr>
          <w:ilvl w:val="0"/>
          <w:numId w:val="0"/>
        </w:numPr>
        <w:tabs>
          <w:tab w:val="num" w:pos="360"/>
        </w:tabs>
        <w:jc w:val="left"/>
        <w:rPr>
          <w:rFonts w:ascii="Arial" w:hAnsi="Arial"/>
          <w:b w:val="0"/>
          <w:sz w:val="32"/>
        </w:rPr>
      </w:pPr>
    </w:p>
    <w:sectPr w:rsidR="0085390F">
      <w:footerReference w:type="default" r:id="rId13"/>
      <w:pgSz w:w="12240" w:h="15840" w:code="1"/>
      <w:pgMar w:top="1152"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5B012" w14:textId="77777777" w:rsidR="00D41A79" w:rsidRDefault="00D41A79">
      <w:r>
        <w:separator/>
      </w:r>
    </w:p>
  </w:endnote>
  <w:endnote w:type="continuationSeparator" w:id="0">
    <w:p w14:paraId="27B6058C" w14:textId="77777777" w:rsidR="00D41A79" w:rsidRDefault="00D41A79">
      <w:r>
        <w:continuationSeparator/>
      </w:r>
    </w:p>
  </w:endnote>
  <w:endnote w:type="continuationNotice" w:id="1">
    <w:p w14:paraId="425745CF" w14:textId="77777777" w:rsidR="00D41A79" w:rsidRDefault="00D41A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54AE3" w14:textId="77777777" w:rsidR="004A26C8" w:rsidRPr="00464AD1" w:rsidRDefault="004A26C8" w:rsidP="006D14FE">
    <w:pPr>
      <w:pStyle w:val="Footer"/>
      <w:jc w:val="right"/>
      <w:rPr>
        <w:lang w:val="de-DE"/>
      </w:rPr>
    </w:pPr>
    <w:r>
      <w:rPr>
        <w:rStyle w:val="PageNumber"/>
      </w:rPr>
      <w:tab/>
    </w:r>
    <w:r w:rsidRPr="00464AD1">
      <w:rPr>
        <w:rStyle w:val="PageNumber"/>
        <w:u w:val="single"/>
        <w:lang w:val="de-D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E2752" w14:textId="77777777" w:rsidR="0085390F" w:rsidRDefault="0085390F">
    <w:pPr>
      <w:pStyle w:val="Footer"/>
      <w:jc w:val="center"/>
      <w:rPr>
        <w:rStyle w:val="PageNumber"/>
      </w:rPr>
    </w:pPr>
  </w:p>
  <w:p w14:paraId="4BC751A0" w14:textId="3AD91232" w:rsidR="0085390F" w:rsidRDefault="0085390F">
    <w:pPr>
      <w:pStyle w:val="Footer"/>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97088">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97088">
      <w:rPr>
        <w:rStyle w:val="PageNumber"/>
        <w:noProof/>
      </w:rPr>
      <w:t>11</w:t>
    </w:r>
    <w:r>
      <w:rPr>
        <w:rStyle w:val="PageNumber"/>
      </w:rPr>
      <w:fldChar w:fldCharType="end"/>
    </w:r>
  </w:p>
  <w:p w14:paraId="389342FD" w14:textId="77777777" w:rsidR="0085390F" w:rsidRDefault="0085390F">
    <w:pPr>
      <w:pStyle w:val="Foote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B5D8A" w14:textId="77777777" w:rsidR="00D41A79" w:rsidRDefault="00D41A79">
      <w:r>
        <w:separator/>
      </w:r>
    </w:p>
  </w:footnote>
  <w:footnote w:type="continuationSeparator" w:id="0">
    <w:p w14:paraId="3758F602" w14:textId="77777777" w:rsidR="00D41A79" w:rsidRDefault="00D41A79">
      <w:r>
        <w:continuationSeparator/>
      </w:r>
    </w:p>
  </w:footnote>
  <w:footnote w:type="continuationNotice" w:id="1">
    <w:p w14:paraId="103AF262" w14:textId="77777777" w:rsidR="00D41A79" w:rsidRDefault="00D41A7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DED62" w14:textId="77777777" w:rsidR="004A26C8" w:rsidRDefault="004A26C8">
    <w:pPr>
      <w:pStyle w:val="Header"/>
    </w:pPr>
    <w:r>
      <w:tab/>
    </w:r>
    <w:r>
      <w:tab/>
    </w:r>
    <w:r>
      <w:tab/>
    </w:r>
    <w:r>
      <w:tab/>
    </w:r>
    <w:r>
      <w:tab/>
      <w:t xml:space="preserve">   </w:t>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451"/>
    <w:multiLevelType w:val="hybridMultilevel"/>
    <w:tmpl w:val="EA76444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B76A5E"/>
    <w:multiLevelType w:val="multilevel"/>
    <w:tmpl w:val="BAE0C79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1080"/>
        </w:tabs>
        <w:ind w:left="1080" w:hanging="45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2">
    <w:nsid w:val="0E1A4110"/>
    <w:multiLevelType w:val="multilevel"/>
    <w:tmpl w:val="AC7216A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F6A0573"/>
    <w:multiLevelType w:val="hybridMultilevel"/>
    <w:tmpl w:val="CF1E3BB4"/>
    <w:lvl w:ilvl="0" w:tplc="C8B69EE6">
      <w:start w:val="1"/>
      <w:numFmt w:val="lowerLetter"/>
      <w:lvlText w:val="%1."/>
      <w:lvlJc w:val="left"/>
      <w:pPr>
        <w:tabs>
          <w:tab w:val="num" w:pos="1080"/>
        </w:tabs>
        <w:ind w:left="1080" w:hanging="360"/>
      </w:pPr>
      <w:rPr>
        <w:rFonts w:ascii="Arial" w:eastAsia="Times New Roman" w:hAnsi="Arial"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2BC609E"/>
    <w:multiLevelType w:val="hybridMultilevel"/>
    <w:tmpl w:val="BA0C0CD4"/>
    <w:lvl w:ilvl="0" w:tplc="E1F4D6A2">
      <w:start w:val="10"/>
      <w:numFmt w:val="low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
    <w:nsid w:val="197A0D62"/>
    <w:multiLevelType w:val="hybridMultilevel"/>
    <w:tmpl w:val="609A7550"/>
    <w:lvl w:ilvl="0" w:tplc="68B665BC">
      <w:start w:val="1"/>
      <w:numFmt w:val="lowerLetter"/>
      <w:lvlText w:val="%1."/>
      <w:lvlJc w:val="left"/>
      <w:pPr>
        <w:tabs>
          <w:tab w:val="num" w:pos="1253"/>
        </w:tabs>
        <w:ind w:left="1253" w:hanging="360"/>
      </w:pPr>
      <w:rPr>
        <w:rFonts w:hint="default"/>
      </w:rPr>
    </w:lvl>
    <w:lvl w:ilvl="1" w:tplc="04090019" w:tentative="1">
      <w:start w:val="1"/>
      <w:numFmt w:val="lowerLetter"/>
      <w:lvlText w:val="%2."/>
      <w:lvlJc w:val="left"/>
      <w:pPr>
        <w:tabs>
          <w:tab w:val="num" w:pos="1973"/>
        </w:tabs>
        <w:ind w:left="1973" w:hanging="360"/>
      </w:pPr>
    </w:lvl>
    <w:lvl w:ilvl="2" w:tplc="0409001B" w:tentative="1">
      <w:start w:val="1"/>
      <w:numFmt w:val="lowerRoman"/>
      <w:lvlText w:val="%3."/>
      <w:lvlJc w:val="right"/>
      <w:pPr>
        <w:tabs>
          <w:tab w:val="num" w:pos="2693"/>
        </w:tabs>
        <w:ind w:left="2693" w:hanging="180"/>
      </w:pPr>
    </w:lvl>
    <w:lvl w:ilvl="3" w:tplc="0409000F" w:tentative="1">
      <w:start w:val="1"/>
      <w:numFmt w:val="decimal"/>
      <w:lvlText w:val="%4."/>
      <w:lvlJc w:val="left"/>
      <w:pPr>
        <w:tabs>
          <w:tab w:val="num" w:pos="3413"/>
        </w:tabs>
        <w:ind w:left="3413" w:hanging="360"/>
      </w:pPr>
    </w:lvl>
    <w:lvl w:ilvl="4" w:tplc="04090019" w:tentative="1">
      <w:start w:val="1"/>
      <w:numFmt w:val="lowerLetter"/>
      <w:lvlText w:val="%5."/>
      <w:lvlJc w:val="left"/>
      <w:pPr>
        <w:tabs>
          <w:tab w:val="num" w:pos="4133"/>
        </w:tabs>
        <w:ind w:left="4133" w:hanging="360"/>
      </w:pPr>
    </w:lvl>
    <w:lvl w:ilvl="5" w:tplc="0409001B" w:tentative="1">
      <w:start w:val="1"/>
      <w:numFmt w:val="lowerRoman"/>
      <w:lvlText w:val="%6."/>
      <w:lvlJc w:val="right"/>
      <w:pPr>
        <w:tabs>
          <w:tab w:val="num" w:pos="4853"/>
        </w:tabs>
        <w:ind w:left="4853" w:hanging="180"/>
      </w:pPr>
    </w:lvl>
    <w:lvl w:ilvl="6" w:tplc="0409000F" w:tentative="1">
      <w:start w:val="1"/>
      <w:numFmt w:val="decimal"/>
      <w:lvlText w:val="%7."/>
      <w:lvlJc w:val="left"/>
      <w:pPr>
        <w:tabs>
          <w:tab w:val="num" w:pos="5573"/>
        </w:tabs>
        <w:ind w:left="5573" w:hanging="360"/>
      </w:pPr>
    </w:lvl>
    <w:lvl w:ilvl="7" w:tplc="04090019" w:tentative="1">
      <w:start w:val="1"/>
      <w:numFmt w:val="lowerLetter"/>
      <w:lvlText w:val="%8."/>
      <w:lvlJc w:val="left"/>
      <w:pPr>
        <w:tabs>
          <w:tab w:val="num" w:pos="6293"/>
        </w:tabs>
        <w:ind w:left="6293" w:hanging="360"/>
      </w:pPr>
    </w:lvl>
    <w:lvl w:ilvl="8" w:tplc="0409001B" w:tentative="1">
      <w:start w:val="1"/>
      <w:numFmt w:val="lowerRoman"/>
      <w:lvlText w:val="%9."/>
      <w:lvlJc w:val="right"/>
      <w:pPr>
        <w:tabs>
          <w:tab w:val="num" w:pos="7013"/>
        </w:tabs>
        <w:ind w:left="7013" w:hanging="180"/>
      </w:pPr>
    </w:lvl>
  </w:abstractNum>
  <w:abstractNum w:abstractNumId="6">
    <w:nsid w:val="1D824683"/>
    <w:multiLevelType w:val="singleLevel"/>
    <w:tmpl w:val="7BF6FC3C"/>
    <w:lvl w:ilvl="0">
      <w:start w:val="1"/>
      <w:numFmt w:val="bullet"/>
      <w:lvlText w:val=""/>
      <w:lvlJc w:val="left"/>
      <w:pPr>
        <w:tabs>
          <w:tab w:val="num" w:pos="360"/>
        </w:tabs>
        <w:ind w:left="360" w:hanging="360"/>
      </w:pPr>
      <w:rPr>
        <w:rFonts w:ascii="Wingdings" w:hAnsi="Wingdings" w:hint="default"/>
        <w:sz w:val="18"/>
      </w:rPr>
    </w:lvl>
  </w:abstractNum>
  <w:abstractNum w:abstractNumId="7">
    <w:nsid w:val="296134D6"/>
    <w:multiLevelType w:val="hybridMultilevel"/>
    <w:tmpl w:val="47620004"/>
    <w:lvl w:ilvl="0" w:tplc="24F4FD4E">
      <w:start w:val="1"/>
      <w:numFmt w:val="lowerLetter"/>
      <w:lvlText w:val="%1."/>
      <w:lvlJc w:val="left"/>
      <w:pPr>
        <w:tabs>
          <w:tab w:val="num" w:pos="1253"/>
        </w:tabs>
        <w:ind w:left="1253" w:hanging="360"/>
      </w:pPr>
      <w:rPr>
        <w:rFonts w:hint="default"/>
      </w:rPr>
    </w:lvl>
    <w:lvl w:ilvl="1" w:tplc="1C38E00C">
      <w:start w:val="6"/>
      <w:numFmt w:val="decimal"/>
      <w:lvlText w:val="%2."/>
      <w:lvlJc w:val="left"/>
      <w:pPr>
        <w:tabs>
          <w:tab w:val="num" w:pos="1973"/>
        </w:tabs>
        <w:ind w:left="1973" w:hanging="360"/>
      </w:pPr>
      <w:rPr>
        <w:rFonts w:hint="default"/>
      </w:rPr>
    </w:lvl>
    <w:lvl w:ilvl="2" w:tplc="0409001B">
      <w:start w:val="1"/>
      <w:numFmt w:val="lowerRoman"/>
      <w:lvlText w:val="%3."/>
      <w:lvlJc w:val="right"/>
      <w:pPr>
        <w:tabs>
          <w:tab w:val="num" w:pos="2693"/>
        </w:tabs>
        <w:ind w:left="2693" w:hanging="180"/>
      </w:pPr>
    </w:lvl>
    <w:lvl w:ilvl="3" w:tplc="0409000F" w:tentative="1">
      <w:start w:val="1"/>
      <w:numFmt w:val="decimal"/>
      <w:lvlText w:val="%4."/>
      <w:lvlJc w:val="left"/>
      <w:pPr>
        <w:tabs>
          <w:tab w:val="num" w:pos="3413"/>
        </w:tabs>
        <w:ind w:left="3413" w:hanging="360"/>
      </w:pPr>
    </w:lvl>
    <w:lvl w:ilvl="4" w:tplc="04090019" w:tentative="1">
      <w:start w:val="1"/>
      <w:numFmt w:val="lowerLetter"/>
      <w:lvlText w:val="%5."/>
      <w:lvlJc w:val="left"/>
      <w:pPr>
        <w:tabs>
          <w:tab w:val="num" w:pos="4133"/>
        </w:tabs>
        <w:ind w:left="4133" w:hanging="360"/>
      </w:pPr>
    </w:lvl>
    <w:lvl w:ilvl="5" w:tplc="0409001B" w:tentative="1">
      <w:start w:val="1"/>
      <w:numFmt w:val="lowerRoman"/>
      <w:lvlText w:val="%6."/>
      <w:lvlJc w:val="right"/>
      <w:pPr>
        <w:tabs>
          <w:tab w:val="num" w:pos="4853"/>
        </w:tabs>
        <w:ind w:left="4853" w:hanging="180"/>
      </w:pPr>
    </w:lvl>
    <w:lvl w:ilvl="6" w:tplc="0409000F" w:tentative="1">
      <w:start w:val="1"/>
      <w:numFmt w:val="decimal"/>
      <w:lvlText w:val="%7."/>
      <w:lvlJc w:val="left"/>
      <w:pPr>
        <w:tabs>
          <w:tab w:val="num" w:pos="5573"/>
        </w:tabs>
        <w:ind w:left="5573" w:hanging="360"/>
      </w:pPr>
    </w:lvl>
    <w:lvl w:ilvl="7" w:tplc="04090019" w:tentative="1">
      <w:start w:val="1"/>
      <w:numFmt w:val="lowerLetter"/>
      <w:lvlText w:val="%8."/>
      <w:lvlJc w:val="left"/>
      <w:pPr>
        <w:tabs>
          <w:tab w:val="num" w:pos="6293"/>
        </w:tabs>
        <w:ind w:left="6293" w:hanging="360"/>
      </w:pPr>
    </w:lvl>
    <w:lvl w:ilvl="8" w:tplc="0409001B" w:tentative="1">
      <w:start w:val="1"/>
      <w:numFmt w:val="lowerRoman"/>
      <w:lvlText w:val="%9."/>
      <w:lvlJc w:val="right"/>
      <w:pPr>
        <w:tabs>
          <w:tab w:val="num" w:pos="7013"/>
        </w:tabs>
        <w:ind w:left="7013" w:hanging="180"/>
      </w:pPr>
    </w:lvl>
  </w:abstractNum>
  <w:abstractNum w:abstractNumId="8">
    <w:nsid w:val="2A5C490F"/>
    <w:multiLevelType w:val="multilevel"/>
    <w:tmpl w:val="A6E8BF6E"/>
    <w:lvl w:ilvl="0">
      <w:start w:val="1"/>
      <w:numFmt w:val="bullet"/>
      <w:pStyle w:val="MTListwIndent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Symbol" w:hAnsi="Symbol" w:hint="default"/>
        <w:sz w:val="28"/>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313A3AC5"/>
    <w:multiLevelType w:val="singleLevel"/>
    <w:tmpl w:val="7BF6FC3C"/>
    <w:lvl w:ilvl="0">
      <w:start w:val="1"/>
      <w:numFmt w:val="bullet"/>
      <w:lvlText w:val=""/>
      <w:lvlJc w:val="left"/>
      <w:pPr>
        <w:tabs>
          <w:tab w:val="num" w:pos="360"/>
        </w:tabs>
        <w:ind w:left="360" w:hanging="360"/>
      </w:pPr>
      <w:rPr>
        <w:rFonts w:ascii="Wingdings" w:hAnsi="Wingdings" w:hint="default"/>
        <w:sz w:val="18"/>
      </w:rPr>
    </w:lvl>
  </w:abstractNum>
  <w:abstractNum w:abstractNumId="10">
    <w:nsid w:val="3BE325E0"/>
    <w:multiLevelType w:val="hybridMultilevel"/>
    <w:tmpl w:val="C7E06BF4"/>
    <w:lvl w:ilvl="0" w:tplc="37A41940">
      <w:start w:val="6"/>
      <w:numFmt w:val="lowerLetter"/>
      <w:lvlText w:val="%1."/>
      <w:lvlJc w:val="left"/>
      <w:pPr>
        <w:tabs>
          <w:tab w:val="num" w:pos="1080"/>
        </w:tabs>
        <w:ind w:left="1080" w:hanging="360"/>
      </w:pPr>
      <w:rPr>
        <w:rFonts w:hint="default"/>
      </w:rPr>
    </w:lvl>
    <w:lvl w:ilvl="1" w:tplc="E1B0CB16">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01F38C0"/>
    <w:multiLevelType w:val="singleLevel"/>
    <w:tmpl w:val="7BF6FC3C"/>
    <w:lvl w:ilvl="0">
      <w:start w:val="1"/>
      <w:numFmt w:val="bullet"/>
      <w:lvlText w:val=""/>
      <w:lvlJc w:val="left"/>
      <w:pPr>
        <w:tabs>
          <w:tab w:val="num" w:pos="360"/>
        </w:tabs>
        <w:ind w:left="360" w:hanging="360"/>
      </w:pPr>
      <w:rPr>
        <w:rFonts w:ascii="Wingdings" w:hAnsi="Wingdings" w:hint="default"/>
        <w:sz w:val="18"/>
      </w:rPr>
    </w:lvl>
  </w:abstractNum>
  <w:abstractNum w:abstractNumId="12">
    <w:nsid w:val="46D11170"/>
    <w:multiLevelType w:val="hybridMultilevel"/>
    <w:tmpl w:val="ECA86A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9B2F34"/>
    <w:multiLevelType w:val="multilevel"/>
    <w:tmpl w:val="26A03C22"/>
    <w:lvl w:ilvl="0">
      <w:start w:val="1"/>
      <w:numFmt w:val="decimal"/>
      <w:pStyle w:val="Heading1"/>
      <w:lvlText w:val="%1."/>
      <w:lvlJc w:val="left"/>
      <w:pPr>
        <w:tabs>
          <w:tab w:val="num" w:pos="432"/>
        </w:tabs>
        <w:ind w:left="432" w:hanging="432"/>
      </w:pPr>
      <w:rPr>
        <w:rFonts w:ascii="Arial" w:eastAsia="Times New Roman" w:hAnsi="Arial" w:cs="Times New Roman"/>
      </w:rPr>
    </w:lvl>
    <w:lvl w:ilvl="1">
      <w:start w:val="1"/>
      <w:numFmt w:val="decimal"/>
      <w:pStyle w:val="Heading2"/>
      <w:lvlText w:val="%1.%2"/>
      <w:lvlJc w:val="left"/>
      <w:pPr>
        <w:tabs>
          <w:tab w:val="num" w:pos="666"/>
        </w:tabs>
        <w:ind w:left="666" w:hanging="576"/>
      </w:pPr>
    </w:lvl>
    <w:lvl w:ilvl="2">
      <w:start w:val="1"/>
      <w:numFmt w:val="decimal"/>
      <w:pStyle w:val="Heading3"/>
      <w:lvlText w:val="%1.%2.%3"/>
      <w:lvlJc w:val="left"/>
      <w:pPr>
        <w:tabs>
          <w:tab w:val="num" w:pos="900"/>
        </w:tabs>
        <w:ind w:left="900" w:hanging="720"/>
      </w:pPr>
    </w:lvl>
    <w:lvl w:ilvl="3">
      <w:start w:val="1"/>
      <w:numFmt w:val="decimal"/>
      <w:pStyle w:val="Heading4"/>
      <w:lvlText w:val="%1.%2.%3.%4"/>
      <w:lvlJc w:val="left"/>
      <w:pPr>
        <w:tabs>
          <w:tab w:val="num" w:pos="108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nsid w:val="4D3936B9"/>
    <w:multiLevelType w:val="hybridMultilevel"/>
    <w:tmpl w:val="875EAA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0A292E"/>
    <w:multiLevelType w:val="hybridMultilevel"/>
    <w:tmpl w:val="72964190"/>
    <w:lvl w:ilvl="0" w:tplc="29BEC28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nsid w:val="594046F0"/>
    <w:multiLevelType w:val="multilevel"/>
    <w:tmpl w:val="407077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7">
    <w:nsid w:val="5DED11AA"/>
    <w:multiLevelType w:val="hybridMultilevel"/>
    <w:tmpl w:val="FDC86F4A"/>
    <w:lvl w:ilvl="0" w:tplc="04090019">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6"/>
  </w:num>
  <w:num w:numId="3">
    <w:abstractNumId w:val="9"/>
  </w:num>
  <w:num w:numId="4">
    <w:abstractNumId w:val="11"/>
  </w:num>
  <w:num w:numId="5">
    <w:abstractNumId w:val="8"/>
  </w:num>
  <w:num w:numId="6">
    <w:abstractNumId w:val="3"/>
  </w:num>
  <w:num w:numId="7">
    <w:abstractNumId w:val="10"/>
  </w:num>
  <w:num w:numId="8">
    <w:abstractNumId w:val="7"/>
  </w:num>
  <w:num w:numId="9">
    <w:abstractNumId w:val="5"/>
  </w:num>
  <w:num w:numId="10">
    <w:abstractNumId w:val="13"/>
    <w:lvlOverride w:ilvl="0">
      <w:startOverride w:val="3"/>
    </w:lvlOverride>
    <w:lvlOverride w:ilvl="1">
      <w:startOverride w:val="3"/>
    </w:lvlOverride>
  </w:num>
  <w:num w:numId="11">
    <w:abstractNumId w:val="13"/>
    <w:lvlOverride w:ilvl="0">
      <w:startOverride w:val="3"/>
    </w:lvlOverride>
  </w:num>
  <w:num w:numId="12">
    <w:abstractNumId w:val="17"/>
  </w:num>
  <w:num w:numId="13">
    <w:abstractNumId w:val="15"/>
  </w:num>
  <w:num w:numId="14">
    <w:abstractNumId w:val="16"/>
  </w:num>
  <w:num w:numId="15">
    <w:abstractNumId w:val="2"/>
  </w:num>
  <w:num w:numId="16">
    <w:abstractNumId w:val="12"/>
  </w:num>
  <w:num w:numId="17">
    <w:abstractNumId w:val="14"/>
  </w:num>
  <w:num w:numId="18">
    <w:abstractNumId w:val="4"/>
  </w:num>
  <w:num w:numId="19">
    <w:abstractNumId w:val="1"/>
  </w:num>
  <w:num w:numId="2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11A1"/>
    <w:rsid w:val="000001FC"/>
    <w:rsid w:val="00000B40"/>
    <w:rsid w:val="00003637"/>
    <w:rsid w:val="000039B9"/>
    <w:rsid w:val="0000404C"/>
    <w:rsid w:val="0000433A"/>
    <w:rsid w:val="0000686C"/>
    <w:rsid w:val="00010209"/>
    <w:rsid w:val="000102B2"/>
    <w:rsid w:val="00010CDF"/>
    <w:rsid w:val="00013B38"/>
    <w:rsid w:val="00015C39"/>
    <w:rsid w:val="0001740C"/>
    <w:rsid w:val="0001746F"/>
    <w:rsid w:val="00017B0E"/>
    <w:rsid w:val="00017D82"/>
    <w:rsid w:val="00022081"/>
    <w:rsid w:val="0002238E"/>
    <w:rsid w:val="0002256A"/>
    <w:rsid w:val="00022EC8"/>
    <w:rsid w:val="0002389D"/>
    <w:rsid w:val="0002511A"/>
    <w:rsid w:val="00025E84"/>
    <w:rsid w:val="00026E79"/>
    <w:rsid w:val="000343B1"/>
    <w:rsid w:val="00035E0F"/>
    <w:rsid w:val="000371BD"/>
    <w:rsid w:val="00040B37"/>
    <w:rsid w:val="00040BCE"/>
    <w:rsid w:val="00040C62"/>
    <w:rsid w:val="00042597"/>
    <w:rsid w:val="000448BC"/>
    <w:rsid w:val="00045498"/>
    <w:rsid w:val="00047552"/>
    <w:rsid w:val="0005040B"/>
    <w:rsid w:val="00050A3E"/>
    <w:rsid w:val="00050D6F"/>
    <w:rsid w:val="00052CA3"/>
    <w:rsid w:val="0005373A"/>
    <w:rsid w:val="0005402E"/>
    <w:rsid w:val="000544D7"/>
    <w:rsid w:val="000559BC"/>
    <w:rsid w:val="00055D0E"/>
    <w:rsid w:val="00056A1D"/>
    <w:rsid w:val="0005773E"/>
    <w:rsid w:val="00060912"/>
    <w:rsid w:val="00061D3C"/>
    <w:rsid w:val="00063CA8"/>
    <w:rsid w:val="000711B4"/>
    <w:rsid w:val="00072C6E"/>
    <w:rsid w:val="0007387E"/>
    <w:rsid w:val="0007537A"/>
    <w:rsid w:val="00077133"/>
    <w:rsid w:val="00077C37"/>
    <w:rsid w:val="00080CDE"/>
    <w:rsid w:val="0008290F"/>
    <w:rsid w:val="00082FF3"/>
    <w:rsid w:val="000849D2"/>
    <w:rsid w:val="00085277"/>
    <w:rsid w:val="000855AB"/>
    <w:rsid w:val="00087222"/>
    <w:rsid w:val="00087672"/>
    <w:rsid w:val="00087D20"/>
    <w:rsid w:val="00092680"/>
    <w:rsid w:val="00093E05"/>
    <w:rsid w:val="0009569A"/>
    <w:rsid w:val="000962EB"/>
    <w:rsid w:val="00097445"/>
    <w:rsid w:val="000A0351"/>
    <w:rsid w:val="000A24B0"/>
    <w:rsid w:val="000A36A9"/>
    <w:rsid w:val="000A4D5E"/>
    <w:rsid w:val="000A6813"/>
    <w:rsid w:val="000A6A33"/>
    <w:rsid w:val="000A78CE"/>
    <w:rsid w:val="000B00A1"/>
    <w:rsid w:val="000B1F8D"/>
    <w:rsid w:val="000B22F0"/>
    <w:rsid w:val="000B44E2"/>
    <w:rsid w:val="000B4566"/>
    <w:rsid w:val="000B6580"/>
    <w:rsid w:val="000B7827"/>
    <w:rsid w:val="000C24A2"/>
    <w:rsid w:val="000C3D44"/>
    <w:rsid w:val="000C7DE5"/>
    <w:rsid w:val="000D1E27"/>
    <w:rsid w:val="000D3C31"/>
    <w:rsid w:val="000D4C92"/>
    <w:rsid w:val="000D533C"/>
    <w:rsid w:val="000D537A"/>
    <w:rsid w:val="000D53CA"/>
    <w:rsid w:val="000D5EF5"/>
    <w:rsid w:val="000D7166"/>
    <w:rsid w:val="000E035D"/>
    <w:rsid w:val="000E1AA8"/>
    <w:rsid w:val="000E3851"/>
    <w:rsid w:val="000E4401"/>
    <w:rsid w:val="000E58C7"/>
    <w:rsid w:val="000E6217"/>
    <w:rsid w:val="000E6280"/>
    <w:rsid w:val="000E7DC2"/>
    <w:rsid w:val="000F23DD"/>
    <w:rsid w:val="000F2871"/>
    <w:rsid w:val="000F2A96"/>
    <w:rsid w:val="000F3646"/>
    <w:rsid w:val="000F3AD1"/>
    <w:rsid w:val="000F434D"/>
    <w:rsid w:val="000F5A6E"/>
    <w:rsid w:val="00100189"/>
    <w:rsid w:val="00100F8F"/>
    <w:rsid w:val="00101A99"/>
    <w:rsid w:val="00102FF3"/>
    <w:rsid w:val="001054D0"/>
    <w:rsid w:val="001130EB"/>
    <w:rsid w:val="001132B9"/>
    <w:rsid w:val="001162A1"/>
    <w:rsid w:val="0012075B"/>
    <w:rsid w:val="00122FD4"/>
    <w:rsid w:val="00123182"/>
    <w:rsid w:val="00124A35"/>
    <w:rsid w:val="00124BFB"/>
    <w:rsid w:val="00124D1C"/>
    <w:rsid w:val="001275EE"/>
    <w:rsid w:val="00133126"/>
    <w:rsid w:val="00133774"/>
    <w:rsid w:val="0013408F"/>
    <w:rsid w:val="001401EF"/>
    <w:rsid w:val="001402FC"/>
    <w:rsid w:val="00140E92"/>
    <w:rsid w:val="00142BD6"/>
    <w:rsid w:val="00142DDC"/>
    <w:rsid w:val="00142F55"/>
    <w:rsid w:val="00143BFF"/>
    <w:rsid w:val="00145C83"/>
    <w:rsid w:val="00146FBE"/>
    <w:rsid w:val="001505B6"/>
    <w:rsid w:val="00150B34"/>
    <w:rsid w:val="00151AC2"/>
    <w:rsid w:val="001533B6"/>
    <w:rsid w:val="00153C51"/>
    <w:rsid w:val="001548CC"/>
    <w:rsid w:val="001550A7"/>
    <w:rsid w:val="0015604A"/>
    <w:rsid w:val="00156216"/>
    <w:rsid w:val="00156566"/>
    <w:rsid w:val="00157D48"/>
    <w:rsid w:val="00160431"/>
    <w:rsid w:val="00161D03"/>
    <w:rsid w:val="001623DB"/>
    <w:rsid w:val="00164FA7"/>
    <w:rsid w:val="00166281"/>
    <w:rsid w:val="00170D25"/>
    <w:rsid w:val="0017107A"/>
    <w:rsid w:val="00171BE5"/>
    <w:rsid w:val="00173C1B"/>
    <w:rsid w:val="00174AA1"/>
    <w:rsid w:val="0017578F"/>
    <w:rsid w:val="001775D5"/>
    <w:rsid w:val="00177E2A"/>
    <w:rsid w:val="001813E8"/>
    <w:rsid w:val="00181C44"/>
    <w:rsid w:val="001823DE"/>
    <w:rsid w:val="00184778"/>
    <w:rsid w:val="001851AF"/>
    <w:rsid w:val="001851C3"/>
    <w:rsid w:val="00186B14"/>
    <w:rsid w:val="00186E12"/>
    <w:rsid w:val="00190823"/>
    <w:rsid w:val="0019127D"/>
    <w:rsid w:val="0019209D"/>
    <w:rsid w:val="001939B8"/>
    <w:rsid w:val="0019701C"/>
    <w:rsid w:val="00197F20"/>
    <w:rsid w:val="001A01AE"/>
    <w:rsid w:val="001A0C65"/>
    <w:rsid w:val="001A18C9"/>
    <w:rsid w:val="001A1D6E"/>
    <w:rsid w:val="001A4A47"/>
    <w:rsid w:val="001A530D"/>
    <w:rsid w:val="001A5D39"/>
    <w:rsid w:val="001A6EF7"/>
    <w:rsid w:val="001A70F2"/>
    <w:rsid w:val="001A789F"/>
    <w:rsid w:val="001B01DF"/>
    <w:rsid w:val="001B0FF8"/>
    <w:rsid w:val="001B23FC"/>
    <w:rsid w:val="001B3A38"/>
    <w:rsid w:val="001B3A47"/>
    <w:rsid w:val="001B610D"/>
    <w:rsid w:val="001B6708"/>
    <w:rsid w:val="001C1081"/>
    <w:rsid w:val="001C1EFB"/>
    <w:rsid w:val="001C285D"/>
    <w:rsid w:val="001C33EE"/>
    <w:rsid w:val="001C3E6B"/>
    <w:rsid w:val="001C56A7"/>
    <w:rsid w:val="001C57DB"/>
    <w:rsid w:val="001C6C18"/>
    <w:rsid w:val="001C7433"/>
    <w:rsid w:val="001C7597"/>
    <w:rsid w:val="001C7D93"/>
    <w:rsid w:val="001D0572"/>
    <w:rsid w:val="001D0B75"/>
    <w:rsid w:val="001D0BC7"/>
    <w:rsid w:val="001D27E4"/>
    <w:rsid w:val="001D6CDA"/>
    <w:rsid w:val="001D775E"/>
    <w:rsid w:val="001E111E"/>
    <w:rsid w:val="001E183A"/>
    <w:rsid w:val="001E2D79"/>
    <w:rsid w:val="001E405F"/>
    <w:rsid w:val="001E4F36"/>
    <w:rsid w:val="001E79C6"/>
    <w:rsid w:val="001F1CB4"/>
    <w:rsid w:val="001F2976"/>
    <w:rsid w:val="001F6A24"/>
    <w:rsid w:val="001F6F51"/>
    <w:rsid w:val="001F70BF"/>
    <w:rsid w:val="002001C4"/>
    <w:rsid w:val="0020147D"/>
    <w:rsid w:val="00202CDB"/>
    <w:rsid w:val="002031BC"/>
    <w:rsid w:val="00205076"/>
    <w:rsid w:val="002066CD"/>
    <w:rsid w:val="002074E7"/>
    <w:rsid w:val="002107E5"/>
    <w:rsid w:val="00213812"/>
    <w:rsid w:val="002171C6"/>
    <w:rsid w:val="00221DC4"/>
    <w:rsid w:val="00224CFC"/>
    <w:rsid w:val="002258E0"/>
    <w:rsid w:val="00226BBC"/>
    <w:rsid w:val="00226E9C"/>
    <w:rsid w:val="002275FB"/>
    <w:rsid w:val="00230676"/>
    <w:rsid w:val="00230E0D"/>
    <w:rsid w:val="0023165D"/>
    <w:rsid w:val="00231CA2"/>
    <w:rsid w:val="0023278F"/>
    <w:rsid w:val="0023598A"/>
    <w:rsid w:val="0024033C"/>
    <w:rsid w:val="002407B8"/>
    <w:rsid w:val="00247C62"/>
    <w:rsid w:val="002503D1"/>
    <w:rsid w:val="00250892"/>
    <w:rsid w:val="00250D6C"/>
    <w:rsid w:val="002513C5"/>
    <w:rsid w:val="002535E5"/>
    <w:rsid w:val="002542A6"/>
    <w:rsid w:val="00256DF6"/>
    <w:rsid w:val="00257E93"/>
    <w:rsid w:val="002611A1"/>
    <w:rsid w:val="0026140A"/>
    <w:rsid w:val="00262A57"/>
    <w:rsid w:val="00263D5C"/>
    <w:rsid w:val="00264EDE"/>
    <w:rsid w:val="00266394"/>
    <w:rsid w:val="0027062C"/>
    <w:rsid w:val="00270BEF"/>
    <w:rsid w:val="00273ED3"/>
    <w:rsid w:val="00274F10"/>
    <w:rsid w:val="002802B5"/>
    <w:rsid w:val="002808CE"/>
    <w:rsid w:val="00282706"/>
    <w:rsid w:val="00282C63"/>
    <w:rsid w:val="002837BE"/>
    <w:rsid w:val="00283EC1"/>
    <w:rsid w:val="002852CE"/>
    <w:rsid w:val="00285E05"/>
    <w:rsid w:val="0028735D"/>
    <w:rsid w:val="00290D0E"/>
    <w:rsid w:val="002916EB"/>
    <w:rsid w:val="00291F21"/>
    <w:rsid w:val="00292228"/>
    <w:rsid w:val="002925EF"/>
    <w:rsid w:val="00292D42"/>
    <w:rsid w:val="00293F89"/>
    <w:rsid w:val="00295E08"/>
    <w:rsid w:val="002A0876"/>
    <w:rsid w:val="002A1155"/>
    <w:rsid w:val="002A1204"/>
    <w:rsid w:val="002A363D"/>
    <w:rsid w:val="002A4A4C"/>
    <w:rsid w:val="002A59C5"/>
    <w:rsid w:val="002A6D1D"/>
    <w:rsid w:val="002B0701"/>
    <w:rsid w:val="002B2636"/>
    <w:rsid w:val="002B3C60"/>
    <w:rsid w:val="002B4DEB"/>
    <w:rsid w:val="002B4F77"/>
    <w:rsid w:val="002B54A7"/>
    <w:rsid w:val="002B7EAC"/>
    <w:rsid w:val="002C072B"/>
    <w:rsid w:val="002C08B0"/>
    <w:rsid w:val="002C2E49"/>
    <w:rsid w:val="002C7339"/>
    <w:rsid w:val="002D048E"/>
    <w:rsid w:val="002D0812"/>
    <w:rsid w:val="002D0DD6"/>
    <w:rsid w:val="002D1853"/>
    <w:rsid w:val="002D1E22"/>
    <w:rsid w:val="002D283F"/>
    <w:rsid w:val="002D3126"/>
    <w:rsid w:val="002D36D8"/>
    <w:rsid w:val="002D48F2"/>
    <w:rsid w:val="002D6006"/>
    <w:rsid w:val="002D72B6"/>
    <w:rsid w:val="002D7479"/>
    <w:rsid w:val="002D7884"/>
    <w:rsid w:val="002E32A0"/>
    <w:rsid w:val="002E4015"/>
    <w:rsid w:val="002E58C7"/>
    <w:rsid w:val="002E5C63"/>
    <w:rsid w:val="002E72A5"/>
    <w:rsid w:val="002F0156"/>
    <w:rsid w:val="002F0DC0"/>
    <w:rsid w:val="002F1258"/>
    <w:rsid w:val="002F563B"/>
    <w:rsid w:val="00300A74"/>
    <w:rsid w:val="00302C4C"/>
    <w:rsid w:val="00302F6A"/>
    <w:rsid w:val="00306232"/>
    <w:rsid w:val="00306D08"/>
    <w:rsid w:val="00311912"/>
    <w:rsid w:val="003127EB"/>
    <w:rsid w:val="00312D88"/>
    <w:rsid w:val="0031445F"/>
    <w:rsid w:val="003150E6"/>
    <w:rsid w:val="003210A5"/>
    <w:rsid w:val="00323C28"/>
    <w:rsid w:val="00323EFE"/>
    <w:rsid w:val="00326000"/>
    <w:rsid w:val="00326611"/>
    <w:rsid w:val="00326F5A"/>
    <w:rsid w:val="0033261F"/>
    <w:rsid w:val="003331A5"/>
    <w:rsid w:val="00337B3F"/>
    <w:rsid w:val="00341AE6"/>
    <w:rsid w:val="00343D59"/>
    <w:rsid w:val="00344C37"/>
    <w:rsid w:val="00351AEA"/>
    <w:rsid w:val="003524AD"/>
    <w:rsid w:val="00352E52"/>
    <w:rsid w:val="0035448C"/>
    <w:rsid w:val="00356211"/>
    <w:rsid w:val="00356D90"/>
    <w:rsid w:val="003602F8"/>
    <w:rsid w:val="00360D08"/>
    <w:rsid w:val="00361E4E"/>
    <w:rsid w:val="0036360A"/>
    <w:rsid w:val="00365B42"/>
    <w:rsid w:val="00366A42"/>
    <w:rsid w:val="003701C3"/>
    <w:rsid w:val="0037216B"/>
    <w:rsid w:val="00375316"/>
    <w:rsid w:val="00375EA0"/>
    <w:rsid w:val="003808B5"/>
    <w:rsid w:val="00380C49"/>
    <w:rsid w:val="003870A5"/>
    <w:rsid w:val="003906B4"/>
    <w:rsid w:val="00391621"/>
    <w:rsid w:val="003961BF"/>
    <w:rsid w:val="00396D8C"/>
    <w:rsid w:val="003A1549"/>
    <w:rsid w:val="003A2A04"/>
    <w:rsid w:val="003A2E0D"/>
    <w:rsid w:val="003A43A5"/>
    <w:rsid w:val="003A4B75"/>
    <w:rsid w:val="003A690C"/>
    <w:rsid w:val="003A711B"/>
    <w:rsid w:val="003B09B3"/>
    <w:rsid w:val="003B0D50"/>
    <w:rsid w:val="003B14F3"/>
    <w:rsid w:val="003B20A5"/>
    <w:rsid w:val="003B2344"/>
    <w:rsid w:val="003B5F97"/>
    <w:rsid w:val="003B7397"/>
    <w:rsid w:val="003B797A"/>
    <w:rsid w:val="003C022E"/>
    <w:rsid w:val="003C0A6D"/>
    <w:rsid w:val="003C0A96"/>
    <w:rsid w:val="003C1213"/>
    <w:rsid w:val="003C134D"/>
    <w:rsid w:val="003C2234"/>
    <w:rsid w:val="003C2524"/>
    <w:rsid w:val="003C26B8"/>
    <w:rsid w:val="003C53D6"/>
    <w:rsid w:val="003C611D"/>
    <w:rsid w:val="003C6D5E"/>
    <w:rsid w:val="003D35EB"/>
    <w:rsid w:val="003D3FB9"/>
    <w:rsid w:val="003D560C"/>
    <w:rsid w:val="003D5CCC"/>
    <w:rsid w:val="003D76E0"/>
    <w:rsid w:val="003E15C8"/>
    <w:rsid w:val="003E1CF7"/>
    <w:rsid w:val="003E1D3E"/>
    <w:rsid w:val="003E2418"/>
    <w:rsid w:val="003E2B08"/>
    <w:rsid w:val="003E3579"/>
    <w:rsid w:val="003E3B70"/>
    <w:rsid w:val="003E76AB"/>
    <w:rsid w:val="003F00F3"/>
    <w:rsid w:val="003F164D"/>
    <w:rsid w:val="003F1929"/>
    <w:rsid w:val="003F29A8"/>
    <w:rsid w:val="003F398D"/>
    <w:rsid w:val="003F4557"/>
    <w:rsid w:val="003F561E"/>
    <w:rsid w:val="003F5A52"/>
    <w:rsid w:val="003F6464"/>
    <w:rsid w:val="003F649F"/>
    <w:rsid w:val="003F6F0C"/>
    <w:rsid w:val="0040146E"/>
    <w:rsid w:val="00406364"/>
    <w:rsid w:val="00410D80"/>
    <w:rsid w:val="0041525D"/>
    <w:rsid w:val="00415CA9"/>
    <w:rsid w:val="00416788"/>
    <w:rsid w:val="00422A00"/>
    <w:rsid w:val="00424C33"/>
    <w:rsid w:val="00424F88"/>
    <w:rsid w:val="0043199C"/>
    <w:rsid w:val="00432AD8"/>
    <w:rsid w:val="00432BFB"/>
    <w:rsid w:val="00433370"/>
    <w:rsid w:val="00434AF8"/>
    <w:rsid w:val="0043554D"/>
    <w:rsid w:val="00436240"/>
    <w:rsid w:val="00444124"/>
    <w:rsid w:val="0044465D"/>
    <w:rsid w:val="0044493A"/>
    <w:rsid w:val="00444AE6"/>
    <w:rsid w:val="00444C12"/>
    <w:rsid w:val="00450C63"/>
    <w:rsid w:val="00451052"/>
    <w:rsid w:val="00452881"/>
    <w:rsid w:val="00456CB4"/>
    <w:rsid w:val="004577E4"/>
    <w:rsid w:val="00460804"/>
    <w:rsid w:val="00460CBD"/>
    <w:rsid w:val="00462D1E"/>
    <w:rsid w:val="00464AD1"/>
    <w:rsid w:val="00466A49"/>
    <w:rsid w:val="0046777E"/>
    <w:rsid w:val="00467962"/>
    <w:rsid w:val="00471574"/>
    <w:rsid w:val="004732ED"/>
    <w:rsid w:val="0047471C"/>
    <w:rsid w:val="0047633A"/>
    <w:rsid w:val="00476B46"/>
    <w:rsid w:val="00477B0E"/>
    <w:rsid w:val="00481C01"/>
    <w:rsid w:val="00485B79"/>
    <w:rsid w:val="0048688B"/>
    <w:rsid w:val="00491933"/>
    <w:rsid w:val="00492FB8"/>
    <w:rsid w:val="00494DF2"/>
    <w:rsid w:val="0049610D"/>
    <w:rsid w:val="00496DB2"/>
    <w:rsid w:val="00496EC4"/>
    <w:rsid w:val="00497088"/>
    <w:rsid w:val="004971B1"/>
    <w:rsid w:val="004A093A"/>
    <w:rsid w:val="004A1060"/>
    <w:rsid w:val="004A2035"/>
    <w:rsid w:val="004A2492"/>
    <w:rsid w:val="004A26C8"/>
    <w:rsid w:val="004A42F2"/>
    <w:rsid w:val="004A5A46"/>
    <w:rsid w:val="004A6F77"/>
    <w:rsid w:val="004A73BE"/>
    <w:rsid w:val="004A7AB0"/>
    <w:rsid w:val="004B040E"/>
    <w:rsid w:val="004B323B"/>
    <w:rsid w:val="004B4353"/>
    <w:rsid w:val="004B49BD"/>
    <w:rsid w:val="004B50A7"/>
    <w:rsid w:val="004B53F0"/>
    <w:rsid w:val="004B5F94"/>
    <w:rsid w:val="004B7B3B"/>
    <w:rsid w:val="004C0EEE"/>
    <w:rsid w:val="004C1128"/>
    <w:rsid w:val="004C1B15"/>
    <w:rsid w:val="004C2EDE"/>
    <w:rsid w:val="004C366E"/>
    <w:rsid w:val="004C370B"/>
    <w:rsid w:val="004C4F9D"/>
    <w:rsid w:val="004C5652"/>
    <w:rsid w:val="004C69AE"/>
    <w:rsid w:val="004C7281"/>
    <w:rsid w:val="004D0062"/>
    <w:rsid w:val="004D111F"/>
    <w:rsid w:val="004D6BEB"/>
    <w:rsid w:val="004E10BC"/>
    <w:rsid w:val="004E2532"/>
    <w:rsid w:val="004E26C9"/>
    <w:rsid w:val="004E3684"/>
    <w:rsid w:val="004E596D"/>
    <w:rsid w:val="004E7419"/>
    <w:rsid w:val="004E7E00"/>
    <w:rsid w:val="004F2DA6"/>
    <w:rsid w:val="004F6900"/>
    <w:rsid w:val="004F78EA"/>
    <w:rsid w:val="00500053"/>
    <w:rsid w:val="0050317C"/>
    <w:rsid w:val="00505540"/>
    <w:rsid w:val="00505717"/>
    <w:rsid w:val="00505878"/>
    <w:rsid w:val="0050606A"/>
    <w:rsid w:val="0051136F"/>
    <w:rsid w:val="00511EAA"/>
    <w:rsid w:val="005122C7"/>
    <w:rsid w:val="00515F9A"/>
    <w:rsid w:val="005165A3"/>
    <w:rsid w:val="00522D59"/>
    <w:rsid w:val="005230C8"/>
    <w:rsid w:val="0052348C"/>
    <w:rsid w:val="005234B6"/>
    <w:rsid w:val="0052395E"/>
    <w:rsid w:val="00523EC1"/>
    <w:rsid w:val="005245BA"/>
    <w:rsid w:val="00524B40"/>
    <w:rsid w:val="00524D2B"/>
    <w:rsid w:val="00524EC7"/>
    <w:rsid w:val="005328B0"/>
    <w:rsid w:val="00532E20"/>
    <w:rsid w:val="00533498"/>
    <w:rsid w:val="00533BF4"/>
    <w:rsid w:val="00536854"/>
    <w:rsid w:val="00536C2F"/>
    <w:rsid w:val="00537F87"/>
    <w:rsid w:val="00540474"/>
    <w:rsid w:val="00541738"/>
    <w:rsid w:val="00541BFE"/>
    <w:rsid w:val="005439C4"/>
    <w:rsid w:val="00544FB8"/>
    <w:rsid w:val="0054662D"/>
    <w:rsid w:val="00546A84"/>
    <w:rsid w:val="005471D9"/>
    <w:rsid w:val="00547F4B"/>
    <w:rsid w:val="00550F92"/>
    <w:rsid w:val="00552212"/>
    <w:rsid w:val="00552251"/>
    <w:rsid w:val="005532CA"/>
    <w:rsid w:val="005541BE"/>
    <w:rsid w:val="00554631"/>
    <w:rsid w:val="005548DE"/>
    <w:rsid w:val="00557524"/>
    <w:rsid w:val="005612AC"/>
    <w:rsid w:val="005615EF"/>
    <w:rsid w:val="0056320D"/>
    <w:rsid w:val="005653C7"/>
    <w:rsid w:val="00566D1B"/>
    <w:rsid w:val="00567C4D"/>
    <w:rsid w:val="00575DDD"/>
    <w:rsid w:val="00576095"/>
    <w:rsid w:val="00577D29"/>
    <w:rsid w:val="0058082E"/>
    <w:rsid w:val="00580B25"/>
    <w:rsid w:val="005824FD"/>
    <w:rsid w:val="00596387"/>
    <w:rsid w:val="005A0036"/>
    <w:rsid w:val="005A0553"/>
    <w:rsid w:val="005A1313"/>
    <w:rsid w:val="005A1DAD"/>
    <w:rsid w:val="005A28D6"/>
    <w:rsid w:val="005A2947"/>
    <w:rsid w:val="005A2E48"/>
    <w:rsid w:val="005A4778"/>
    <w:rsid w:val="005A73CE"/>
    <w:rsid w:val="005A7B7D"/>
    <w:rsid w:val="005B0BA2"/>
    <w:rsid w:val="005B0D76"/>
    <w:rsid w:val="005B15D5"/>
    <w:rsid w:val="005B1AF2"/>
    <w:rsid w:val="005B2E68"/>
    <w:rsid w:val="005B2F83"/>
    <w:rsid w:val="005B4356"/>
    <w:rsid w:val="005B464B"/>
    <w:rsid w:val="005B4BFB"/>
    <w:rsid w:val="005B79B6"/>
    <w:rsid w:val="005C19E6"/>
    <w:rsid w:val="005C1B4D"/>
    <w:rsid w:val="005C3A23"/>
    <w:rsid w:val="005C715D"/>
    <w:rsid w:val="005D3142"/>
    <w:rsid w:val="005D32F3"/>
    <w:rsid w:val="005D41D8"/>
    <w:rsid w:val="005D60CD"/>
    <w:rsid w:val="005D7675"/>
    <w:rsid w:val="005D7AB4"/>
    <w:rsid w:val="005E0B8B"/>
    <w:rsid w:val="005E0E49"/>
    <w:rsid w:val="005E18C2"/>
    <w:rsid w:val="005E3328"/>
    <w:rsid w:val="005E35BA"/>
    <w:rsid w:val="005E563A"/>
    <w:rsid w:val="005E638B"/>
    <w:rsid w:val="005E7451"/>
    <w:rsid w:val="005F083D"/>
    <w:rsid w:val="005F10A4"/>
    <w:rsid w:val="005F22DB"/>
    <w:rsid w:val="005F2BC0"/>
    <w:rsid w:val="005F44D7"/>
    <w:rsid w:val="005F4DE7"/>
    <w:rsid w:val="005F5CD5"/>
    <w:rsid w:val="005F66C9"/>
    <w:rsid w:val="005F6CD4"/>
    <w:rsid w:val="006003F1"/>
    <w:rsid w:val="00600A18"/>
    <w:rsid w:val="00600D54"/>
    <w:rsid w:val="00602337"/>
    <w:rsid w:val="00603999"/>
    <w:rsid w:val="006044B5"/>
    <w:rsid w:val="00606D76"/>
    <w:rsid w:val="00616ED5"/>
    <w:rsid w:val="00620CF6"/>
    <w:rsid w:val="006236D9"/>
    <w:rsid w:val="0062672F"/>
    <w:rsid w:val="00631089"/>
    <w:rsid w:val="00634F1F"/>
    <w:rsid w:val="006354E2"/>
    <w:rsid w:val="00636830"/>
    <w:rsid w:val="00640A33"/>
    <w:rsid w:val="00641D7C"/>
    <w:rsid w:val="006425FF"/>
    <w:rsid w:val="00642C96"/>
    <w:rsid w:val="00642DB6"/>
    <w:rsid w:val="006452B2"/>
    <w:rsid w:val="00646962"/>
    <w:rsid w:val="00646988"/>
    <w:rsid w:val="00651C43"/>
    <w:rsid w:val="0065311A"/>
    <w:rsid w:val="006535F0"/>
    <w:rsid w:val="00654BC9"/>
    <w:rsid w:val="006559D5"/>
    <w:rsid w:val="00655EB1"/>
    <w:rsid w:val="00655F6B"/>
    <w:rsid w:val="00656012"/>
    <w:rsid w:val="00663DF9"/>
    <w:rsid w:val="0066407E"/>
    <w:rsid w:val="00674771"/>
    <w:rsid w:val="006750E2"/>
    <w:rsid w:val="006752D1"/>
    <w:rsid w:val="0067544E"/>
    <w:rsid w:val="006770B9"/>
    <w:rsid w:val="006807CE"/>
    <w:rsid w:val="006808DE"/>
    <w:rsid w:val="00681645"/>
    <w:rsid w:val="006819B7"/>
    <w:rsid w:val="006826F8"/>
    <w:rsid w:val="00682C7B"/>
    <w:rsid w:val="00682D0B"/>
    <w:rsid w:val="006900E3"/>
    <w:rsid w:val="0069213A"/>
    <w:rsid w:val="00695F81"/>
    <w:rsid w:val="006976C4"/>
    <w:rsid w:val="006A347D"/>
    <w:rsid w:val="006A5CE8"/>
    <w:rsid w:val="006B087C"/>
    <w:rsid w:val="006B3CE4"/>
    <w:rsid w:val="006B5494"/>
    <w:rsid w:val="006B6917"/>
    <w:rsid w:val="006C15A0"/>
    <w:rsid w:val="006C2271"/>
    <w:rsid w:val="006C34B4"/>
    <w:rsid w:val="006C5BCE"/>
    <w:rsid w:val="006D14FE"/>
    <w:rsid w:val="006D2A35"/>
    <w:rsid w:val="006D30F4"/>
    <w:rsid w:val="006D3FF2"/>
    <w:rsid w:val="006D4307"/>
    <w:rsid w:val="006D4849"/>
    <w:rsid w:val="006D569F"/>
    <w:rsid w:val="006D6D15"/>
    <w:rsid w:val="006D7C95"/>
    <w:rsid w:val="006E04F7"/>
    <w:rsid w:val="006E065A"/>
    <w:rsid w:val="006E50D9"/>
    <w:rsid w:val="006E6C01"/>
    <w:rsid w:val="006E76C7"/>
    <w:rsid w:val="006E7C4D"/>
    <w:rsid w:val="006F00BF"/>
    <w:rsid w:val="006F06FE"/>
    <w:rsid w:val="006F0DF0"/>
    <w:rsid w:val="006F11C4"/>
    <w:rsid w:val="006F1BC0"/>
    <w:rsid w:val="006F5292"/>
    <w:rsid w:val="006F6A10"/>
    <w:rsid w:val="00701151"/>
    <w:rsid w:val="00704981"/>
    <w:rsid w:val="00705B1A"/>
    <w:rsid w:val="00713D23"/>
    <w:rsid w:val="00713ED0"/>
    <w:rsid w:val="007167EB"/>
    <w:rsid w:val="007169CA"/>
    <w:rsid w:val="007174F5"/>
    <w:rsid w:val="0071791B"/>
    <w:rsid w:val="00720E34"/>
    <w:rsid w:val="00721C61"/>
    <w:rsid w:val="00722843"/>
    <w:rsid w:val="00731CC6"/>
    <w:rsid w:val="00731EC7"/>
    <w:rsid w:val="007323F9"/>
    <w:rsid w:val="007335B6"/>
    <w:rsid w:val="00733E3D"/>
    <w:rsid w:val="007369C9"/>
    <w:rsid w:val="00736DFD"/>
    <w:rsid w:val="00737404"/>
    <w:rsid w:val="0074014B"/>
    <w:rsid w:val="0074389A"/>
    <w:rsid w:val="00744772"/>
    <w:rsid w:val="00744D8A"/>
    <w:rsid w:val="0074766F"/>
    <w:rsid w:val="00747A34"/>
    <w:rsid w:val="007502DE"/>
    <w:rsid w:val="00751335"/>
    <w:rsid w:val="00751914"/>
    <w:rsid w:val="00751B66"/>
    <w:rsid w:val="00753628"/>
    <w:rsid w:val="0075397C"/>
    <w:rsid w:val="0075613A"/>
    <w:rsid w:val="00756C7B"/>
    <w:rsid w:val="00760EE5"/>
    <w:rsid w:val="00772314"/>
    <w:rsid w:val="007735F2"/>
    <w:rsid w:val="007746BA"/>
    <w:rsid w:val="00775F6B"/>
    <w:rsid w:val="007763C4"/>
    <w:rsid w:val="00777C96"/>
    <w:rsid w:val="00780D79"/>
    <w:rsid w:val="00780F85"/>
    <w:rsid w:val="00782B73"/>
    <w:rsid w:val="00784140"/>
    <w:rsid w:val="00784744"/>
    <w:rsid w:val="00785B27"/>
    <w:rsid w:val="007861D4"/>
    <w:rsid w:val="00786FAE"/>
    <w:rsid w:val="00791692"/>
    <w:rsid w:val="00792AAE"/>
    <w:rsid w:val="0079300C"/>
    <w:rsid w:val="00795E67"/>
    <w:rsid w:val="00796BA9"/>
    <w:rsid w:val="00797EA6"/>
    <w:rsid w:val="007A1F89"/>
    <w:rsid w:val="007A210A"/>
    <w:rsid w:val="007A3321"/>
    <w:rsid w:val="007A36DA"/>
    <w:rsid w:val="007A55F4"/>
    <w:rsid w:val="007A611A"/>
    <w:rsid w:val="007A6BEA"/>
    <w:rsid w:val="007A78E0"/>
    <w:rsid w:val="007B1C70"/>
    <w:rsid w:val="007B371E"/>
    <w:rsid w:val="007B4911"/>
    <w:rsid w:val="007B523C"/>
    <w:rsid w:val="007B5DD9"/>
    <w:rsid w:val="007C1712"/>
    <w:rsid w:val="007C2154"/>
    <w:rsid w:val="007C312C"/>
    <w:rsid w:val="007C3C45"/>
    <w:rsid w:val="007C5479"/>
    <w:rsid w:val="007C579A"/>
    <w:rsid w:val="007C6FDA"/>
    <w:rsid w:val="007C75A0"/>
    <w:rsid w:val="007D09F2"/>
    <w:rsid w:val="007D1A7F"/>
    <w:rsid w:val="007D1BD9"/>
    <w:rsid w:val="007D245B"/>
    <w:rsid w:val="007D49F3"/>
    <w:rsid w:val="007D6A79"/>
    <w:rsid w:val="007D7DEA"/>
    <w:rsid w:val="007E0639"/>
    <w:rsid w:val="007E44A8"/>
    <w:rsid w:val="007E4806"/>
    <w:rsid w:val="007E48CD"/>
    <w:rsid w:val="007E5D6A"/>
    <w:rsid w:val="007E5E49"/>
    <w:rsid w:val="007E62B5"/>
    <w:rsid w:val="007E62CA"/>
    <w:rsid w:val="007E7375"/>
    <w:rsid w:val="007E7672"/>
    <w:rsid w:val="007E7CEF"/>
    <w:rsid w:val="007F2B6D"/>
    <w:rsid w:val="007F60B7"/>
    <w:rsid w:val="007F6E2D"/>
    <w:rsid w:val="008002F0"/>
    <w:rsid w:val="008004B1"/>
    <w:rsid w:val="008019E1"/>
    <w:rsid w:val="00801C4E"/>
    <w:rsid w:val="00802136"/>
    <w:rsid w:val="008025C3"/>
    <w:rsid w:val="008038FB"/>
    <w:rsid w:val="00804C93"/>
    <w:rsid w:val="00804F3E"/>
    <w:rsid w:val="00807CC3"/>
    <w:rsid w:val="00810273"/>
    <w:rsid w:val="008106E5"/>
    <w:rsid w:val="00811CDD"/>
    <w:rsid w:val="0081200E"/>
    <w:rsid w:val="00812A1A"/>
    <w:rsid w:val="00816A44"/>
    <w:rsid w:val="00817B65"/>
    <w:rsid w:val="00820194"/>
    <w:rsid w:val="00820BE8"/>
    <w:rsid w:val="0082289C"/>
    <w:rsid w:val="00823B6F"/>
    <w:rsid w:val="00824CED"/>
    <w:rsid w:val="00827C39"/>
    <w:rsid w:val="00831319"/>
    <w:rsid w:val="00832AC9"/>
    <w:rsid w:val="0083349D"/>
    <w:rsid w:val="00833E6D"/>
    <w:rsid w:val="00834472"/>
    <w:rsid w:val="008358A7"/>
    <w:rsid w:val="00836735"/>
    <w:rsid w:val="00841522"/>
    <w:rsid w:val="008419B8"/>
    <w:rsid w:val="0084207C"/>
    <w:rsid w:val="00843352"/>
    <w:rsid w:val="0085219A"/>
    <w:rsid w:val="0085390F"/>
    <w:rsid w:val="00853B7A"/>
    <w:rsid w:val="008540C4"/>
    <w:rsid w:val="008549B4"/>
    <w:rsid w:val="00854DD9"/>
    <w:rsid w:val="0085567C"/>
    <w:rsid w:val="00856CAB"/>
    <w:rsid w:val="0085778D"/>
    <w:rsid w:val="00861E14"/>
    <w:rsid w:val="00861F8E"/>
    <w:rsid w:val="00862116"/>
    <w:rsid w:val="0086299C"/>
    <w:rsid w:val="00864F65"/>
    <w:rsid w:val="00865283"/>
    <w:rsid w:val="00866DB5"/>
    <w:rsid w:val="008700E6"/>
    <w:rsid w:val="00871005"/>
    <w:rsid w:val="008716AA"/>
    <w:rsid w:val="00871BDD"/>
    <w:rsid w:val="00873281"/>
    <w:rsid w:val="00874B11"/>
    <w:rsid w:val="00875E99"/>
    <w:rsid w:val="0087705D"/>
    <w:rsid w:val="008770F2"/>
    <w:rsid w:val="0088087B"/>
    <w:rsid w:val="0088212E"/>
    <w:rsid w:val="008834E8"/>
    <w:rsid w:val="00887024"/>
    <w:rsid w:val="008879B6"/>
    <w:rsid w:val="00887FFD"/>
    <w:rsid w:val="008907E4"/>
    <w:rsid w:val="00892D9F"/>
    <w:rsid w:val="0089661E"/>
    <w:rsid w:val="00896AC3"/>
    <w:rsid w:val="00897B24"/>
    <w:rsid w:val="008A03DB"/>
    <w:rsid w:val="008A1A33"/>
    <w:rsid w:val="008A2278"/>
    <w:rsid w:val="008A3074"/>
    <w:rsid w:val="008A406C"/>
    <w:rsid w:val="008A70B1"/>
    <w:rsid w:val="008A712B"/>
    <w:rsid w:val="008A7D25"/>
    <w:rsid w:val="008B0740"/>
    <w:rsid w:val="008B175F"/>
    <w:rsid w:val="008B31EB"/>
    <w:rsid w:val="008B4412"/>
    <w:rsid w:val="008B450F"/>
    <w:rsid w:val="008B4973"/>
    <w:rsid w:val="008B4D9A"/>
    <w:rsid w:val="008B6888"/>
    <w:rsid w:val="008B74A2"/>
    <w:rsid w:val="008B74B8"/>
    <w:rsid w:val="008C2511"/>
    <w:rsid w:val="008C2CDD"/>
    <w:rsid w:val="008C4175"/>
    <w:rsid w:val="008C59F8"/>
    <w:rsid w:val="008C5C15"/>
    <w:rsid w:val="008C6D9B"/>
    <w:rsid w:val="008D0CD2"/>
    <w:rsid w:val="008D1B20"/>
    <w:rsid w:val="008D3F8C"/>
    <w:rsid w:val="008D4174"/>
    <w:rsid w:val="008D524C"/>
    <w:rsid w:val="008D5734"/>
    <w:rsid w:val="008D5DDE"/>
    <w:rsid w:val="008D7DA1"/>
    <w:rsid w:val="008E245C"/>
    <w:rsid w:val="008E2C1B"/>
    <w:rsid w:val="008E3CA6"/>
    <w:rsid w:val="008E46CC"/>
    <w:rsid w:val="008E4F88"/>
    <w:rsid w:val="008E6D8E"/>
    <w:rsid w:val="008F0B87"/>
    <w:rsid w:val="008F2864"/>
    <w:rsid w:val="008F2FCB"/>
    <w:rsid w:val="008F402D"/>
    <w:rsid w:val="008F4C8A"/>
    <w:rsid w:val="008F59F7"/>
    <w:rsid w:val="0090126A"/>
    <w:rsid w:val="00905F5E"/>
    <w:rsid w:val="009073FA"/>
    <w:rsid w:val="00907EF4"/>
    <w:rsid w:val="0091081F"/>
    <w:rsid w:val="00912379"/>
    <w:rsid w:val="00912B5F"/>
    <w:rsid w:val="0091339D"/>
    <w:rsid w:val="0091479B"/>
    <w:rsid w:val="00915954"/>
    <w:rsid w:val="00916AD3"/>
    <w:rsid w:val="009172E8"/>
    <w:rsid w:val="009224E8"/>
    <w:rsid w:val="009226BD"/>
    <w:rsid w:val="009245D1"/>
    <w:rsid w:val="00924DA2"/>
    <w:rsid w:val="00927118"/>
    <w:rsid w:val="009303E7"/>
    <w:rsid w:val="009324CC"/>
    <w:rsid w:val="0093269C"/>
    <w:rsid w:val="009341C4"/>
    <w:rsid w:val="009367BD"/>
    <w:rsid w:val="009372DF"/>
    <w:rsid w:val="009416EE"/>
    <w:rsid w:val="00941ED6"/>
    <w:rsid w:val="00943C1C"/>
    <w:rsid w:val="009450A8"/>
    <w:rsid w:val="00946862"/>
    <w:rsid w:val="0094701D"/>
    <w:rsid w:val="00951661"/>
    <w:rsid w:val="0095291C"/>
    <w:rsid w:val="00956A58"/>
    <w:rsid w:val="00957E82"/>
    <w:rsid w:val="009603DE"/>
    <w:rsid w:val="00960FBA"/>
    <w:rsid w:val="009611A8"/>
    <w:rsid w:val="00961653"/>
    <w:rsid w:val="00965B06"/>
    <w:rsid w:val="009665FD"/>
    <w:rsid w:val="00967A5A"/>
    <w:rsid w:val="00967D24"/>
    <w:rsid w:val="00970000"/>
    <w:rsid w:val="0097109F"/>
    <w:rsid w:val="00972A34"/>
    <w:rsid w:val="00973C7F"/>
    <w:rsid w:val="00973D32"/>
    <w:rsid w:val="00974759"/>
    <w:rsid w:val="009759E8"/>
    <w:rsid w:val="00984115"/>
    <w:rsid w:val="00984F40"/>
    <w:rsid w:val="009862EB"/>
    <w:rsid w:val="00992473"/>
    <w:rsid w:val="00992970"/>
    <w:rsid w:val="00994860"/>
    <w:rsid w:val="00994EEF"/>
    <w:rsid w:val="00995DA7"/>
    <w:rsid w:val="00996023"/>
    <w:rsid w:val="009A065A"/>
    <w:rsid w:val="009A090A"/>
    <w:rsid w:val="009A3488"/>
    <w:rsid w:val="009A49A0"/>
    <w:rsid w:val="009A4A1C"/>
    <w:rsid w:val="009A5568"/>
    <w:rsid w:val="009A60F5"/>
    <w:rsid w:val="009A63C5"/>
    <w:rsid w:val="009B11D8"/>
    <w:rsid w:val="009B1CE5"/>
    <w:rsid w:val="009B2AC5"/>
    <w:rsid w:val="009B340A"/>
    <w:rsid w:val="009B43C6"/>
    <w:rsid w:val="009B4BB6"/>
    <w:rsid w:val="009B5C03"/>
    <w:rsid w:val="009C6527"/>
    <w:rsid w:val="009D0201"/>
    <w:rsid w:val="009D09B4"/>
    <w:rsid w:val="009D1EAF"/>
    <w:rsid w:val="009D2959"/>
    <w:rsid w:val="009D3837"/>
    <w:rsid w:val="009D3FD4"/>
    <w:rsid w:val="009D41AC"/>
    <w:rsid w:val="009D4599"/>
    <w:rsid w:val="009D4EC1"/>
    <w:rsid w:val="009D56EF"/>
    <w:rsid w:val="009D5E10"/>
    <w:rsid w:val="009D64FD"/>
    <w:rsid w:val="009D689A"/>
    <w:rsid w:val="009D6AEB"/>
    <w:rsid w:val="009E1382"/>
    <w:rsid w:val="009E21FD"/>
    <w:rsid w:val="009E270B"/>
    <w:rsid w:val="009E2A32"/>
    <w:rsid w:val="009E2E0E"/>
    <w:rsid w:val="009E4695"/>
    <w:rsid w:val="009E578F"/>
    <w:rsid w:val="009E5875"/>
    <w:rsid w:val="009E5FD5"/>
    <w:rsid w:val="009E629C"/>
    <w:rsid w:val="009F3307"/>
    <w:rsid w:val="009F4416"/>
    <w:rsid w:val="009F50D4"/>
    <w:rsid w:val="009F717D"/>
    <w:rsid w:val="009F7742"/>
    <w:rsid w:val="009F7D4A"/>
    <w:rsid w:val="00A0179D"/>
    <w:rsid w:val="00A01DF2"/>
    <w:rsid w:val="00A02340"/>
    <w:rsid w:val="00A02A65"/>
    <w:rsid w:val="00A02A8B"/>
    <w:rsid w:val="00A033ED"/>
    <w:rsid w:val="00A03FDC"/>
    <w:rsid w:val="00A042F9"/>
    <w:rsid w:val="00A051C5"/>
    <w:rsid w:val="00A0541E"/>
    <w:rsid w:val="00A0629F"/>
    <w:rsid w:val="00A06382"/>
    <w:rsid w:val="00A11148"/>
    <w:rsid w:val="00A133A9"/>
    <w:rsid w:val="00A14DC8"/>
    <w:rsid w:val="00A16363"/>
    <w:rsid w:val="00A20B18"/>
    <w:rsid w:val="00A21798"/>
    <w:rsid w:val="00A253D6"/>
    <w:rsid w:val="00A2793D"/>
    <w:rsid w:val="00A30581"/>
    <w:rsid w:val="00A327EA"/>
    <w:rsid w:val="00A34AE8"/>
    <w:rsid w:val="00A35065"/>
    <w:rsid w:val="00A359F2"/>
    <w:rsid w:val="00A35EA6"/>
    <w:rsid w:val="00A405F3"/>
    <w:rsid w:val="00A40CB0"/>
    <w:rsid w:val="00A44974"/>
    <w:rsid w:val="00A4560B"/>
    <w:rsid w:val="00A46F63"/>
    <w:rsid w:val="00A50264"/>
    <w:rsid w:val="00A52220"/>
    <w:rsid w:val="00A52670"/>
    <w:rsid w:val="00A53196"/>
    <w:rsid w:val="00A53DCE"/>
    <w:rsid w:val="00A54144"/>
    <w:rsid w:val="00A5524E"/>
    <w:rsid w:val="00A6021B"/>
    <w:rsid w:val="00A61265"/>
    <w:rsid w:val="00A63419"/>
    <w:rsid w:val="00A63E9E"/>
    <w:rsid w:val="00A647E8"/>
    <w:rsid w:val="00A6548B"/>
    <w:rsid w:val="00A664B6"/>
    <w:rsid w:val="00A6726D"/>
    <w:rsid w:val="00A72015"/>
    <w:rsid w:val="00A73346"/>
    <w:rsid w:val="00A73CA9"/>
    <w:rsid w:val="00A73D58"/>
    <w:rsid w:val="00A7556F"/>
    <w:rsid w:val="00A75827"/>
    <w:rsid w:val="00A75E3E"/>
    <w:rsid w:val="00A76046"/>
    <w:rsid w:val="00A7669A"/>
    <w:rsid w:val="00A76DF3"/>
    <w:rsid w:val="00A77AFA"/>
    <w:rsid w:val="00A81EF2"/>
    <w:rsid w:val="00A82801"/>
    <w:rsid w:val="00A82AC3"/>
    <w:rsid w:val="00A83FAA"/>
    <w:rsid w:val="00A84988"/>
    <w:rsid w:val="00A90E7B"/>
    <w:rsid w:val="00A914E8"/>
    <w:rsid w:val="00A92027"/>
    <w:rsid w:val="00A93A20"/>
    <w:rsid w:val="00A94488"/>
    <w:rsid w:val="00AA05A5"/>
    <w:rsid w:val="00AA09B2"/>
    <w:rsid w:val="00AA638D"/>
    <w:rsid w:val="00AB0753"/>
    <w:rsid w:val="00AB0FF3"/>
    <w:rsid w:val="00AB197E"/>
    <w:rsid w:val="00AB31A3"/>
    <w:rsid w:val="00AB4C4A"/>
    <w:rsid w:val="00AB77F9"/>
    <w:rsid w:val="00AC117C"/>
    <w:rsid w:val="00AC2E88"/>
    <w:rsid w:val="00AC2ED7"/>
    <w:rsid w:val="00AC42AA"/>
    <w:rsid w:val="00AC43E6"/>
    <w:rsid w:val="00AC4B61"/>
    <w:rsid w:val="00AC6014"/>
    <w:rsid w:val="00AC70FD"/>
    <w:rsid w:val="00AC7765"/>
    <w:rsid w:val="00AD08FA"/>
    <w:rsid w:val="00AD0E82"/>
    <w:rsid w:val="00AD13EF"/>
    <w:rsid w:val="00AD1EF1"/>
    <w:rsid w:val="00AD2381"/>
    <w:rsid w:val="00AD3D72"/>
    <w:rsid w:val="00AD5D45"/>
    <w:rsid w:val="00AE1B81"/>
    <w:rsid w:val="00AE2162"/>
    <w:rsid w:val="00AE3BC7"/>
    <w:rsid w:val="00AE52FC"/>
    <w:rsid w:val="00AE70C5"/>
    <w:rsid w:val="00AF1412"/>
    <w:rsid w:val="00AF1D86"/>
    <w:rsid w:val="00AF28E8"/>
    <w:rsid w:val="00AF3DDE"/>
    <w:rsid w:val="00AF636C"/>
    <w:rsid w:val="00AF7B59"/>
    <w:rsid w:val="00B01BEB"/>
    <w:rsid w:val="00B01DD6"/>
    <w:rsid w:val="00B02C8E"/>
    <w:rsid w:val="00B03120"/>
    <w:rsid w:val="00B0489D"/>
    <w:rsid w:val="00B05B71"/>
    <w:rsid w:val="00B10D7F"/>
    <w:rsid w:val="00B110FA"/>
    <w:rsid w:val="00B11653"/>
    <w:rsid w:val="00B11682"/>
    <w:rsid w:val="00B11F35"/>
    <w:rsid w:val="00B13A4C"/>
    <w:rsid w:val="00B1692D"/>
    <w:rsid w:val="00B1789E"/>
    <w:rsid w:val="00B21C13"/>
    <w:rsid w:val="00B22538"/>
    <w:rsid w:val="00B24EBD"/>
    <w:rsid w:val="00B257BC"/>
    <w:rsid w:val="00B26AEC"/>
    <w:rsid w:val="00B3156F"/>
    <w:rsid w:val="00B3200D"/>
    <w:rsid w:val="00B32542"/>
    <w:rsid w:val="00B351D6"/>
    <w:rsid w:val="00B37FEF"/>
    <w:rsid w:val="00B40521"/>
    <w:rsid w:val="00B411D4"/>
    <w:rsid w:val="00B4221B"/>
    <w:rsid w:val="00B43056"/>
    <w:rsid w:val="00B44ADF"/>
    <w:rsid w:val="00B463D1"/>
    <w:rsid w:val="00B46D28"/>
    <w:rsid w:val="00B5028A"/>
    <w:rsid w:val="00B50345"/>
    <w:rsid w:val="00B5181F"/>
    <w:rsid w:val="00B529F1"/>
    <w:rsid w:val="00B53374"/>
    <w:rsid w:val="00B57A92"/>
    <w:rsid w:val="00B603B2"/>
    <w:rsid w:val="00B60427"/>
    <w:rsid w:val="00B62808"/>
    <w:rsid w:val="00B64844"/>
    <w:rsid w:val="00B6628C"/>
    <w:rsid w:val="00B6630A"/>
    <w:rsid w:val="00B67C71"/>
    <w:rsid w:val="00B67CAD"/>
    <w:rsid w:val="00B70EE1"/>
    <w:rsid w:val="00B722F8"/>
    <w:rsid w:val="00B73B5D"/>
    <w:rsid w:val="00B74C88"/>
    <w:rsid w:val="00B75A27"/>
    <w:rsid w:val="00B76EFD"/>
    <w:rsid w:val="00B807C3"/>
    <w:rsid w:val="00B81360"/>
    <w:rsid w:val="00B816AF"/>
    <w:rsid w:val="00B81992"/>
    <w:rsid w:val="00B843A8"/>
    <w:rsid w:val="00B8633F"/>
    <w:rsid w:val="00B86C28"/>
    <w:rsid w:val="00B87041"/>
    <w:rsid w:val="00B8714D"/>
    <w:rsid w:val="00B90251"/>
    <w:rsid w:val="00B91128"/>
    <w:rsid w:val="00B93AE5"/>
    <w:rsid w:val="00B94773"/>
    <w:rsid w:val="00B947BF"/>
    <w:rsid w:val="00B94C1F"/>
    <w:rsid w:val="00B958FC"/>
    <w:rsid w:val="00B97432"/>
    <w:rsid w:val="00B977AA"/>
    <w:rsid w:val="00BA0087"/>
    <w:rsid w:val="00BA18C5"/>
    <w:rsid w:val="00BA1EED"/>
    <w:rsid w:val="00BA45BA"/>
    <w:rsid w:val="00BA5C11"/>
    <w:rsid w:val="00BA6B25"/>
    <w:rsid w:val="00BB0933"/>
    <w:rsid w:val="00BB3DF3"/>
    <w:rsid w:val="00BC0B54"/>
    <w:rsid w:val="00BC14AE"/>
    <w:rsid w:val="00BC1AC2"/>
    <w:rsid w:val="00BC332F"/>
    <w:rsid w:val="00BC4E91"/>
    <w:rsid w:val="00BC6A1E"/>
    <w:rsid w:val="00BC7963"/>
    <w:rsid w:val="00BD03A8"/>
    <w:rsid w:val="00BD184E"/>
    <w:rsid w:val="00BD2ED9"/>
    <w:rsid w:val="00BD50C2"/>
    <w:rsid w:val="00BD5364"/>
    <w:rsid w:val="00BD5CE5"/>
    <w:rsid w:val="00BD602A"/>
    <w:rsid w:val="00BD6F12"/>
    <w:rsid w:val="00BD7474"/>
    <w:rsid w:val="00BE0F33"/>
    <w:rsid w:val="00BE3B1A"/>
    <w:rsid w:val="00BE47D7"/>
    <w:rsid w:val="00BE4EA3"/>
    <w:rsid w:val="00BE54CB"/>
    <w:rsid w:val="00BE58D7"/>
    <w:rsid w:val="00BE63AC"/>
    <w:rsid w:val="00BE6CE8"/>
    <w:rsid w:val="00BF318D"/>
    <w:rsid w:val="00BF53FD"/>
    <w:rsid w:val="00BF6334"/>
    <w:rsid w:val="00C011AC"/>
    <w:rsid w:val="00C02DFE"/>
    <w:rsid w:val="00C05A29"/>
    <w:rsid w:val="00C06004"/>
    <w:rsid w:val="00C11FB2"/>
    <w:rsid w:val="00C125D0"/>
    <w:rsid w:val="00C127F4"/>
    <w:rsid w:val="00C1318B"/>
    <w:rsid w:val="00C147A9"/>
    <w:rsid w:val="00C167A7"/>
    <w:rsid w:val="00C20873"/>
    <w:rsid w:val="00C2115C"/>
    <w:rsid w:val="00C21BBF"/>
    <w:rsid w:val="00C239C9"/>
    <w:rsid w:val="00C242BB"/>
    <w:rsid w:val="00C259EE"/>
    <w:rsid w:val="00C279CD"/>
    <w:rsid w:val="00C27DB9"/>
    <w:rsid w:val="00C3052B"/>
    <w:rsid w:val="00C307A5"/>
    <w:rsid w:val="00C325D8"/>
    <w:rsid w:val="00C33FF2"/>
    <w:rsid w:val="00C34B91"/>
    <w:rsid w:val="00C35894"/>
    <w:rsid w:val="00C3596D"/>
    <w:rsid w:val="00C376C1"/>
    <w:rsid w:val="00C402C5"/>
    <w:rsid w:val="00C403BF"/>
    <w:rsid w:val="00C4324B"/>
    <w:rsid w:val="00C44788"/>
    <w:rsid w:val="00C47C7B"/>
    <w:rsid w:val="00C51EA1"/>
    <w:rsid w:val="00C5298E"/>
    <w:rsid w:val="00C54096"/>
    <w:rsid w:val="00C54585"/>
    <w:rsid w:val="00C55E80"/>
    <w:rsid w:val="00C57710"/>
    <w:rsid w:val="00C608E6"/>
    <w:rsid w:val="00C60B98"/>
    <w:rsid w:val="00C61E29"/>
    <w:rsid w:val="00C6291F"/>
    <w:rsid w:val="00C64531"/>
    <w:rsid w:val="00C64FA7"/>
    <w:rsid w:val="00C651B6"/>
    <w:rsid w:val="00C65388"/>
    <w:rsid w:val="00C701DC"/>
    <w:rsid w:val="00C80E85"/>
    <w:rsid w:val="00C82AF3"/>
    <w:rsid w:val="00C84143"/>
    <w:rsid w:val="00C8623C"/>
    <w:rsid w:val="00C8655B"/>
    <w:rsid w:val="00C879AE"/>
    <w:rsid w:val="00C93C7D"/>
    <w:rsid w:val="00C94578"/>
    <w:rsid w:val="00C9674C"/>
    <w:rsid w:val="00CA1E3A"/>
    <w:rsid w:val="00CA1EAF"/>
    <w:rsid w:val="00CA4D19"/>
    <w:rsid w:val="00CA6AE1"/>
    <w:rsid w:val="00CB15DC"/>
    <w:rsid w:val="00CB411F"/>
    <w:rsid w:val="00CB5A5F"/>
    <w:rsid w:val="00CB6EF8"/>
    <w:rsid w:val="00CC0B69"/>
    <w:rsid w:val="00CC0D5D"/>
    <w:rsid w:val="00CC2EFF"/>
    <w:rsid w:val="00CC3B0D"/>
    <w:rsid w:val="00CC4FFA"/>
    <w:rsid w:val="00CC518C"/>
    <w:rsid w:val="00CC5DD0"/>
    <w:rsid w:val="00CC603B"/>
    <w:rsid w:val="00CC7657"/>
    <w:rsid w:val="00CD2FBF"/>
    <w:rsid w:val="00CD4853"/>
    <w:rsid w:val="00CD594A"/>
    <w:rsid w:val="00CD72C4"/>
    <w:rsid w:val="00CE1732"/>
    <w:rsid w:val="00CE3F1B"/>
    <w:rsid w:val="00CE47FE"/>
    <w:rsid w:val="00CE5BE5"/>
    <w:rsid w:val="00CE5F8D"/>
    <w:rsid w:val="00CE78E8"/>
    <w:rsid w:val="00CF12D0"/>
    <w:rsid w:val="00CF4D95"/>
    <w:rsid w:val="00CF6943"/>
    <w:rsid w:val="00D00693"/>
    <w:rsid w:val="00D02D0B"/>
    <w:rsid w:val="00D032E4"/>
    <w:rsid w:val="00D04976"/>
    <w:rsid w:val="00D05AC4"/>
    <w:rsid w:val="00D12B3C"/>
    <w:rsid w:val="00D130BF"/>
    <w:rsid w:val="00D14C12"/>
    <w:rsid w:val="00D158C9"/>
    <w:rsid w:val="00D17457"/>
    <w:rsid w:val="00D17FE9"/>
    <w:rsid w:val="00D21E72"/>
    <w:rsid w:val="00D22987"/>
    <w:rsid w:val="00D24521"/>
    <w:rsid w:val="00D25014"/>
    <w:rsid w:val="00D2698E"/>
    <w:rsid w:val="00D31269"/>
    <w:rsid w:val="00D31D20"/>
    <w:rsid w:val="00D33DD7"/>
    <w:rsid w:val="00D33DF3"/>
    <w:rsid w:val="00D34FDC"/>
    <w:rsid w:val="00D37AF2"/>
    <w:rsid w:val="00D37D62"/>
    <w:rsid w:val="00D418DB"/>
    <w:rsid w:val="00D41A79"/>
    <w:rsid w:val="00D42317"/>
    <w:rsid w:val="00D44246"/>
    <w:rsid w:val="00D45C23"/>
    <w:rsid w:val="00D47C75"/>
    <w:rsid w:val="00D500E6"/>
    <w:rsid w:val="00D50ECF"/>
    <w:rsid w:val="00D51FB3"/>
    <w:rsid w:val="00D53B72"/>
    <w:rsid w:val="00D55559"/>
    <w:rsid w:val="00D556FD"/>
    <w:rsid w:val="00D573BE"/>
    <w:rsid w:val="00D61BA3"/>
    <w:rsid w:val="00D6333C"/>
    <w:rsid w:val="00D66603"/>
    <w:rsid w:val="00D70026"/>
    <w:rsid w:val="00D701AF"/>
    <w:rsid w:val="00D70BEA"/>
    <w:rsid w:val="00D7103C"/>
    <w:rsid w:val="00D753E9"/>
    <w:rsid w:val="00D76667"/>
    <w:rsid w:val="00D766F3"/>
    <w:rsid w:val="00D768FA"/>
    <w:rsid w:val="00D76A3E"/>
    <w:rsid w:val="00D77729"/>
    <w:rsid w:val="00D8052A"/>
    <w:rsid w:val="00D81328"/>
    <w:rsid w:val="00D82C45"/>
    <w:rsid w:val="00D838B0"/>
    <w:rsid w:val="00D83A1D"/>
    <w:rsid w:val="00D85C17"/>
    <w:rsid w:val="00D86A94"/>
    <w:rsid w:val="00D8719A"/>
    <w:rsid w:val="00D90720"/>
    <w:rsid w:val="00D92DE3"/>
    <w:rsid w:val="00DA01A3"/>
    <w:rsid w:val="00DA0CB4"/>
    <w:rsid w:val="00DA16C4"/>
    <w:rsid w:val="00DA22C0"/>
    <w:rsid w:val="00DA2759"/>
    <w:rsid w:val="00DA3BE7"/>
    <w:rsid w:val="00DA5114"/>
    <w:rsid w:val="00DA67B1"/>
    <w:rsid w:val="00DB22F6"/>
    <w:rsid w:val="00DB313E"/>
    <w:rsid w:val="00DB3ADB"/>
    <w:rsid w:val="00DB3BD5"/>
    <w:rsid w:val="00DB68FC"/>
    <w:rsid w:val="00DC11B1"/>
    <w:rsid w:val="00DC39A7"/>
    <w:rsid w:val="00DC600C"/>
    <w:rsid w:val="00DC63C8"/>
    <w:rsid w:val="00DD04AC"/>
    <w:rsid w:val="00DD4A0C"/>
    <w:rsid w:val="00DD4CAC"/>
    <w:rsid w:val="00DD6F77"/>
    <w:rsid w:val="00DE09D7"/>
    <w:rsid w:val="00DE1FA3"/>
    <w:rsid w:val="00DE4B34"/>
    <w:rsid w:val="00DE5148"/>
    <w:rsid w:val="00DF07D2"/>
    <w:rsid w:val="00DF0F42"/>
    <w:rsid w:val="00DF19B0"/>
    <w:rsid w:val="00DF268E"/>
    <w:rsid w:val="00DF42AD"/>
    <w:rsid w:val="00DF6B52"/>
    <w:rsid w:val="00E002C6"/>
    <w:rsid w:val="00E011AC"/>
    <w:rsid w:val="00E020A6"/>
    <w:rsid w:val="00E025CF"/>
    <w:rsid w:val="00E063DF"/>
    <w:rsid w:val="00E07F26"/>
    <w:rsid w:val="00E1019C"/>
    <w:rsid w:val="00E10BEE"/>
    <w:rsid w:val="00E11487"/>
    <w:rsid w:val="00E129A7"/>
    <w:rsid w:val="00E13BFE"/>
    <w:rsid w:val="00E14CD5"/>
    <w:rsid w:val="00E14E01"/>
    <w:rsid w:val="00E154A8"/>
    <w:rsid w:val="00E15C48"/>
    <w:rsid w:val="00E16673"/>
    <w:rsid w:val="00E24F85"/>
    <w:rsid w:val="00E261F3"/>
    <w:rsid w:val="00E26652"/>
    <w:rsid w:val="00E26C20"/>
    <w:rsid w:val="00E279B5"/>
    <w:rsid w:val="00E30D8E"/>
    <w:rsid w:val="00E322E2"/>
    <w:rsid w:val="00E32470"/>
    <w:rsid w:val="00E345C1"/>
    <w:rsid w:val="00E35CED"/>
    <w:rsid w:val="00E41375"/>
    <w:rsid w:val="00E41DD5"/>
    <w:rsid w:val="00E44BEB"/>
    <w:rsid w:val="00E465EA"/>
    <w:rsid w:val="00E46603"/>
    <w:rsid w:val="00E46B3C"/>
    <w:rsid w:val="00E46CBD"/>
    <w:rsid w:val="00E46ED7"/>
    <w:rsid w:val="00E50F04"/>
    <w:rsid w:val="00E51810"/>
    <w:rsid w:val="00E5321E"/>
    <w:rsid w:val="00E54B39"/>
    <w:rsid w:val="00E57A46"/>
    <w:rsid w:val="00E60EA7"/>
    <w:rsid w:val="00E62CF6"/>
    <w:rsid w:val="00E63839"/>
    <w:rsid w:val="00E63BE8"/>
    <w:rsid w:val="00E643A1"/>
    <w:rsid w:val="00E649BA"/>
    <w:rsid w:val="00E65864"/>
    <w:rsid w:val="00E6616A"/>
    <w:rsid w:val="00E705EA"/>
    <w:rsid w:val="00E70AB9"/>
    <w:rsid w:val="00E71B8A"/>
    <w:rsid w:val="00E7201F"/>
    <w:rsid w:val="00E7219C"/>
    <w:rsid w:val="00E72A67"/>
    <w:rsid w:val="00E76D13"/>
    <w:rsid w:val="00E76D1D"/>
    <w:rsid w:val="00E77399"/>
    <w:rsid w:val="00E77B0E"/>
    <w:rsid w:val="00E8175A"/>
    <w:rsid w:val="00E846EC"/>
    <w:rsid w:val="00E857E4"/>
    <w:rsid w:val="00E8615D"/>
    <w:rsid w:val="00E868C3"/>
    <w:rsid w:val="00E91570"/>
    <w:rsid w:val="00E95715"/>
    <w:rsid w:val="00E95FAB"/>
    <w:rsid w:val="00E961EC"/>
    <w:rsid w:val="00EA0C7C"/>
    <w:rsid w:val="00EA15C5"/>
    <w:rsid w:val="00EA2F85"/>
    <w:rsid w:val="00EA3128"/>
    <w:rsid w:val="00EA508B"/>
    <w:rsid w:val="00EB307F"/>
    <w:rsid w:val="00EB4B13"/>
    <w:rsid w:val="00EB5860"/>
    <w:rsid w:val="00EB622D"/>
    <w:rsid w:val="00EB67C7"/>
    <w:rsid w:val="00EB7AA6"/>
    <w:rsid w:val="00EC0BB5"/>
    <w:rsid w:val="00EC2AF1"/>
    <w:rsid w:val="00EC484C"/>
    <w:rsid w:val="00EC7469"/>
    <w:rsid w:val="00EC7B4A"/>
    <w:rsid w:val="00ED11A4"/>
    <w:rsid w:val="00ED188D"/>
    <w:rsid w:val="00ED1928"/>
    <w:rsid w:val="00ED3D99"/>
    <w:rsid w:val="00ED4E41"/>
    <w:rsid w:val="00ED65C7"/>
    <w:rsid w:val="00ED7F03"/>
    <w:rsid w:val="00EE11EC"/>
    <w:rsid w:val="00EE2923"/>
    <w:rsid w:val="00EE297B"/>
    <w:rsid w:val="00EE3924"/>
    <w:rsid w:val="00EE3BD8"/>
    <w:rsid w:val="00EE3BEC"/>
    <w:rsid w:val="00EE5EC1"/>
    <w:rsid w:val="00EE74B3"/>
    <w:rsid w:val="00EE7AAC"/>
    <w:rsid w:val="00EF1771"/>
    <w:rsid w:val="00EF177A"/>
    <w:rsid w:val="00EF183E"/>
    <w:rsid w:val="00EF1F06"/>
    <w:rsid w:val="00EF6892"/>
    <w:rsid w:val="00EF6D8C"/>
    <w:rsid w:val="00F01513"/>
    <w:rsid w:val="00F01885"/>
    <w:rsid w:val="00F019A5"/>
    <w:rsid w:val="00F031B3"/>
    <w:rsid w:val="00F03582"/>
    <w:rsid w:val="00F03E4F"/>
    <w:rsid w:val="00F0437A"/>
    <w:rsid w:val="00F0573C"/>
    <w:rsid w:val="00F05A13"/>
    <w:rsid w:val="00F11F3C"/>
    <w:rsid w:val="00F12830"/>
    <w:rsid w:val="00F12BF8"/>
    <w:rsid w:val="00F1567E"/>
    <w:rsid w:val="00F16264"/>
    <w:rsid w:val="00F172E4"/>
    <w:rsid w:val="00F2292E"/>
    <w:rsid w:val="00F25FD7"/>
    <w:rsid w:val="00F271E3"/>
    <w:rsid w:val="00F30134"/>
    <w:rsid w:val="00F32640"/>
    <w:rsid w:val="00F32899"/>
    <w:rsid w:val="00F36004"/>
    <w:rsid w:val="00F36517"/>
    <w:rsid w:val="00F36D89"/>
    <w:rsid w:val="00F371CB"/>
    <w:rsid w:val="00F37E4E"/>
    <w:rsid w:val="00F41724"/>
    <w:rsid w:val="00F425DF"/>
    <w:rsid w:val="00F42778"/>
    <w:rsid w:val="00F4281D"/>
    <w:rsid w:val="00F4397A"/>
    <w:rsid w:val="00F43C8B"/>
    <w:rsid w:val="00F4405A"/>
    <w:rsid w:val="00F449C5"/>
    <w:rsid w:val="00F45742"/>
    <w:rsid w:val="00F46832"/>
    <w:rsid w:val="00F50CE0"/>
    <w:rsid w:val="00F5122D"/>
    <w:rsid w:val="00F5175E"/>
    <w:rsid w:val="00F53173"/>
    <w:rsid w:val="00F54FB1"/>
    <w:rsid w:val="00F55D4F"/>
    <w:rsid w:val="00F55DA8"/>
    <w:rsid w:val="00F562EC"/>
    <w:rsid w:val="00F56AC8"/>
    <w:rsid w:val="00F574DE"/>
    <w:rsid w:val="00F613D9"/>
    <w:rsid w:val="00F6411C"/>
    <w:rsid w:val="00F647D0"/>
    <w:rsid w:val="00F64E85"/>
    <w:rsid w:val="00F65131"/>
    <w:rsid w:val="00F65ABD"/>
    <w:rsid w:val="00F66CDF"/>
    <w:rsid w:val="00F67C9B"/>
    <w:rsid w:val="00F707D3"/>
    <w:rsid w:val="00F74EFC"/>
    <w:rsid w:val="00F76C86"/>
    <w:rsid w:val="00F77FB4"/>
    <w:rsid w:val="00F80014"/>
    <w:rsid w:val="00F80053"/>
    <w:rsid w:val="00F80988"/>
    <w:rsid w:val="00F84693"/>
    <w:rsid w:val="00F8490C"/>
    <w:rsid w:val="00F85495"/>
    <w:rsid w:val="00F85A24"/>
    <w:rsid w:val="00F924F0"/>
    <w:rsid w:val="00F927EE"/>
    <w:rsid w:val="00F92F1B"/>
    <w:rsid w:val="00F940B6"/>
    <w:rsid w:val="00F96BE0"/>
    <w:rsid w:val="00F96E63"/>
    <w:rsid w:val="00F97054"/>
    <w:rsid w:val="00F9795F"/>
    <w:rsid w:val="00F9797D"/>
    <w:rsid w:val="00FA0C42"/>
    <w:rsid w:val="00FA45A6"/>
    <w:rsid w:val="00FA61C6"/>
    <w:rsid w:val="00FA72CD"/>
    <w:rsid w:val="00FA7E14"/>
    <w:rsid w:val="00FB1BCF"/>
    <w:rsid w:val="00FB2046"/>
    <w:rsid w:val="00FB2F95"/>
    <w:rsid w:val="00FB39C0"/>
    <w:rsid w:val="00FB3ACB"/>
    <w:rsid w:val="00FB4195"/>
    <w:rsid w:val="00FB4881"/>
    <w:rsid w:val="00FB650D"/>
    <w:rsid w:val="00FB6D73"/>
    <w:rsid w:val="00FB7EC2"/>
    <w:rsid w:val="00FC0F75"/>
    <w:rsid w:val="00FC2263"/>
    <w:rsid w:val="00FC26F3"/>
    <w:rsid w:val="00FC3E76"/>
    <w:rsid w:val="00FC758D"/>
    <w:rsid w:val="00FC7787"/>
    <w:rsid w:val="00FD1BDC"/>
    <w:rsid w:val="00FD247F"/>
    <w:rsid w:val="00FD5453"/>
    <w:rsid w:val="00FD7E23"/>
    <w:rsid w:val="00FE05C2"/>
    <w:rsid w:val="00FE2111"/>
    <w:rsid w:val="00FE23E8"/>
    <w:rsid w:val="00FE297E"/>
    <w:rsid w:val="00FE45E3"/>
    <w:rsid w:val="00FE7D94"/>
    <w:rsid w:val="00FF3CFA"/>
    <w:rsid w:val="00FF51A2"/>
    <w:rsid w:val="00FF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240"/>
      <w:jc w:val="both"/>
    </w:pPr>
    <w:rPr>
      <w:rFonts w:ascii="Book Antiqua" w:hAnsi="Book Antiqua"/>
      <w:sz w:val="22"/>
    </w:rPr>
  </w:style>
  <w:style w:type="paragraph" w:styleId="Heading1">
    <w:name w:val="heading 1"/>
    <w:basedOn w:val="Normal"/>
    <w:next w:val="Normal"/>
    <w:qFormat/>
    <w:pPr>
      <w:keepNext/>
      <w:numPr>
        <w:numId w:val="1"/>
      </w:numPr>
      <w:tabs>
        <w:tab w:val="left" w:pos="360"/>
      </w:tabs>
      <w:spacing w:before="120"/>
      <w:outlineLvl w:val="0"/>
    </w:pPr>
    <w:rPr>
      <w:b/>
      <w:sz w:val="28"/>
    </w:rPr>
  </w:style>
  <w:style w:type="paragraph" w:styleId="Heading2">
    <w:name w:val="heading 2"/>
    <w:basedOn w:val="Normal"/>
    <w:next w:val="Normal"/>
    <w:qFormat/>
    <w:pPr>
      <w:keepNext/>
      <w:numPr>
        <w:ilvl w:val="1"/>
        <w:numId w:val="1"/>
      </w:numPr>
      <w:spacing w:before="120"/>
      <w:outlineLvl w:val="1"/>
    </w:pPr>
    <w:rPr>
      <w:b/>
    </w:rPr>
  </w:style>
  <w:style w:type="paragraph" w:styleId="Heading3">
    <w:name w:val="heading 3"/>
    <w:basedOn w:val="Normal"/>
    <w:next w:val="Normal"/>
    <w:link w:val="Heading3Char"/>
    <w:qFormat/>
    <w:pPr>
      <w:keepNext/>
      <w:numPr>
        <w:ilvl w:val="2"/>
        <w:numId w:val="1"/>
      </w:numPr>
      <w:tabs>
        <w:tab w:val="clear" w:pos="900"/>
        <w:tab w:val="num" w:pos="720"/>
      </w:tabs>
      <w:spacing w:before="120"/>
      <w:ind w:left="720"/>
      <w:outlineLvl w:val="2"/>
    </w:pPr>
    <w:rPr>
      <w:b/>
    </w:rPr>
  </w:style>
  <w:style w:type="paragraph" w:styleId="Heading4">
    <w:name w:val="heading 4"/>
    <w:basedOn w:val="Normal"/>
    <w:next w:val="Normal"/>
    <w:qFormat/>
    <w:pPr>
      <w:keepNext/>
      <w:numPr>
        <w:ilvl w:val="3"/>
        <w:numId w:val="1"/>
      </w:numPr>
      <w:spacing w:before="120" w:after="120"/>
      <w:outlineLvl w:val="3"/>
    </w:pPr>
    <w:rPr>
      <w:b/>
    </w:r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ectionHead">
    <w:name w:val="1SectionHead"/>
    <w:basedOn w:val="Normal"/>
    <w:next w:val="Normal"/>
    <w:pPr>
      <w:spacing w:before="360"/>
    </w:pPr>
    <w:rPr>
      <w:b/>
      <w:sz w:val="36"/>
    </w:rPr>
  </w:style>
  <w:style w:type="paragraph" w:customStyle="1" w:styleId="2SubSectionHead">
    <w:name w:val="2SubSectionHead"/>
    <w:basedOn w:val="Normal"/>
    <w:next w:val="Normal"/>
    <w:pPr>
      <w:spacing w:before="240"/>
    </w:pPr>
    <w:rPr>
      <w:b/>
      <w:sz w:val="32"/>
    </w:rPr>
  </w:style>
  <w:style w:type="paragraph" w:customStyle="1" w:styleId="3ParaHead">
    <w:name w:val="3ParaHead"/>
    <w:basedOn w:val="Normal"/>
    <w:next w:val="Normal"/>
    <w:pPr>
      <w:spacing w:before="120"/>
    </w:pPr>
    <w:rPr>
      <w:b/>
      <w:sz w:val="28"/>
    </w:rPr>
  </w:style>
  <w:style w:type="paragraph" w:customStyle="1" w:styleId="4SubPara">
    <w:name w:val="4SubPara"/>
    <w:basedOn w:val="Normal"/>
    <w:next w:val="Normal"/>
    <w:pPr>
      <w:spacing w:before="120"/>
    </w:pPr>
    <w:rPr>
      <w:b/>
    </w:rPr>
  </w:style>
  <w:style w:type="character" w:styleId="FootnoteReference">
    <w:name w:val="footnote reference"/>
    <w:aliases w:val="(NECG) Footnote Reference"/>
    <w:semiHidden/>
    <w:rPr>
      <w:rFonts w:ascii="Book Antiqua" w:hAnsi="Book Antiqua"/>
      <w:vertAlign w:val="superscript"/>
    </w:rPr>
  </w:style>
  <w:style w:type="paragraph" w:styleId="FootnoteText">
    <w:name w:val="footnote text"/>
    <w:aliases w:val="(NECG) Footnote Text,ALTS FOOTNOTE,AR Footnote Text"/>
    <w:basedOn w:val="Normal"/>
    <w:semiHidden/>
    <w:pPr>
      <w:ind w:left="720" w:hanging="720"/>
    </w:pPr>
    <w:rPr>
      <w:sz w:val="18"/>
    </w:rPr>
  </w:style>
  <w:style w:type="character" w:customStyle="1" w:styleId="Large">
    <w:name w:val="Large"/>
    <w:rPr>
      <w:sz w:val="32"/>
    </w:rPr>
  </w:style>
  <w:style w:type="character" w:customStyle="1" w:styleId="Small">
    <w:name w:val="Small"/>
    <w:rPr>
      <w:sz w:val="20"/>
    </w:rPr>
  </w:style>
  <w:style w:type="character" w:customStyle="1" w:styleId="Verylarge">
    <w:name w:val="Very large"/>
    <w:rPr>
      <w:sz w:val="36"/>
    </w:rPr>
  </w:style>
  <w:style w:type="paragraph" w:customStyle="1" w:styleId="Coverpage">
    <w:name w:val="Cover page"/>
    <w:basedOn w:val="Normal"/>
    <w:pPr>
      <w:spacing w:before="9360"/>
      <w:ind w:left="1440" w:right="1440"/>
      <w:jc w:val="center"/>
    </w:pPr>
    <w:rPr>
      <w:b/>
      <w:sz w:val="36"/>
    </w:rPr>
  </w:style>
  <w:style w:type="character" w:styleId="PageNumber">
    <w:name w:val="page number"/>
    <w:basedOn w:val="DefaultParagraphFont"/>
  </w:style>
  <w:style w:type="paragraph" w:styleId="ListBullet">
    <w:name w:val="List Bullet"/>
    <w:basedOn w:val="Normal"/>
    <w:autoRedefine/>
    <w:pPr>
      <w:tabs>
        <w:tab w:val="left" w:pos="720"/>
      </w:tabs>
      <w:ind w:left="1440" w:hanging="720"/>
    </w:pPr>
  </w:style>
  <w:style w:type="paragraph" w:styleId="ListBullet2">
    <w:name w:val="List Bullet 2"/>
    <w:basedOn w:val="Normal"/>
    <w:autoRedefine/>
    <w:pPr>
      <w:tabs>
        <w:tab w:val="left" w:pos="720"/>
        <w:tab w:val="left" w:pos="2160"/>
      </w:tabs>
      <w:ind w:left="2160" w:hanging="720"/>
    </w:pPr>
  </w:style>
  <w:style w:type="paragraph" w:styleId="Footer">
    <w:name w:val="footer"/>
    <w:basedOn w:val="Normal"/>
    <w:pPr>
      <w:tabs>
        <w:tab w:val="center" w:pos="4680"/>
        <w:tab w:val="right" w:pos="9360"/>
      </w:tabs>
      <w:spacing w:after="0"/>
    </w:pPr>
    <w:rPr>
      <w:sz w:val="18"/>
    </w:rPr>
  </w:style>
  <w:style w:type="paragraph" w:styleId="Caption">
    <w:name w:val="caption"/>
    <w:aliases w:val="Figure/Table Caption,Figure/Table Caption + Before:  0 pt,Box: (Singl...,..."/>
    <w:basedOn w:val="Normal"/>
    <w:next w:val="Normal"/>
    <w:qFormat/>
    <w:pPr>
      <w:tabs>
        <w:tab w:val="center" w:pos="4320"/>
        <w:tab w:val="right" w:pos="8640"/>
      </w:tabs>
      <w:spacing w:before="120"/>
    </w:pPr>
    <w:rPr>
      <w:b/>
      <w:spacing w:val="-2"/>
    </w:rPr>
  </w:style>
  <w:style w:type="paragraph" w:customStyle="1" w:styleId="FaxNormal">
    <w:name w:val="FaxNormal"/>
    <w:basedOn w:val="Normal"/>
    <w:pPr>
      <w:spacing w:after="0"/>
    </w:pPr>
  </w:style>
  <w:style w:type="paragraph" w:customStyle="1" w:styleId="Address">
    <w:name w:val="Address"/>
    <w:basedOn w:val="Normal"/>
    <w:pPr>
      <w:spacing w:after="0"/>
    </w:pPr>
    <w:rPr>
      <w:spacing w:val="-3"/>
    </w:rPr>
  </w:style>
  <w:style w:type="paragraph" w:styleId="TOC1">
    <w:name w:val="toc 1"/>
    <w:basedOn w:val="Normal"/>
    <w:next w:val="Normal"/>
    <w:autoRedefine/>
    <w:semiHidden/>
    <w:pPr>
      <w:spacing w:before="120" w:after="120"/>
      <w:jc w:val="left"/>
    </w:pPr>
    <w:rPr>
      <w:rFonts w:ascii="Times New Roman" w:hAnsi="Times New Roman"/>
      <w:b/>
      <w:caps/>
      <w:sz w:val="20"/>
    </w:rPr>
  </w:style>
  <w:style w:type="paragraph" w:styleId="TOC2">
    <w:name w:val="toc 2"/>
    <w:basedOn w:val="Normal"/>
    <w:next w:val="Normal"/>
    <w:autoRedefine/>
    <w:semiHidden/>
    <w:pPr>
      <w:spacing w:after="0"/>
      <w:ind w:left="220"/>
      <w:jc w:val="left"/>
    </w:pPr>
    <w:rPr>
      <w:rFonts w:ascii="Times New Roman" w:hAnsi="Times New Roman"/>
      <w:smallCaps/>
      <w:sz w:val="20"/>
    </w:rPr>
  </w:style>
  <w:style w:type="paragraph" w:customStyle="1" w:styleId="Computertext">
    <w:name w:val="Computer text"/>
    <w:basedOn w:val="Normal"/>
    <w:pPr>
      <w:spacing w:after="0"/>
    </w:pPr>
    <w:rPr>
      <w:rFonts w:ascii="Courier New" w:hAnsi="Courier New"/>
    </w:rPr>
  </w:style>
  <w:style w:type="paragraph" w:customStyle="1" w:styleId="Computer">
    <w:name w:val="Computer"/>
    <w:basedOn w:val="Normal"/>
    <w:pPr>
      <w:spacing w:after="0"/>
      <w:ind w:left="720"/>
      <w:jc w:val="left"/>
    </w:pPr>
    <w:rPr>
      <w:rFonts w:ascii="Courier New" w:hAnsi="Courier New"/>
      <w:sz w:val="16"/>
    </w:rPr>
  </w:style>
  <w:style w:type="paragraph" w:styleId="TOC3">
    <w:name w:val="toc 3"/>
    <w:basedOn w:val="Normal"/>
    <w:next w:val="Normal"/>
    <w:autoRedefine/>
    <w:semiHidden/>
    <w:pPr>
      <w:tabs>
        <w:tab w:val="left" w:pos="900"/>
        <w:tab w:val="right" w:leader="dot" w:pos="9350"/>
      </w:tabs>
      <w:spacing w:after="0"/>
      <w:ind w:left="440"/>
      <w:jc w:val="left"/>
    </w:pPr>
    <w:rPr>
      <w:rFonts w:ascii="Times New Roman" w:hAnsi="Times New Roman"/>
      <w:i/>
      <w:noProof/>
      <w:sz w:val="20"/>
    </w:rPr>
  </w:style>
  <w:style w:type="paragraph" w:styleId="TableofFigures">
    <w:name w:val="table of figures"/>
    <w:basedOn w:val="Normal"/>
    <w:next w:val="Normal"/>
    <w:semiHidden/>
    <w:pPr>
      <w:spacing w:after="0"/>
      <w:ind w:left="440" w:hanging="440"/>
      <w:jc w:val="left"/>
    </w:pPr>
    <w:rPr>
      <w:smallCaps/>
      <w:sz w:val="20"/>
    </w:rPr>
  </w:style>
  <w:style w:type="paragraph" w:styleId="TOC4">
    <w:name w:val="toc 4"/>
    <w:basedOn w:val="Normal"/>
    <w:next w:val="Normal"/>
    <w:autoRedefine/>
    <w:semiHidden/>
    <w:pPr>
      <w:spacing w:after="0"/>
      <w:ind w:left="660"/>
      <w:jc w:val="left"/>
    </w:pPr>
    <w:rPr>
      <w:rFonts w:ascii="Times New Roman" w:hAnsi="Times New Roman"/>
      <w:sz w:val="18"/>
    </w:rPr>
  </w:style>
  <w:style w:type="paragraph" w:customStyle="1" w:styleId="3SubPara">
    <w:name w:val="3SubPara"/>
    <w:basedOn w:val="Normal"/>
    <w:next w:val="Normal"/>
    <w:pPr>
      <w:spacing w:before="120"/>
    </w:pPr>
    <w:rPr>
      <w:b/>
      <w:sz w:val="28"/>
    </w:rPr>
  </w:style>
  <w:style w:type="paragraph" w:styleId="BodyText">
    <w:name w:val="Body Text"/>
    <w:basedOn w:val="Normal"/>
    <w:pPr>
      <w:spacing w:after="120"/>
    </w:pPr>
  </w:style>
  <w:style w:type="paragraph" w:styleId="Header">
    <w:name w:val="header"/>
    <w:basedOn w:val="Normal"/>
    <w:rPr>
      <w:b/>
      <w:i/>
      <w:sz w:val="20"/>
    </w:rPr>
  </w:style>
  <w:style w:type="paragraph" w:styleId="ListContinue">
    <w:name w:val="List Continue"/>
    <w:basedOn w:val="Normal"/>
    <w:pPr>
      <w:spacing w:after="120"/>
      <w:ind w:left="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uppressAutoHyphens/>
      <w:spacing w:after="60"/>
    </w:pPr>
    <w:rPr>
      <w:rFonts w:ascii="Helvetica" w:hAnsi="Helvetica"/>
      <w:spacing w:val="-2"/>
      <w:lang w:val="en-GB"/>
    </w:rPr>
  </w:style>
  <w:style w:type="paragraph" w:customStyle="1" w:styleId="NormalHanging">
    <w:name w:val="Normal Hanging"/>
    <w:basedOn w:val="Normal"/>
    <w:pPr>
      <w:ind w:left="720" w:hanging="720"/>
    </w:pPr>
  </w:style>
  <w:style w:type="paragraph" w:styleId="NormalIndent">
    <w:name w:val="Normal Indent"/>
    <w:basedOn w:val="Normal"/>
    <w:pPr>
      <w:ind w:left="720"/>
    </w:pPr>
  </w:style>
  <w:style w:type="paragraph" w:styleId="Subtitle">
    <w:name w:val="Subtitle"/>
    <w:basedOn w:val="Normal"/>
    <w:qFormat/>
    <w:pPr>
      <w:spacing w:after="120"/>
      <w:jc w:val="center"/>
    </w:pPr>
    <w:rPr>
      <w:b/>
      <w:sz w:val="24"/>
    </w:rPr>
  </w:style>
  <w:style w:type="paragraph" w:customStyle="1" w:styleId="Table">
    <w:name w:val="Table"/>
    <w:basedOn w:val="Normal"/>
    <w:pPr>
      <w:spacing w:before="60" w:after="60"/>
    </w:pPr>
    <w:rPr>
      <w:sz w:val="18"/>
    </w:rPr>
  </w:style>
  <w:style w:type="paragraph" w:customStyle="1" w:styleId="TableFootnote">
    <w:name w:val="Table Footnote"/>
    <w:basedOn w:val="Normal"/>
    <w:pPr>
      <w:spacing w:before="240" w:after="120"/>
    </w:pPr>
    <w:rPr>
      <w:sz w:val="16"/>
    </w:rPr>
  </w:style>
  <w:style w:type="paragraph" w:customStyle="1" w:styleId="TableSub-Title">
    <w:name w:val="Table Sub-Title"/>
    <w:basedOn w:val="Normal"/>
    <w:pPr>
      <w:spacing w:before="240" w:after="120"/>
    </w:pPr>
    <w:rPr>
      <w:b/>
      <w:i/>
      <w:sz w:val="20"/>
    </w:rPr>
  </w:style>
  <w:style w:type="paragraph" w:customStyle="1" w:styleId="TableText">
    <w:name w:val="Table Text"/>
    <w:basedOn w:val="Normal"/>
    <w:pPr>
      <w:spacing w:before="60" w:after="60"/>
    </w:pPr>
    <w:rPr>
      <w:sz w:val="20"/>
    </w:rPr>
  </w:style>
  <w:style w:type="paragraph" w:customStyle="1" w:styleId="TableTitle">
    <w:name w:val="Table Title"/>
    <w:basedOn w:val="Normal"/>
    <w:pPr>
      <w:spacing w:before="240"/>
      <w:jc w:val="center"/>
    </w:pPr>
    <w:rPr>
      <w:b/>
    </w:rPr>
  </w:style>
  <w:style w:type="paragraph" w:styleId="Title">
    <w:name w:val="Title"/>
    <w:basedOn w:val="Normal"/>
    <w:qFormat/>
    <w:pPr>
      <w:jc w:val="center"/>
    </w:pPr>
    <w:rPr>
      <w:b/>
      <w:sz w:val="32"/>
    </w:rPr>
  </w:style>
  <w:style w:type="paragraph" w:styleId="TOAHeading">
    <w:name w:val="toa heading"/>
    <w:basedOn w:val="Normal"/>
    <w:next w:val="Normal"/>
    <w:semiHidden/>
    <w:pPr>
      <w:spacing w:before="360" w:after="120"/>
      <w:ind w:left="720" w:hanging="720"/>
    </w:pPr>
    <w:rPr>
      <w:b/>
      <w:sz w:val="24"/>
    </w:rPr>
  </w:style>
  <w:style w:type="paragraph" w:styleId="TOC5">
    <w:name w:val="toc 5"/>
    <w:basedOn w:val="Normal"/>
    <w:next w:val="Normal"/>
    <w:autoRedefine/>
    <w:semiHidden/>
    <w:pPr>
      <w:spacing w:after="0"/>
      <w:ind w:left="880"/>
      <w:jc w:val="left"/>
    </w:pPr>
    <w:rPr>
      <w:rFonts w:ascii="Times New Roman" w:hAnsi="Times New Roman"/>
      <w:sz w:val="18"/>
    </w:rPr>
  </w:style>
  <w:style w:type="paragraph" w:styleId="TOC6">
    <w:name w:val="toc 6"/>
    <w:basedOn w:val="Normal"/>
    <w:next w:val="Normal"/>
    <w:autoRedefine/>
    <w:semiHidden/>
    <w:pPr>
      <w:spacing w:after="0"/>
      <w:ind w:left="1100"/>
      <w:jc w:val="left"/>
    </w:pPr>
    <w:rPr>
      <w:rFonts w:ascii="Times New Roman" w:hAnsi="Times New Roman"/>
      <w:sz w:val="18"/>
    </w:rPr>
  </w:style>
  <w:style w:type="paragraph" w:styleId="TOC7">
    <w:name w:val="toc 7"/>
    <w:basedOn w:val="Normal"/>
    <w:next w:val="Normal"/>
    <w:autoRedefine/>
    <w:semiHidden/>
    <w:pPr>
      <w:spacing w:after="0"/>
      <w:ind w:left="1320"/>
      <w:jc w:val="left"/>
    </w:pPr>
    <w:rPr>
      <w:rFonts w:ascii="Times New Roman" w:hAnsi="Times New Roman"/>
      <w:sz w:val="18"/>
    </w:rPr>
  </w:style>
  <w:style w:type="paragraph" w:styleId="TOC8">
    <w:name w:val="toc 8"/>
    <w:basedOn w:val="Normal"/>
    <w:next w:val="Normal"/>
    <w:autoRedefine/>
    <w:semiHidden/>
    <w:pPr>
      <w:spacing w:after="0"/>
      <w:ind w:left="1540"/>
      <w:jc w:val="left"/>
    </w:pPr>
    <w:rPr>
      <w:rFonts w:ascii="Times New Roman" w:hAnsi="Times New Roman"/>
      <w:sz w:val="18"/>
    </w:rPr>
  </w:style>
  <w:style w:type="paragraph" w:styleId="TOC9">
    <w:name w:val="toc 9"/>
    <w:basedOn w:val="Normal"/>
    <w:next w:val="Normal"/>
    <w:autoRedefine/>
    <w:semiHidden/>
    <w:pPr>
      <w:spacing w:after="0"/>
      <w:ind w:left="1760"/>
      <w:jc w:val="left"/>
    </w:pPr>
    <w:rPr>
      <w:rFonts w:ascii="Times New Roman" w:hAnsi="Times New Roman"/>
      <w:sz w:val="18"/>
    </w:rPr>
  </w:style>
  <w:style w:type="paragraph" w:customStyle="1" w:styleId="TOCA">
    <w:name w:val="TOC A"/>
    <w:basedOn w:val="Normal"/>
    <w:pPr>
      <w:tabs>
        <w:tab w:val="left" w:pos="720"/>
        <w:tab w:val="right" w:leader="dot" w:pos="8669"/>
      </w:tabs>
      <w:spacing w:before="240" w:after="0"/>
      <w:ind w:right="720"/>
      <w:jc w:val="left"/>
    </w:pPr>
  </w:style>
  <w:style w:type="paragraph" w:styleId="BodyTextIndent">
    <w:name w:val="Body Text Indent"/>
    <w:basedOn w:val="Normal"/>
    <w:pPr>
      <w:spacing w:after="60"/>
      <w:jc w:val="left"/>
    </w:pPr>
    <w:rPr>
      <w:b/>
      <w:i/>
    </w:rPr>
  </w:style>
  <w:style w:type="paragraph" w:styleId="BodyText3">
    <w:name w:val="Body Text 3"/>
    <w:basedOn w:val="Normal"/>
    <w:rPr>
      <w:b/>
      <w:i/>
      <w:sz w:val="28"/>
    </w:rPr>
  </w:style>
  <w:style w:type="paragraph" w:styleId="BlockText">
    <w:name w:val="Block Text"/>
    <w:basedOn w:val="Normal"/>
    <w:pPr>
      <w:suppressAutoHyphens w:val="0"/>
      <w:spacing w:after="0"/>
      <w:ind w:left="1440" w:right="810"/>
    </w:pPr>
  </w:style>
  <w:style w:type="paragraph" w:styleId="BodyTextIndent2">
    <w:name w:val="Body Text Indent 2"/>
    <w:basedOn w:val="Normal"/>
    <w:pPr>
      <w:suppressAutoHyphens w:val="0"/>
      <w:spacing w:after="0"/>
      <w:ind w:left="810"/>
      <w:jc w:val="left"/>
    </w:pPr>
  </w:style>
  <w:style w:type="character" w:styleId="Hyperlink">
    <w:name w:val="Hyperlink"/>
    <w:rPr>
      <w:color w:val="0000FF"/>
      <w:u w:val="single"/>
    </w:rPr>
  </w:style>
  <w:style w:type="paragraph" w:styleId="BodyTextIndent3">
    <w:name w:val="Body Text Indent 3"/>
    <w:basedOn w:val="Normal"/>
    <w:pPr>
      <w:suppressAutoHyphens w:val="0"/>
      <w:spacing w:after="0"/>
      <w:ind w:left="720"/>
    </w:pPr>
  </w:style>
  <w:style w:type="paragraph" w:styleId="BodyText2">
    <w:name w:val="Body Text 2"/>
    <w:basedOn w:val="Normal"/>
    <w:pPr>
      <w:spacing w:after="60"/>
    </w:pPr>
    <w:rPr>
      <w:b/>
      <w:i/>
      <w:sz w:val="18"/>
    </w:rPr>
  </w:style>
  <w:style w:type="paragraph" w:customStyle="1" w:styleId="PCDOCSfooter">
    <w:name w:val="PCDOCSfooter"/>
    <w:basedOn w:val="Normal"/>
    <w:pPr>
      <w:suppressAutoHyphens w:val="0"/>
      <w:spacing w:after="0" w:line="240" w:lineRule="atLeast"/>
      <w:jc w:val="left"/>
    </w:pPr>
    <w:rPr>
      <w:rFonts w:ascii="Times New Roman" w:hAnsi="Times New Roman"/>
      <w:color w:val="000000"/>
      <w:sz w:val="14"/>
    </w:rPr>
  </w:style>
  <w:style w:type="paragraph" w:customStyle="1" w:styleId="PCDOCSFirstfooter">
    <w:name w:val="PCDOCSFirstfooter"/>
    <w:basedOn w:val="PCDOCSfooter"/>
  </w:style>
  <w:style w:type="paragraph" w:styleId="DocumentMap">
    <w:name w:val="Document Map"/>
    <w:basedOn w:val="Normal"/>
    <w:semiHidden/>
    <w:pPr>
      <w:shd w:val="clear" w:color="auto" w:fill="000080"/>
    </w:pPr>
    <w:rPr>
      <w:rFonts w:ascii="Tahoma" w:hAnsi="Tahoma"/>
    </w:rPr>
  </w:style>
  <w:style w:type="paragraph" w:customStyle="1" w:styleId="CPAddress">
    <w:name w:val="CPAddress"/>
    <w:basedOn w:val="Normal"/>
    <w:pPr>
      <w:suppressAutoHyphens w:val="0"/>
      <w:spacing w:before="480" w:after="480"/>
      <w:ind w:left="3960"/>
      <w:jc w:val="left"/>
    </w:pPr>
    <w:rPr>
      <w:rFonts w:ascii="Courier" w:hAnsi="Courier"/>
      <w:sz w:val="24"/>
    </w:rPr>
  </w:style>
  <w:style w:type="paragraph" w:customStyle="1" w:styleId="CPNormal">
    <w:name w:val="CPNormal"/>
    <w:basedOn w:val="Normal"/>
    <w:pPr>
      <w:suppressAutoHyphens w:val="0"/>
      <w:ind w:firstLine="1440"/>
      <w:jc w:val="left"/>
    </w:pPr>
    <w:rPr>
      <w:rFonts w:ascii="Courier" w:hAnsi="Courier"/>
      <w:sz w:val="24"/>
    </w:rPr>
  </w:style>
  <w:style w:type="paragraph" w:customStyle="1" w:styleId="CPNormal111">
    <w:name w:val="CPNormal1.1.1"/>
    <w:basedOn w:val="CPNormal"/>
    <w:rPr>
      <w:rFonts w:ascii="Times New Roman" w:hAnsi="Times New Roman"/>
      <w:sz w:val="26"/>
    </w:rPr>
  </w:style>
  <w:style w:type="character" w:styleId="FollowedHyperlink">
    <w:name w:val="FollowedHyperlink"/>
    <w:rPr>
      <w:color w:val="800080"/>
      <w:u w:val="single"/>
    </w:rPr>
  </w:style>
  <w:style w:type="paragraph" w:customStyle="1" w:styleId="MTListwIndentBullet">
    <w:name w:val="MTList w/Indent Bullet"/>
    <w:basedOn w:val="Normal"/>
    <w:pPr>
      <w:numPr>
        <w:numId w:val="5"/>
      </w:numPr>
      <w:suppressAutoHyphens w:val="0"/>
      <w:spacing w:after="120"/>
      <w:ind w:left="720"/>
      <w:jc w:val="left"/>
    </w:pPr>
    <w:rPr>
      <w:rFonts w:ascii="Times New Roman" w:hAnsi="Times New Roman"/>
      <w:lang w:val="en-CA"/>
    </w:rPr>
  </w:style>
  <w:style w:type="character" w:customStyle="1" w:styleId="Heading3Char">
    <w:name w:val="Heading 3 Char"/>
    <w:link w:val="Heading3"/>
    <w:rPr>
      <w:rFonts w:ascii="Book Antiqua" w:hAnsi="Book Antiqua"/>
      <w:b/>
      <w:sz w:val="22"/>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Book Antiqua" w:hAnsi="Book Antiqu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240"/>
      <w:jc w:val="both"/>
    </w:pPr>
    <w:rPr>
      <w:rFonts w:ascii="Book Antiqua" w:hAnsi="Book Antiqua"/>
      <w:sz w:val="22"/>
    </w:rPr>
  </w:style>
  <w:style w:type="paragraph" w:styleId="Heading1">
    <w:name w:val="heading 1"/>
    <w:basedOn w:val="Normal"/>
    <w:next w:val="Normal"/>
    <w:qFormat/>
    <w:pPr>
      <w:keepNext/>
      <w:numPr>
        <w:numId w:val="1"/>
      </w:numPr>
      <w:tabs>
        <w:tab w:val="left" w:pos="360"/>
      </w:tabs>
      <w:spacing w:before="120"/>
      <w:outlineLvl w:val="0"/>
    </w:pPr>
    <w:rPr>
      <w:b/>
      <w:sz w:val="28"/>
    </w:rPr>
  </w:style>
  <w:style w:type="paragraph" w:styleId="Heading2">
    <w:name w:val="heading 2"/>
    <w:basedOn w:val="Normal"/>
    <w:next w:val="Normal"/>
    <w:qFormat/>
    <w:pPr>
      <w:keepNext/>
      <w:numPr>
        <w:ilvl w:val="1"/>
        <w:numId w:val="1"/>
      </w:numPr>
      <w:spacing w:before="120"/>
      <w:outlineLvl w:val="1"/>
    </w:pPr>
    <w:rPr>
      <w:b/>
    </w:rPr>
  </w:style>
  <w:style w:type="paragraph" w:styleId="Heading3">
    <w:name w:val="heading 3"/>
    <w:basedOn w:val="Normal"/>
    <w:next w:val="Normal"/>
    <w:link w:val="Heading3Char"/>
    <w:qFormat/>
    <w:pPr>
      <w:keepNext/>
      <w:numPr>
        <w:ilvl w:val="2"/>
        <w:numId w:val="1"/>
      </w:numPr>
      <w:tabs>
        <w:tab w:val="clear" w:pos="900"/>
        <w:tab w:val="num" w:pos="720"/>
      </w:tabs>
      <w:spacing w:before="120"/>
      <w:ind w:left="720"/>
      <w:outlineLvl w:val="2"/>
    </w:pPr>
    <w:rPr>
      <w:b/>
    </w:rPr>
  </w:style>
  <w:style w:type="paragraph" w:styleId="Heading4">
    <w:name w:val="heading 4"/>
    <w:basedOn w:val="Normal"/>
    <w:next w:val="Normal"/>
    <w:qFormat/>
    <w:pPr>
      <w:keepNext/>
      <w:numPr>
        <w:ilvl w:val="3"/>
        <w:numId w:val="1"/>
      </w:numPr>
      <w:spacing w:before="120" w:after="120"/>
      <w:outlineLvl w:val="3"/>
    </w:pPr>
    <w:rPr>
      <w:b/>
    </w:r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ectionHead">
    <w:name w:val="1SectionHead"/>
    <w:basedOn w:val="Normal"/>
    <w:next w:val="Normal"/>
    <w:pPr>
      <w:spacing w:before="360"/>
    </w:pPr>
    <w:rPr>
      <w:b/>
      <w:sz w:val="36"/>
    </w:rPr>
  </w:style>
  <w:style w:type="paragraph" w:customStyle="1" w:styleId="2SubSectionHead">
    <w:name w:val="2SubSectionHead"/>
    <w:basedOn w:val="Normal"/>
    <w:next w:val="Normal"/>
    <w:pPr>
      <w:spacing w:before="240"/>
    </w:pPr>
    <w:rPr>
      <w:b/>
      <w:sz w:val="32"/>
    </w:rPr>
  </w:style>
  <w:style w:type="paragraph" w:customStyle="1" w:styleId="3ParaHead">
    <w:name w:val="3ParaHead"/>
    <w:basedOn w:val="Normal"/>
    <w:next w:val="Normal"/>
    <w:pPr>
      <w:spacing w:before="120"/>
    </w:pPr>
    <w:rPr>
      <w:b/>
      <w:sz w:val="28"/>
    </w:rPr>
  </w:style>
  <w:style w:type="paragraph" w:customStyle="1" w:styleId="4SubPara">
    <w:name w:val="4SubPara"/>
    <w:basedOn w:val="Normal"/>
    <w:next w:val="Normal"/>
    <w:pPr>
      <w:spacing w:before="120"/>
    </w:pPr>
    <w:rPr>
      <w:b/>
    </w:rPr>
  </w:style>
  <w:style w:type="character" w:styleId="FootnoteReference">
    <w:name w:val="footnote reference"/>
    <w:aliases w:val="(NECG) Footnote Reference"/>
    <w:semiHidden/>
    <w:rPr>
      <w:rFonts w:ascii="Book Antiqua" w:hAnsi="Book Antiqua"/>
      <w:vertAlign w:val="superscript"/>
    </w:rPr>
  </w:style>
  <w:style w:type="paragraph" w:styleId="FootnoteText">
    <w:name w:val="footnote text"/>
    <w:aliases w:val="(NECG) Footnote Text,ALTS FOOTNOTE,AR Footnote Text"/>
    <w:basedOn w:val="Normal"/>
    <w:semiHidden/>
    <w:pPr>
      <w:ind w:left="720" w:hanging="720"/>
    </w:pPr>
    <w:rPr>
      <w:sz w:val="18"/>
    </w:rPr>
  </w:style>
  <w:style w:type="character" w:customStyle="1" w:styleId="Large">
    <w:name w:val="Large"/>
    <w:rPr>
      <w:sz w:val="32"/>
    </w:rPr>
  </w:style>
  <w:style w:type="character" w:customStyle="1" w:styleId="Small">
    <w:name w:val="Small"/>
    <w:rPr>
      <w:sz w:val="20"/>
    </w:rPr>
  </w:style>
  <w:style w:type="character" w:customStyle="1" w:styleId="Verylarge">
    <w:name w:val="Very large"/>
    <w:rPr>
      <w:sz w:val="36"/>
    </w:rPr>
  </w:style>
  <w:style w:type="paragraph" w:customStyle="1" w:styleId="Coverpage">
    <w:name w:val="Cover page"/>
    <w:basedOn w:val="Normal"/>
    <w:pPr>
      <w:spacing w:before="9360"/>
      <w:ind w:left="1440" w:right="1440"/>
      <w:jc w:val="center"/>
    </w:pPr>
    <w:rPr>
      <w:b/>
      <w:sz w:val="36"/>
    </w:rPr>
  </w:style>
  <w:style w:type="character" w:styleId="PageNumber">
    <w:name w:val="page number"/>
    <w:basedOn w:val="DefaultParagraphFont"/>
  </w:style>
  <w:style w:type="paragraph" w:styleId="ListBullet">
    <w:name w:val="List Bullet"/>
    <w:basedOn w:val="Normal"/>
    <w:autoRedefine/>
    <w:pPr>
      <w:tabs>
        <w:tab w:val="left" w:pos="720"/>
      </w:tabs>
      <w:ind w:left="1440" w:hanging="720"/>
    </w:pPr>
  </w:style>
  <w:style w:type="paragraph" w:styleId="ListBullet2">
    <w:name w:val="List Bullet 2"/>
    <w:basedOn w:val="Normal"/>
    <w:autoRedefine/>
    <w:pPr>
      <w:tabs>
        <w:tab w:val="left" w:pos="720"/>
        <w:tab w:val="left" w:pos="2160"/>
      </w:tabs>
      <w:ind w:left="2160" w:hanging="720"/>
    </w:pPr>
  </w:style>
  <w:style w:type="paragraph" w:styleId="Footer">
    <w:name w:val="footer"/>
    <w:basedOn w:val="Normal"/>
    <w:pPr>
      <w:tabs>
        <w:tab w:val="center" w:pos="4680"/>
        <w:tab w:val="right" w:pos="9360"/>
      </w:tabs>
      <w:spacing w:after="0"/>
    </w:pPr>
    <w:rPr>
      <w:sz w:val="18"/>
    </w:rPr>
  </w:style>
  <w:style w:type="paragraph" w:styleId="Caption">
    <w:name w:val="caption"/>
    <w:aliases w:val="Figure/Table Caption,Figure/Table Caption + Before:  0 pt,Box: (Singl...,..."/>
    <w:basedOn w:val="Normal"/>
    <w:next w:val="Normal"/>
    <w:qFormat/>
    <w:pPr>
      <w:tabs>
        <w:tab w:val="center" w:pos="4320"/>
        <w:tab w:val="right" w:pos="8640"/>
      </w:tabs>
      <w:spacing w:before="120"/>
    </w:pPr>
    <w:rPr>
      <w:b/>
      <w:spacing w:val="-2"/>
    </w:rPr>
  </w:style>
  <w:style w:type="paragraph" w:customStyle="1" w:styleId="FaxNormal">
    <w:name w:val="FaxNormal"/>
    <w:basedOn w:val="Normal"/>
    <w:pPr>
      <w:spacing w:after="0"/>
    </w:pPr>
  </w:style>
  <w:style w:type="paragraph" w:customStyle="1" w:styleId="Address">
    <w:name w:val="Address"/>
    <w:basedOn w:val="Normal"/>
    <w:pPr>
      <w:spacing w:after="0"/>
    </w:pPr>
    <w:rPr>
      <w:spacing w:val="-3"/>
    </w:rPr>
  </w:style>
  <w:style w:type="paragraph" w:styleId="TOC1">
    <w:name w:val="toc 1"/>
    <w:basedOn w:val="Normal"/>
    <w:next w:val="Normal"/>
    <w:autoRedefine/>
    <w:semiHidden/>
    <w:pPr>
      <w:spacing w:before="120" w:after="120"/>
      <w:jc w:val="left"/>
    </w:pPr>
    <w:rPr>
      <w:rFonts w:ascii="Times New Roman" w:hAnsi="Times New Roman"/>
      <w:b/>
      <w:caps/>
      <w:sz w:val="20"/>
    </w:rPr>
  </w:style>
  <w:style w:type="paragraph" w:styleId="TOC2">
    <w:name w:val="toc 2"/>
    <w:basedOn w:val="Normal"/>
    <w:next w:val="Normal"/>
    <w:autoRedefine/>
    <w:semiHidden/>
    <w:pPr>
      <w:spacing w:after="0"/>
      <w:ind w:left="220"/>
      <w:jc w:val="left"/>
    </w:pPr>
    <w:rPr>
      <w:rFonts w:ascii="Times New Roman" w:hAnsi="Times New Roman"/>
      <w:smallCaps/>
      <w:sz w:val="20"/>
    </w:rPr>
  </w:style>
  <w:style w:type="paragraph" w:customStyle="1" w:styleId="Computertext">
    <w:name w:val="Computer text"/>
    <w:basedOn w:val="Normal"/>
    <w:pPr>
      <w:spacing w:after="0"/>
    </w:pPr>
    <w:rPr>
      <w:rFonts w:ascii="Courier New" w:hAnsi="Courier New"/>
    </w:rPr>
  </w:style>
  <w:style w:type="paragraph" w:customStyle="1" w:styleId="Computer">
    <w:name w:val="Computer"/>
    <w:basedOn w:val="Normal"/>
    <w:pPr>
      <w:spacing w:after="0"/>
      <w:ind w:left="720"/>
      <w:jc w:val="left"/>
    </w:pPr>
    <w:rPr>
      <w:rFonts w:ascii="Courier New" w:hAnsi="Courier New"/>
      <w:sz w:val="16"/>
    </w:rPr>
  </w:style>
  <w:style w:type="paragraph" w:styleId="TOC3">
    <w:name w:val="toc 3"/>
    <w:basedOn w:val="Normal"/>
    <w:next w:val="Normal"/>
    <w:autoRedefine/>
    <w:semiHidden/>
    <w:pPr>
      <w:tabs>
        <w:tab w:val="left" w:pos="900"/>
        <w:tab w:val="right" w:leader="dot" w:pos="9350"/>
      </w:tabs>
      <w:spacing w:after="0"/>
      <w:ind w:left="440"/>
      <w:jc w:val="left"/>
    </w:pPr>
    <w:rPr>
      <w:rFonts w:ascii="Times New Roman" w:hAnsi="Times New Roman"/>
      <w:i/>
      <w:noProof/>
      <w:sz w:val="20"/>
    </w:rPr>
  </w:style>
  <w:style w:type="paragraph" w:styleId="TableofFigures">
    <w:name w:val="table of figures"/>
    <w:basedOn w:val="Normal"/>
    <w:next w:val="Normal"/>
    <w:semiHidden/>
    <w:pPr>
      <w:spacing w:after="0"/>
      <w:ind w:left="440" w:hanging="440"/>
      <w:jc w:val="left"/>
    </w:pPr>
    <w:rPr>
      <w:smallCaps/>
      <w:sz w:val="20"/>
    </w:rPr>
  </w:style>
  <w:style w:type="paragraph" w:styleId="TOC4">
    <w:name w:val="toc 4"/>
    <w:basedOn w:val="Normal"/>
    <w:next w:val="Normal"/>
    <w:autoRedefine/>
    <w:semiHidden/>
    <w:pPr>
      <w:spacing w:after="0"/>
      <w:ind w:left="660"/>
      <w:jc w:val="left"/>
    </w:pPr>
    <w:rPr>
      <w:rFonts w:ascii="Times New Roman" w:hAnsi="Times New Roman"/>
      <w:sz w:val="18"/>
    </w:rPr>
  </w:style>
  <w:style w:type="paragraph" w:customStyle="1" w:styleId="3SubPara">
    <w:name w:val="3SubPara"/>
    <w:basedOn w:val="Normal"/>
    <w:next w:val="Normal"/>
    <w:pPr>
      <w:spacing w:before="120"/>
    </w:pPr>
    <w:rPr>
      <w:b/>
      <w:sz w:val="28"/>
    </w:rPr>
  </w:style>
  <w:style w:type="paragraph" w:styleId="BodyText">
    <w:name w:val="Body Text"/>
    <w:basedOn w:val="Normal"/>
    <w:pPr>
      <w:spacing w:after="120"/>
    </w:pPr>
  </w:style>
  <w:style w:type="paragraph" w:styleId="Header">
    <w:name w:val="header"/>
    <w:basedOn w:val="Normal"/>
    <w:rPr>
      <w:b/>
      <w:i/>
      <w:sz w:val="20"/>
    </w:rPr>
  </w:style>
  <w:style w:type="paragraph" w:styleId="ListContinue">
    <w:name w:val="List Continue"/>
    <w:basedOn w:val="Normal"/>
    <w:pPr>
      <w:spacing w:after="120"/>
      <w:ind w:left="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uppressAutoHyphens/>
      <w:spacing w:after="60"/>
    </w:pPr>
    <w:rPr>
      <w:rFonts w:ascii="Helvetica" w:hAnsi="Helvetica"/>
      <w:spacing w:val="-2"/>
      <w:lang w:val="en-GB"/>
    </w:rPr>
  </w:style>
  <w:style w:type="paragraph" w:customStyle="1" w:styleId="NormalHanging">
    <w:name w:val="Normal Hanging"/>
    <w:basedOn w:val="Normal"/>
    <w:pPr>
      <w:ind w:left="720" w:hanging="720"/>
    </w:pPr>
  </w:style>
  <w:style w:type="paragraph" w:styleId="NormalIndent">
    <w:name w:val="Normal Indent"/>
    <w:basedOn w:val="Normal"/>
    <w:pPr>
      <w:ind w:left="720"/>
    </w:pPr>
  </w:style>
  <w:style w:type="paragraph" w:styleId="Subtitle">
    <w:name w:val="Subtitle"/>
    <w:basedOn w:val="Normal"/>
    <w:qFormat/>
    <w:pPr>
      <w:spacing w:after="120"/>
      <w:jc w:val="center"/>
    </w:pPr>
    <w:rPr>
      <w:b/>
      <w:sz w:val="24"/>
    </w:rPr>
  </w:style>
  <w:style w:type="paragraph" w:customStyle="1" w:styleId="Table">
    <w:name w:val="Table"/>
    <w:basedOn w:val="Normal"/>
    <w:pPr>
      <w:spacing w:before="60" w:after="60"/>
    </w:pPr>
    <w:rPr>
      <w:sz w:val="18"/>
    </w:rPr>
  </w:style>
  <w:style w:type="paragraph" w:customStyle="1" w:styleId="TableFootnote">
    <w:name w:val="Table Footnote"/>
    <w:basedOn w:val="Normal"/>
    <w:pPr>
      <w:spacing w:before="240" w:after="120"/>
    </w:pPr>
    <w:rPr>
      <w:sz w:val="16"/>
    </w:rPr>
  </w:style>
  <w:style w:type="paragraph" w:customStyle="1" w:styleId="TableSub-Title">
    <w:name w:val="Table Sub-Title"/>
    <w:basedOn w:val="Normal"/>
    <w:pPr>
      <w:spacing w:before="240" w:after="120"/>
    </w:pPr>
    <w:rPr>
      <w:b/>
      <w:i/>
      <w:sz w:val="20"/>
    </w:rPr>
  </w:style>
  <w:style w:type="paragraph" w:customStyle="1" w:styleId="TableText">
    <w:name w:val="Table Text"/>
    <w:basedOn w:val="Normal"/>
    <w:pPr>
      <w:spacing w:before="60" w:after="60"/>
    </w:pPr>
    <w:rPr>
      <w:sz w:val="20"/>
    </w:rPr>
  </w:style>
  <w:style w:type="paragraph" w:customStyle="1" w:styleId="TableTitle">
    <w:name w:val="Table Title"/>
    <w:basedOn w:val="Normal"/>
    <w:pPr>
      <w:spacing w:before="240"/>
      <w:jc w:val="center"/>
    </w:pPr>
    <w:rPr>
      <w:b/>
    </w:rPr>
  </w:style>
  <w:style w:type="paragraph" w:styleId="Title">
    <w:name w:val="Title"/>
    <w:basedOn w:val="Normal"/>
    <w:qFormat/>
    <w:pPr>
      <w:jc w:val="center"/>
    </w:pPr>
    <w:rPr>
      <w:b/>
      <w:sz w:val="32"/>
    </w:rPr>
  </w:style>
  <w:style w:type="paragraph" w:styleId="TOAHeading">
    <w:name w:val="toa heading"/>
    <w:basedOn w:val="Normal"/>
    <w:next w:val="Normal"/>
    <w:semiHidden/>
    <w:pPr>
      <w:spacing w:before="360" w:after="120"/>
      <w:ind w:left="720" w:hanging="720"/>
    </w:pPr>
    <w:rPr>
      <w:b/>
      <w:sz w:val="24"/>
    </w:rPr>
  </w:style>
  <w:style w:type="paragraph" w:styleId="TOC5">
    <w:name w:val="toc 5"/>
    <w:basedOn w:val="Normal"/>
    <w:next w:val="Normal"/>
    <w:autoRedefine/>
    <w:semiHidden/>
    <w:pPr>
      <w:spacing w:after="0"/>
      <w:ind w:left="880"/>
      <w:jc w:val="left"/>
    </w:pPr>
    <w:rPr>
      <w:rFonts w:ascii="Times New Roman" w:hAnsi="Times New Roman"/>
      <w:sz w:val="18"/>
    </w:rPr>
  </w:style>
  <w:style w:type="paragraph" w:styleId="TOC6">
    <w:name w:val="toc 6"/>
    <w:basedOn w:val="Normal"/>
    <w:next w:val="Normal"/>
    <w:autoRedefine/>
    <w:semiHidden/>
    <w:pPr>
      <w:spacing w:after="0"/>
      <w:ind w:left="1100"/>
      <w:jc w:val="left"/>
    </w:pPr>
    <w:rPr>
      <w:rFonts w:ascii="Times New Roman" w:hAnsi="Times New Roman"/>
      <w:sz w:val="18"/>
    </w:rPr>
  </w:style>
  <w:style w:type="paragraph" w:styleId="TOC7">
    <w:name w:val="toc 7"/>
    <w:basedOn w:val="Normal"/>
    <w:next w:val="Normal"/>
    <w:autoRedefine/>
    <w:semiHidden/>
    <w:pPr>
      <w:spacing w:after="0"/>
      <w:ind w:left="1320"/>
      <w:jc w:val="left"/>
    </w:pPr>
    <w:rPr>
      <w:rFonts w:ascii="Times New Roman" w:hAnsi="Times New Roman"/>
      <w:sz w:val="18"/>
    </w:rPr>
  </w:style>
  <w:style w:type="paragraph" w:styleId="TOC8">
    <w:name w:val="toc 8"/>
    <w:basedOn w:val="Normal"/>
    <w:next w:val="Normal"/>
    <w:autoRedefine/>
    <w:semiHidden/>
    <w:pPr>
      <w:spacing w:after="0"/>
      <w:ind w:left="1540"/>
      <w:jc w:val="left"/>
    </w:pPr>
    <w:rPr>
      <w:rFonts w:ascii="Times New Roman" w:hAnsi="Times New Roman"/>
      <w:sz w:val="18"/>
    </w:rPr>
  </w:style>
  <w:style w:type="paragraph" w:styleId="TOC9">
    <w:name w:val="toc 9"/>
    <w:basedOn w:val="Normal"/>
    <w:next w:val="Normal"/>
    <w:autoRedefine/>
    <w:semiHidden/>
    <w:pPr>
      <w:spacing w:after="0"/>
      <w:ind w:left="1760"/>
      <w:jc w:val="left"/>
    </w:pPr>
    <w:rPr>
      <w:rFonts w:ascii="Times New Roman" w:hAnsi="Times New Roman"/>
      <w:sz w:val="18"/>
    </w:rPr>
  </w:style>
  <w:style w:type="paragraph" w:customStyle="1" w:styleId="TOCA">
    <w:name w:val="TOC A"/>
    <w:basedOn w:val="Normal"/>
    <w:pPr>
      <w:tabs>
        <w:tab w:val="left" w:pos="720"/>
        <w:tab w:val="right" w:leader="dot" w:pos="8669"/>
      </w:tabs>
      <w:spacing w:before="240" w:after="0"/>
      <w:ind w:right="720"/>
      <w:jc w:val="left"/>
    </w:pPr>
  </w:style>
  <w:style w:type="paragraph" w:styleId="BodyTextIndent">
    <w:name w:val="Body Text Indent"/>
    <w:basedOn w:val="Normal"/>
    <w:pPr>
      <w:spacing w:after="60"/>
      <w:jc w:val="left"/>
    </w:pPr>
    <w:rPr>
      <w:b/>
      <w:i/>
    </w:rPr>
  </w:style>
  <w:style w:type="paragraph" w:styleId="BodyText3">
    <w:name w:val="Body Text 3"/>
    <w:basedOn w:val="Normal"/>
    <w:rPr>
      <w:b/>
      <w:i/>
      <w:sz w:val="28"/>
    </w:rPr>
  </w:style>
  <w:style w:type="paragraph" w:styleId="BlockText">
    <w:name w:val="Block Text"/>
    <w:basedOn w:val="Normal"/>
    <w:pPr>
      <w:suppressAutoHyphens w:val="0"/>
      <w:spacing w:after="0"/>
      <w:ind w:left="1440" w:right="810"/>
    </w:pPr>
  </w:style>
  <w:style w:type="paragraph" w:styleId="BodyTextIndent2">
    <w:name w:val="Body Text Indent 2"/>
    <w:basedOn w:val="Normal"/>
    <w:pPr>
      <w:suppressAutoHyphens w:val="0"/>
      <w:spacing w:after="0"/>
      <w:ind w:left="810"/>
      <w:jc w:val="left"/>
    </w:pPr>
  </w:style>
  <w:style w:type="character" w:styleId="Hyperlink">
    <w:name w:val="Hyperlink"/>
    <w:rPr>
      <w:color w:val="0000FF"/>
      <w:u w:val="single"/>
    </w:rPr>
  </w:style>
  <w:style w:type="paragraph" w:styleId="BodyTextIndent3">
    <w:name w:val="Body Text Indent 3"/>
    <w:basedOn w:val="Normal"/>
    <w:pPr>
      <w:suppressAutoHyphens w:val="0"/>
      <w:spacing w:after="0"/>
      <w:ind w:left="720"/>
    </w:pPr>
  </w:style>
  <w:style w:type="paragraph" w:styleId="BodyText2">
    <w:name w:val="Body Text 2"/>
    <w:basedOn w:val="Normal"/>
    <w:pPr>
      <w:spacing w:after="60"/>
    </w:pPr>
    <w:rPr>
      <w:b/>
      <w:i/>
      <w:sz w:val="18"/>
    </w:rPr>
  </w:style>
  <w:style w:type="paragraph" w:customStyle="1" w:styleId="PCDOCSfooter">
    <w:name w:val="PCDOCSfooter"/>
    <w:basedOn w:val="Normal"/>
    <w:pPr>
      <w:suppressAutoHyphens w:val="0"/>
      <w:spacing w:after="0" w:line="240" w:lineRule="atLeast"/>
      <w:jc w:val="left"/>
    </w:pPr>
    <w:rPr>
      <w:rFonts w:ascii="Times New Roman" w:hAnsi="Times New Roman"/>
      <w:color w:val="000000"/>
      <w:sz w:val="14"/>
    </w:rPr>
  </w:style>
  <w:style w:type="paragraph" w:customStyle="1" w:styleId="PCDOCSFirstfooter">
    <w:name w:val="PCDOCSFirstfooter"/>
    <w:basedOn w:val="PCDOCSfooter"/>
  </w:style>
  <w:style w:type="paragraph" w:styleId="DocumentMap">
    <w:name w:val="Document Map"/>
    <w:basedOn w:val="Normal"/>
    <w:semiHidden/>
    <w:pPr>
      <w:shd w:val="clear" w:color="auto" w:fill="000080"/>
    </w:pPr>
    <w:rPr>
      <w:rFonts w:ascii="Tahoma" w:hAnsi="Tahoma"/>
    </w:rPr>
  </w:style>
  <w:style w:type="paragraph" w:customStyle="1" w:styleId="CPAddress">
    <w:name w:val="CPAddress"/>
    <w:basedOn w:val="Normal"/>
    <w:pPr>
      <w:suppressAutoHyphens w:val="0"/>
      <w:spacing w:before="480" w:after="480"/>
      <w:ind w:left="3960"/>
      <w:jc w:val="left"/>
    </w:pPr>
    <w:rPr>
      <w:rFonts w:ascii="Courier" w:hAnsi="Courier"/>
      <w:sz w:val="24"/>
    </w:rPr>
  </w:style>
  <w:style w:type="paragraph" w:customStyle="1" w:styleId="CPNormal">
    <w:name w:val="CPNormal"/>
    <w:basedOn w:val="Normal"/>
    <w:pPr>
      <w:suppressAutoHyphens w:val="0"/>
      <w:ind w:firstLine="1440"/>
      <w:jc w:val="left"/>
    </w:pPr>
    <w:rPr>
      <w:rFonts w:ascii="Courier" w:hAnsi="Courier"/>
      <w:sz w:val="24"/>
    </w:rPr>
  </w:style>
  <w:style w:type="paragraph" w:customStyle="1" w:styleId="CPNormal111">
    <w:name w:val="CPNormal1.1.1"/>
    <w:basedOn w:val="CPNormal"/>
    <w:rPr>
      <w:rFonts w:ascii="Times New Roman" w:hAnsi="Times New Roman"/>
      <w:sz w:val="26"/>
    </w:rPr>
  </w:style>
  <w:style w:type="character" w:styleId="FollowedHyperlink">
    <w:name w:val="FollowedHyperlink"/>
    <w:rPr>
      <w:color w:val="800080"/>
      <w:u w:val="single"/>
    </w:rPr>
  </w:style>
  <w:style w:type="paragraph" w:customStyle="1" w:styleId="MTListwIndentBullet">
    <w:name w:val="MTList w/Indent Bullet"/>
    <w:basedOn w:val="Normal"/>
    <w:pPr>
      <w:numPr>
        <w:numId w:val="5"/>
      </w:numPr>
      <w:suppressAutoHyphens w:val="0"/>
      <w:spacing w:after="120"/>
      <w:ind w:left="720"/>
      <w:jc w:val="left"/>
    </w:pPr>
    <w:rPr>
      <w:rFonts w:ascii="Times New Roman" w:hAnsi="Times New Roman"/>
      <w:lang w:val="en-CA"/>
    </w:rPr>
  </w:style>
  <w:style w:type="character" w:customStyle="1" w:styleId="Heading3Char">
    <w:name w:val="Heading 3 Char"/>
    <w:link w:val="Heading3"/>
    <w:rPr>
      <w:rFonts w:ascii="Book Antiqua" w:hAnsi="Book Antiqua"/>
      <w:b/>
      <w:sz w:val="22"/>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ith.Huntington@main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ine.gov/mpuc/electricity/rfps/longterm2015/longterm2015.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C5009-1293-4048-9290-4B505676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3240</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Indicative description of asset valuation module for World Bank Power Markets training course</vt:lpstr>
    </vt:vector>
  </TitlesOfParts>
  <Company>London Economics, Inc.</Company>
  <LinksUpToDate>false</LinksUpToDate>
  <CharactersWithSpaces>21665</CharactersWithSpaces>
  <SharedDoc>false</SharedDoc>
  <HLinks>
    <vt:vector size="30" baseType="variant">
      <vt:variant>
        <vt:i4>7077890</vt:i4>
      </vt:variant>
      <vt:variant>
        <vt:i4>12</vt:i4>
      </vt:variant>
      <vt:variant>
        <vt:i4>0</vt:i4>
      </vt:variant>
      <vt:variant>
        <vt:i4>5</vt:i4>
      </vt:variant>
      <vt:variant>
        <vt:lpwstr>mailto:Faith.Huntington@maine.gov</vt:lpwstr>
      </vt:variant>
      <vt:variant>
        <vt:lpwstr/>
      </vt:variant>
      <vt:variant>
        <vt:i4>1376347</vt:i4>
      </vt:variant>
      <vt:variant>
        <vt:i4>9</vt:i4>
      </vt:variant>
      <vt:variant>
        <vt:i4>0</vt:i4>
      </vt:variant>
      <vt:variant>
        <vt:i4>5</vt:i4>
      </vt:variant>
      <vt:variant>
        <vt:lpwstr>http://www.maine.gov/mpuc/electricity/rfps/longterm0214/longterm0214.html</vt:lpwstr>
      </vt:variant>
      <vt:variant>
        <vt:lpwstr/>
      </vt:variant>
      <vt:variant>
        <vt:i4>1376347</vt:i4>
      </vt:variant>
      <vt:variant>
        <vt:i4>6</vt:i4>
      </vt:variant>
      <vt:variant>
        <vt:i4>0</vt:i4>
      </vt:variant>
      <vt:variant>
        <vt:i4>5</vt:i4>
      </vt:variant>
      <vt:variant>
        <vt:lpwstr>http://www.maine.gov/mpuc/electricity/rfps/longterm0214/longterm0214.html</vt:lpwstr>
      </vt:variant>
      <vt:variant>
        <vt:lpwstr/>
      </vt:variant>
      <vt:variant>
        <vt:i4>1376347</vt:i4>
      </vt:variant>
      <vt:variant>
        <vt:i4>3</vt:i4>
      </vt:variant>
      <vt:variant>
        <vt:i4>0</vt:i4>
      </vt:variant>
      <vt:variant>
        <vt:i4>5</vt:i4>
      </vt:variant>
      <vt:variant>
        <vt:lpwstr>http://www.maine.gov/mpuc/electricity/rfps/longterm0214/longterm0214.html</vt:lpwstr>
      </vt:variant>
      <vt:variant>
        <vt:lpwstr/>
      </vt:variant>
      <vt:variant>
        <vt:i4>589917</vt:i4>
      </vt:variant>
      <vt:variant>
        <vt:i4>0</vt:i4>
      </vt:variant>
      <vt:variant>
        <vt:i4>0</vt:i4>
      </vt:variant>
      <vt:variant>
        <vt:i4>5</vt:i4>
      </vt:variant>
      <vt:variant>
        <vt:lpwstr>http://www.maine.gov/mpuc/electricity/index.shtml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Indicative description of asset valuation module for World Bank Power Markets training course</dc:title>
  <dc:creator>London Economics</dc:creator>
  <cp:lastModifiedBy>Cook, Christine R</cp:lastModifiedBy>
  <cp:revision>4</cp:revision>
  <cp:lastPrinted>2014-02-05T19:33:00Z</cp:lastPrinted>
  <dcterms:created xsi:type="dcterms:W3CDTF">2015-01-29T16:15:00Z</dcterms:created>
  <dcterms:modified xsi:type="dcterms:W3CDTF">2015-02-02T15:52:00Z</dcterms:modified>
</cp:coreProperties>
</file>