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EF40" w14:textId="77777777" w:rsidR="00B75151" w:rsidRPr="00892D35" w:rsidRDefault="00F943BE" w:rsidP="00892D35">
      <w:pPr>
        <w:spacing w:after="0"/>
        <w:jc w:val="center"/>
        <w:rPr>
          <w:b/>
          <w:sz w:val="28"/>
        </w:rPr>
      </w:pPr>
      <w:r w:rsidRPr="00892D35">
        <w:rPr>
          <w:b/>
          <w:sz w:val="28"/>
        </w:rPr>
        <w:t>Housing Opportunities for Individuals with Mental Illness</w:t>
      </w:r>
    </w:p>
    <w:p w14:paraId="310121EC" w14:textId="77777777" w:rsidR="00F943BE" w:rsidRDefault="00F943BE" w:rsidP="00F943BE">
      <w:pPr>
        <w:spacing w:after="0"/>
      </w:pPr>
    </w:p>
    <w:p w14:paraId="137F3301" w14:textId="77777777" w:rsidR="00F943BE" w:rsidRDefault="00CB431A" w:rsidP="00F943BE">
      <w:pPr>
        <w:spacing w:after="0"/>
        <w:rPr>
          <w:b/>
        </w:rPr>
      </w:pPr>
      <w:r w:rsidRPr="006B1414">
        <w:rPr>
          <w:b/>
        </w:rPr>
        <w:t>Shelter Plus Care (SPC)</w:t>
      </w:r>
      <w:r w:rsidR="00F943BE">
        <w:t>,</w:t>
      </w:r>
      <w:r w:rsidR="00F943BE">
        <w:t xml:space="preserve"> </w:t>
      </w:r>
      <w:r w:rsidR="00F943BE">
        <w:t>now called</w:t>
      </w:r>
      <w:r w:rsidR="00F943BE">
        <w:t xml:space="preserve"> Continuum of Care (COC) supported </w:t>
      </w:r>
      <w:r w:rsidR="00F943BE">
        <w:t>h</w:t>
      </w:r>
      <w:r w:rsidR="00F943BE">
        <w:t>ousing program</w:t>
      </w:r>
    </w:p>
    <w:p w14:paraId="11D45FCB" w14:textId="77777777" w:rsidR="00F943BE" w:rsidRDefault="00D20003" w:rsidP="00F943BE">
      <w:pPr>
        <w:spacing w:after="0"/>
      </w:pPr>
      <w:r w:rsidRPr="00F943BE">
        <w:rPr>
          <w:u w:val="single"/>
        </w:rPr>
        <w:t>Targeted population</w:t>
      </w:r>
      <w:r w:rsidR="00F943BE" w:rsidRPr="00F943BE">
        <w:rPr>
          <w:u w:val="single"/>
        </w:rPr>
        <w:t>:</w:t>
      </w:r>
      <w:r w:rsidR="00F943BE">
        <w:t xml:space="preserve"> </w:t>
      </w:r>
      <w:r w:rsidR="00892D35">
        <w:t>I</w:t>
      </w:r>
      <w:r>
        <w:t>ndividuals with mental illness or for co- occurring MH/SUD</w:t>
      </w:r>
      <w:r w:rsidR="00CB431A">
        <w:t xml:space="preserve">. </w:t>
      </w:r>
    </w:p>
    <w:p w14:paraId="1B6BAB97" w14:textId="77777777" w:rsidR="00F943BE" w:rsidRDefault="00F943BE" w:rsidP="00F943BE">
      <w:pPr>
        <w:spacing w:after="0"/>
      </w:pPr>
      <w:r w:rsidRPr="00F943BE">
        <w:rPr>
          <w:u w:val="single"/>
        </w:rPr>
        <w:t>Funding:</w:t>
      </w:r>
      <w:r>
        <w:t xml:space="preserve"> </w:t>
      </w:r>
      <w:r w:rsidR="00892D35">
        <w:t>A</w:t>
      </w:r>
      <w:r w:rsidR="00CB431A">
        <w:t>nnual</w:t>
      </w:r>
      <w:r>
        <w:t>,</w:t>
      </w:r>
      <w:r w:rsidR="00CB431A">
        <w:t xml:space="preserve"> renewable HUD grants at 9.6 mil. </w:t>
      </w:r>
      <w:r>
        <w:t>All grants have been submitted for renewal to Collaborative applicant (Maine Housing) for renewal.</w:t>
      </w:r>
    </w:p>
    <w:p w14:paraId="0CA28637" w14:textId="77777777" w:rsidR="00F943BE" w:rsidRDefault="00F943BE" w:rsidP="00F943BE">
      <w:pPr>
        <w:spacing w:after="0"/>
      </w:pPr>
      <w:r w:rsidRPr="00F943BE">
        <w:rPr>
          <w:u w:val="single"/>
        </w:rPr>
        <w:t>Clients Served:</w:t>
      </w:r>
      <w:r>
        <w:t xml:space="preserve"> </w:t>
      </w:r>
      <w:r w:rsidR="00892D35">
        <w:t>A</w:t>
      </w:r>
      <w:r w:rsidR="00CB431A">
        <w:t xml:space="preserve">pprox. 1000 vouchers/households. </w:t>
      </w:r>
    </w:p>
    <w:p w14:paraId="5203B4F6" w14:textId="77777777" w:rsidR="00CB431A" w:rsidRDefault="00F943BE" w:rsidP="00F943BE">
      <w:pPr>
        <w:spacing w:after="0"/>
      </w:pPr>
      <w:r>
        <w:rPr>
          <w:u w:val="single"/>
        </w:rPr>
        <w:t>Notes:</w:t>
      </w:r>
      <w:r>
        <w:t xml:space="preserve"> </w:t>
      </w:r>
      <w:r w:rsidR="00CB431A">
        <w:t xml:space="preserve">All renewals have come into tier 1 for the project ranking process which is sent to HUD for review. Contracted to Centralized Administrative Agency (CAA) for statewide administration. Local Administrative Agency (LAA) model is utilized </w:t>
      </w:r>
      <w:r w:rsidR="00F07CDF">
        <w:t>to</w:t>
      </w:r>
      <w:r w:rsidR="00CB431A">
        <w:t xml:space="preserve"> connect clients to services seamlessly. All LAA’s are licensed MH </w:t>
      </w:r>
      <w:r w:rsidR="00801DE0">
        <w:t xml:space="preserve">agencies. Match dollars provided through </w:t>
      </w:r>
      <w:proofErr w:type="spellStart"/>
      <w:r w:rsidR="00801DE0">
        <w:t>MaineCare</w:t>
      </w:r>
      <w:proofErr w:type="spellEnd"/>
      <w:r w:rsidR="00801DE0">
        <w:t xml:space="preserve"> services.</w:t>
      </w:r>
    </w:p>
    <w:p w14:paraId="7342180E" w14:textId="77777777" w:rsidR="00F943BE" w:rsidRDefault="00F943BE" w:rsidP="00F943B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5151" w14:paraId="19E3031F" w14:textId="77777777" w:rsidTr="00B75151">
        <w:tc>
          <w:tcPr>
            <w:tcW w:w="4675" w:type="dxa"/>
          </w:tcPr>
          <w:p w14:paraId="49A1D75B" w14:textId="77777777" w:rsidR="00B75151" w:rsidRDefault="00B75151" w:rsidP="00F943BE">
            <w:r>
              <w:t>Benefits</w:t>
            </w:r>
          </w:p>
        </w:tc>
        <w:tc>
          <w:tcPr>
            <w:tcW w:w="4675" w:type="dxa"/>
          </w:tcPr>
          <w:p w14:paraId="60CFAB14" w14:textId="77777777" w:rsidR="00B75151" w:rsidRDefault="00B75151" w:rsidP="00F943BE">
            <w:r>
              <w:t>Challenges</w:t>
            </w:r>
          </w:p>
        </w:tc>
      </w:tr>
      <w:tr w:rsidR="00B75151" w14:paraId="12C1E540" w14:textId="77777777" w:rsidTr="00B75151">
        <w:tc>
          <w:tcPr>
            <w:tcW w:w="4675" w:type="dxa"/>
          </w:tcPr>
          <w:p w14:paraId="34FB8278" w14:textId="77777777" w:rsidR="00B75151" w:rsidRPr="00F07CDF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F07CDF">
              <w:t>100% rent paid until income secured.</w:t>
            </w:r>
          </w:p>
          <w:p w14:paraId="2FC91700" w14:textId="77777777" w:rsidR="00B75151" w:rsidRPr="00B75151" w:rsidRDefault="00B75151" w:rsidP="00F943BE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F07CDF">
              <w:t>30% of income required, once secured.</w:t>
            </w:r>
          </w:p>
        </w:tc>
        <w:tc>
          <w:tcPr>
            <w:tcW w:w="4675" w:type="dxa"/>
          </w:tcPr>
          <w:p w14:paraId="508439EF" w14:textId="77777777" w:rsidR="00B75151" w:rsidRPr="00F07CDF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F07CDF">
              <w:t>Homelessness required along with verifiable disability</w:t>
            </w:r>
          </w:p>
          <w:p w14:paraId="7BAF64FB" w14:textId="77777777" w:rsidR="00B75151" w:rsidRDefault="00B75151" w:rsidP="00F943BE"/>
        </w:tc>
      </w:tr>
    </w:tbl>
    <w:p w14:paraId="338489AA" w14:textId="77777777" w:rsidR="00B75151" w:rsidRDefault="00B75151" w:rsidP="00F943BE">
      <w:pPr>
        <w:spacing w:after="0"/>
      </w:pPr>
    </w:p>
    <w:p w14:paraId="7EA2082F" w14:textId="77777777" w:rsidR="00F943BE" w:rsidRDefault="00F943BE" w:rsidP="00F943BE">
      <w:pPr>
        <w:spacing w:after="0"/>
      </w:pPr>
      <w:r w:rsidRPr="006B1414">
        <w:rPr>
          <w:b/>
        </w:rPr>
        <w:t xml:space="preserve">1907 </w:t>
      </w:r>
      <w:r>
        <w:rPr>
          <w:b/>
        </w:rPr>
        <w:t>R</w:t>
      </w:r>
      <w:r w:rsidRPr="006B1414">
        <w:rPr>
          <w:b/>
        </w:rPr>
        <w:t xml:space="preserve">ental </w:t>
      </w:r>
      <w:r>
        <w:rPr>
          <w:b/>
        </w:rPr>
        <w:t>S</w:t>
      </w:r>
      <w:r w:rsidRPr="006B1414">
        <w:rPr>
          <w:b/>
        </w:rPr>
        <w:t>ubsidy</w:t>
      </w:r>
    </w:p>
    <w:p w14:paraId="2920F394" w14:textId="77777777" w:rsidR="00F943BE" w:rsidRDefault="00F943BE" w:rsidP="00F943BE">
      <w:pPr>
        <w:spacing w:after="0"/>
      </w:pPr>
      <w:r>
        <w:rPr>
          <w:u w:val="single"/>
        </w:rPr>
        <w:t>Targeted Population:</w:t>
      </w:r>
      <w:r>
        <w:t xml:space="preserve"> </w:t>
      </w:r>
      <w:r w:rsidR="00892D35">
        <w:t>T</w:t>
      </w:r>
      <w:r w:rsidR="00892D35">
        <w:t>argeted population is for individuals eligible for Section 17.</w:t>
      </w:r>
    </w:p>
    <w:p w14:paraId="702D3C05" w14:textId="77777777" w:rsidR="00892D35" w:rsidRDefault="00F943BE" w:rsidP="00F943BE">
      <w:pPr>
        <w:spacing w:after="0"/>
      </w:pPr>
      <w:r>
        <w:rPr>
          <w:u w:val="single"/>
        </w:rPr>
        <w:t>Funding:</w:t>
      </w:r>
      <w:r w:rsidRPr="00F943BE">
        <w:t xml:space="preserve"> </w:t>
      </w:r>
      <w:r w:rsidR="00892D35">
        <w:t>$443k in state general funds for rental subsidy, h</w:t>
      </w:r>
      <w:r>
        <w:t>ousing units funded through M</w:t>
      </w:r>
      <w:r w:rsidR="00892D35">
        <w:t>aine State Housing Authority (MSHA)</w:t>
      </w:r>
    </w:p>
    <w:p w14:paraId="1264820E" w14:textId="77777777" w:rsidR="00F943BE" w:rsidRDefault="00F943BE" w:rsidP="00F943BE">
      <w:pPr>
        <w:spacing w:after="0"/>
      </w:pPr>
      <w:r>
        <w:rPr>
          <w:u w:val="single"/>
        </w:rPr>
        <w:t>Clients Served:</w:t>
      </w:r>
      <w:r>
        <w:t xml:space="preserve"> </w:t>
      </w:r>
      <w:r>
        <w:t>Supports 120 units through 7 contracted agencies throughout the state</w:t>
      </w:r>
    </w:p>
    <w:p w14:paraId="34DE1ED7" w14:textId="77777777" w:rsidR="00F943BE" w:rsidRDefault="00F943BE" w:rsidP="00F943BE">
      <w:pPr>
        <w:spacing w:after="0"/>
      </w:pPr>
      <w:r>
        <w:rPr>
          <w:u w:val="single"/>
        </w:rPr>
        <w:t>Notes:</w:t>
      </w:r>
      <w:r>
        <w:t xml:space="preserve"> </w:t>
      </w:r>
      <w:r>
        <w:t xml:space="preserve">Project based housing </w:t>
      </w:r>
    </w:p>
    <w:p w14:paraId="4851EA15" w14:textId="77777777" w:rsidR="00892D35" w:rsidRDefault="00892D35" w:rsidP="00F943B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43BE" w14:paraId="1BCC2DD1" w14:textId="77777777" w:rsidTr="00442588">
        <w:tc>
          <w:tcPr>
            <w:tcW w:w="4675" w:type="dxa"/>
          </w:tcPr>
          <w:p w14:paraId="098E0884" w14:textId="77777777" w:rsidR="00F943BE" w:rsidRDefault="00F943BE" w:rsidP="00F943BE">
            <w:r>
              <w:t>Benefits</w:t>
            </w:r>
          </w:p>
        </w:tc>
        <w:tc>
          <w:tcPr>
            <w:tcW w:w="4675" w:type="dxa"/>
          </w:tcPr>
          <w:p w14:paraId="28E95E1C" w14:textId="77777777" w:rsidR="00F943BE" w:rsidRDefault="00F943BE" w:rsidP="00F943BE">
            <w:r>
              <w:t>Challenges</w:t>
            </w:r>
          </w:p>
        </w:tc>
      </w:tr>
      <w:tr w:rsidR="00F943BE" w14:paraId="7CDC4E52" w14:textId="77777777" w:rsidTr="00442588">
        <w:tc>
          <w:tcPr>
            <w:tcW w:w="4675" w:type="dxa"/>
          </w:tcPr>
          <w:p w14:paraId="03067602" w14:textId="77777777" w:rsidR="00F943BE" w:rsidRDefault="00F943BE" w:rsidP="00F943BE">
            <w:pPr>
              <w:pStyle w:val="ListParagraph"/>
              <w:numPr>
                <w:ilvl w:val="0"/>
                <w:numId w:val="18"/>
              </w:numPr>
            </w:pPr>
            <w:r>
              <w:t>Units owned and managed by agency/provider allowing for continued contact and support.</w:t>
            </w:r>
          </w:p>
          <w:p w14:paraId="29E9DE5B" w14:textId="77777777" w:rsidR="00F943BE" w:rsidRDefault="00F943BE" w:rsidP="00F943BE">
            <w:pPr>
              <w:pStyle w:val="ListParagraph"/>
              <w:numPr>
                <w:ilvl w:val="0"/>
                <w:numId w:val="18"/>
              </w:numPr>
            </w:pPr>
            <w:r>
              <w:t>Units maintained by owner to meet HQS standards.</w:t>
            </w:r>
          </w:p>
          <w:p w14:paraId="0C04024F" w14:textId="77777777" w:rsidR="00F943BE" w:rsidRPr="00F943BE" w:rsidRDefault="00F943BE" w:rsidP="00F943BE">
            <w:pPr>
              <w:pStyle w:val="ListParagraph"/>
              <w:numPr>
                <w:ilvl w:val="0"/>
                <w:numId w:val="18"/>
              </w:numPr>
            </w:pPr>
            <w:r>
              <w:t>30% of income required</w:t>
            </w:r>
          </w:p>
        </w:tc>
        <w:tc>
          <w:tcPr>
            <w:tcW w:w="4675" w:type="dxa"/>
          </w:tcPr>
          <w:p w14:paraId="10D9527D" w14:textId="77777777" w:rsidR="00F943BE" w:rsidRDefault="00F943BE" w:rsidP="00F943BE">
            <w:pPr>
              <w:pStyle w:val="ListParagraph"/>
              <w:numPr>
                <w:ilvl w:val="0"/>
                <w:numId w:val="18"/>
              </w:numPr>
            </w:pPr>
            <w:r>
              <w:t>There are only 120</w:t>
            </w:r>
            <w:r>
              <w:t xml:space="preserve"> slots</w:t>
            </w:r>
            <w:r>
              <w:t xml:space="preserve">. These are run well and help individuals become housed more rapidly </w:t>
            </w:r>
          </w:p>
          <w:p w14:paraId="7C3E4B51" w14:textId="77777777" w:rsidR="00F943BE" w:rsidRDefault="00F943BE" w:rsidP="00F943BE"/>
        </w:tc>
      </w:tr>
    </w:tbl>
    <w:p w14:paraId="2AB58F36" w14:textId="77777777" w:rsidR="00F943BE" w:rsidRPr="00F943BE" w:rsidRDefault="00F943BE" w:rsidP="00F943BE">
      <w:pPr>
        <w:spacing w:after="0"/>
        <w:rPr>
          <w:b/>
        </w:rPr>
      </w:pPr>
    </w:p>
    <w:p w14:paraId="1243C1FE" w14:textId="77777777" w:rsidR="00F943BE" w:rsidRDefault="00CB431A" w:rsidP="00F943BE">
      <w:pPr>
        <w:spacing w:after="0"/>
        <w:rPr>
          <w:b/>
        </w:rPr>
      </w:pPr>
      <w:r w:rsidRPr="006B1414">
        <w:rPr>
          <w:b/>
        </w:rPr>
        <w:t xml:space="preserve">Bridging Rental Assistance Program </w:t>
      </w:r>
      <w:r w:rsidR="00006FD7" w:rsidRPr="006B1414">
        <w:rPr>
          <w:b/>
        </w:rPr>
        <w:t>(BRAP</w:t>
      </w:r>
      <w:r w:rsidRPr="006B1414">
        <w:rPr>
          <w:b/>
        </w:rPr>
        <w:t>)</w:t>
      </w:r>
    </w:p>
    <w:p w14:paraId="4C75E9AA" w14:textId="77777777" w:rsidR="00892D35" w:rsidRPr="00892D35" w:rsidRDefault="00892D35" w:rsidP="00892D35">
      <w:pPr>
        <w:spacing w:after="0"/>
      </w:pPr>
      <w:r>
        <w:rPr>
          <w:u w:val="single"/>
        </w:rPr>
        <w:t>Targeted Population:</w:t>
      </w:r>
      <w:r>
        <w:t xml:space="preserve"> </w:t>
      </w:r>
      <w:r>
        <w:t>I</w:t>
      </w:r>
      <w:r>
        <w:t>ndividual must meet criteria for Section 17 services</w:t>
      </w:r>
      <w:r>
        <w:t xml:space="preserve">. Priority for vouchers has three levels: first, individuals leaving psychiatric in-patient care after &gt;72 hours, second, individuals released from a correctional facility or adjudicated through mental health court, and third, individuals experiencing homelessness as defined by US HUD. </w:t>
      </w:r>
      <w:r>
        <w:t xml:space="preserve">Currently the program is operating without a waiting list, therefore the priority status may be waived.  </w:t>
      </w:r>
    </w:p>
    <w:p w14:paraId="62920808" w14:textId="77777777" w:rsidR="00892D35" w:rsidRDefault="00892D35" w:rsidP="00892D35">
      <w:pPr>
        <w:spacing w:after="0"/>
      </w:pPr>
      <w:r>
        <w:rPr>
          <w:u w:val="single"/>
        </w:rPr>
        <w:t>Funding:</w:t>
      </w:r>
      <w:r w:rsidRPr="00F943BE">
        <w:t xml:space="preserve"> </w:t>
      </w:r>
      <w:r>
        <w:t>$6</w:t>
      </w:r>
      <w:r>
        <w:t>.6M</w:t>
      </w:r>
      <w:r>
        <w:t xml:space="preserve"> </w:t>
      </w:r>
      <w:r>
        <w:t>in</w:t>
      </w:r>
      <w:r>
        <w:t xml:space="preserve"> state general funds</w:t>
      </w:r>
    </w:p>
    <w:p w14:paraId="174AFC9E" w14:textId="77777777" w:rsidR="00892D35" w:rsidRDefault="00892D35" w:rsidP="00892D35">
      <w:pPr>
        <w:spacing w:after="0"/>
      </w:pPr>
      <w:r>
        <w:rPr>
          <w:u w:val="single"/>
        </w:rPr>
        <w:t>Clients Served:</w:t>
      </w:r>
      <w:r>
        <w:t xml:space="preserve"> </w:t>
      </w:r>
      <w:r>
        <w:t>Approx. 1000 vouchers available</w:t>
      </w:r>
    </w:p>
    <w:p w14:paraId="32C9E77B" w14:textId="77777777" w:rsidR="00892D35" w:rsidRDefault="00892D35" w:rsidP="00F943BE">
      <w:pPr>
        <w:spacing w:after="0"/>
      </w:pPr>
      <w:r>
        <w:rPr>
          <w:u w:val="single"/>
        </w:rPr>
        <w:t>Notes:</w:t>
      </w:r>
      <w:r>
        <w:t xml:space="preserve"> </w:t>
      </w:r>
      <w:r>
        <w:t>A</w:t>
      </w:r>
      <w:r w:rsidR="00006FD7">
        <w:t xml:space="preserve">dministered through CAA using the LAA’s as subcontractors. </w:t>
      </w:r>
      <w:bookmarkStart w:id="0" w:name="_GoBack"/>
      <w:bookmarkEnd w:id="0"/>
    </w:p>
    <w:p w14:paraId="06C2285D" w14:textId="77777777" w:rsidR="00892D35" w:rsidRDefault="00892D35" w:rsidP="00F943BE">
      <w:pPr>
        <w:spacing w:after="0"/>
      </w:pPr>
    </w:p>
    <w:p w14:paraId="6193209F" w14:textId="77777777" w:rsidR="00F943BE" w:rsidRDefault="00F943BE" w:rsidP="00F943BE">
      <w:pPr>
        <w:spacing w:after="0"/>
      </w:pPr>
      <w:r>
        <w:rPr>
          <w:b/>
        </w:rPr>
        <w:t xml:space="preserve">BRAP, continued… </w:t>
      </w:r>
    </w:p>
    <w:p w14:paraId="64574D60" w14:textId="77777777" w:rsidR="00F943BE" w:rsidRDefault="00F943BE" w:rsidP="00F943B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5151" w14:paraId="248B1F00" w14:textId="77777777" w:rsidTr="00442588">
        <w:tc>
          <w:tcPr>
            <w:tcW w:w="4675" w:type="dxa"/>
          </w:tcPr>
          <w:p w14:paraId="04403F02" w14:textId="77777777" w:rsidR="00B75151" w:rsidRDefault="00B75151" w:rsidP="00F943BE">
            <w:r>
              <w:t>Benefits</w:t>
            </w:r>
          </w:p>
        </w:tc>
        <w:tc>
          <w:tcPr>
            <w:tcW w:w="4675" w:type="dxa"/>
          </w:tcPr>
          <w:p w14:paraId="2FBDEF1E" w14:textId="77777777" w:rsidR="00B75151" w:rsidRDefault="00B75151" w:rsidP="00F943BE">
            <w:r>
              <w:t>Challenges</w:t>
            </w:r>
          </w:p>
        </w:tc>
      </w:tr>
      <w:tr w:rsidR="00B75151" w14:paraId="2294F683" w14:textId="77777777" w:rsidTr="00442588">
        <w:tc>
          <w:tcPr>
            <w:tcW w:w="4675" w:type="dxa"/>
          </w:tcPr>
          <w:p w14:paraId="08311952" w14:textId="77777777" w:rsidR="00B75151" w:rsidRPr="006B1414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6B1414">
              <w:t>Easily accessed from hospital</w:t>
            </w:r>
            <w:r w:rsidR="00892D35">
              <w:t xml:space="preserve">s and </w:t>
            </w:r>
            <w:r w:rsidRPr="006B1414">
              <w:t>correctional facilities.</w:t>
            </w:r>
          </w:p>
          <w:p w14:paraId="5EA51BDB" w14:textId="77777777" w:rsidR="00B75151" w:rsidRPr="006B1414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6B1414">
              <w:t xml:space="preserve">Clinician may sign off that the individual is likely eligible for Section 17 services prior to receiving voucher. </w:t>
            </w:r>
          </w:p>
          <w:p w14:paraId="7F2A7BD1" w14:textId="77777777" w:rsidR="00B75151" w:rsidRPr="006B1414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6B1414">
              <w:t>Administered through MH agencies</w:t>
            </w:r>
            <w:r w:rsidR="00892D35">
              <w:t>,</w:t>
            </w:r>
            <w:r w:rsidRPr="006B1414">
              <w:t xml:space="preserve"> </w:t>
            </w:r>
            <w:r w:rsidR="00892D35">
              <w:t>facilitating</w:t>
            </w:r>
            <w:r w:rsidRPr="006B1414">
              <w:t xml:space="preserve"> access to supported services through housing agent.</w:t>
            </w:r>
          </w:p>
          <w:p w14:paraId="1BDD0A46" w14:textId="77777777" w:rsidR="00B75151" w:rsidRPr="006B1414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6B1414">
              <w:t xml:space="preserve">Managed by SAMHS and able to respond to </w:t>
            </w:r>
            <w:r w:rsidR="00892D35">
              <w:t>DHHS-identified</w:t>
            </w:r>
            <w:r w:rsidRPr="006B1414">
              <w:t xml:space="preserve"> needs for individuals served.</w:t>
            </w:r>
          </w:p>
          <w:p w14:paraId="09DFD0F6" w14:textId="77777777" w:rsidR="00B75151" w:rsidRPr="00B75151" w:rsidRDefault="00B75151" w:rsidP="00F943BE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6B1414">
              <w:t>Cost saving</w:t>
            </w:r>
            <w:r w:rsidR="00892D35">
              <w:t>s</w:t>
            </w:r>
            <w:r w:rsidRPr="006B1414">
              <w:t xml:space="preserve"> by moving to community-based treatment vs. high</w:t>
            </w:r>
            <w:r w:rsidR="00892D35">
              <w:t>-</w:t>
            </w:r>
            <w:r w:rsidRPr="006B1414">
              <w:t>cost</w:t>
            </w:r>
            <w:r w:rsidR="00892D35">
              <w:t>, potentially restrictive</w:t>
            </w:r>
            <w:r w:rsidRPr="006B1414">
              <w:t xml:space="preserve"> </w:t>
            </w:r>
            <w:r w:rsidR="00892D35">
              <w:t>h</w:t>
            </w:r>
            <w:r w:rsidRPr="006B1414">
              <w:t>osp</w:t>
            </w:r>
            <w:r>
              <w:t>ital</w:t>
            </w:r>
            <w:r w:rsidRPr="006B1414">
              <w:t xml:space="preserve"> or PNMI</w:t>
            </w:r>
            <w:r w:rsidR="00892D35">
              <w:t xml:space="preserve"> setting</w:t>
            </w:r>
          </w:p>
        </w:tc>
        <w:tc>
          <w:tcPr>
            <w:tcW w:w="4675" w:type="dxa"/>
          </w:tcPr>
          <w:p w14:paraId="6A602350" w14:textId="77777777" w:rsidR="00B75151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6B1414">
              <w:t>51% if income required from individual</w:t>
            </w:r>
          </w:p>
          <w:p w14:paraId="0537ABE0" w14:textId="77777777" w:rsidR="00B75151" w:rsidRPr="006B1414" w:rsidRDefault="00B75151" w:rsidP="00F943BE">
            <w:pPr>
              <w:pStyle w:val="ListParagraph"/>
              <w:numPr>
                <w:ilvl w:val="0"/>
                <w:numId w:val="18"/>
              </w:numPr>
            </w:pPr>
            <w:r w:rsidRPr="006B1414">
              <w:t>If no income</w:t>
            </w:r>
            <w:r w:rsidR="00F943BE">
              <w:t>,</w:t>
            </w:r>
            <w:r w:rsidRPr="006B1414">
              <w:t xml:space="preserve"> client must access GA funds until income secured.</w:t>
            </w:r>
          </w:p>
          <w:p w14:paraId="43C974DC" w14:textId="77777777" w:rsidR="00B75151" w:rsidRDefault="00B75151" w:rsidP="00F943BE"/>
        </w:tc>
      </w:tr>
    </w:tbl>
    <w:p w14:paraId="47C1CA38" w14:textId="77777777" w:rsidR="00B75151" w:rsidRDefault="00B75151" w:rsidP="00F943BE">
      <w:pPr>
        <w:spacing w:after="0"/>
      </w:pPr>
    </w:p>
    <w:p w14:paraId="70779CE2" w14:textId="77777777" w:rsidR="00006FD7" w:rsidRPr="00892D35" w:rsidRDefault="00892D35" w:rsidP="00F943BE">
      <w:pPr>
        <w:spacing w:after="0"/>
        <w:rPr>
          <w:b/>
        </w:rPr>
      </w:pPr>
      <w:r>
        <w:rPr>
          <w:b/>
        </w:rPr>
        <w:t>By the Numbers</w:t>
      </w:r>
    </w:p>
    <w:tbl>
      <w:tblPr>
        <w:tblW w:w="6303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990"/>
        <w:gridCol w:w="853"/>
        <w:gridCol w:w="947"/>
      </w:tblGrid>
      <w:tr w:rsidR="00F943BE" w:rsidRPr="00F943BE" w14:paraId="39BAA4C8" w14:textId="77777777" w:rsidTr="00F943BE">
        <w:trPr>
          <w:trHeight w:val="315"/>
        </w:trPr>
        <w:tc>
          <w:tcPr>
            <w:tcW w:w="351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A8270" w14:textId="77777777" w:rsidR="00006FD7" w:rsidRPr="00F943BE" w:rsidRDefault="00006FD7" w:rsidP="00F943BE">
            <w:pPr>
              <w:spacing w:after="0"/>
              <w:rPr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AD1BC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Total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D0B57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S</w:t>
            </w:r>
            <w:r w:rsidR="00F943BE" w:rsidRPr="00F943BE">
              <w:rPr>
                <w:bCs/>
              </w:rPr>
              <w:t>P</w:t>
            </w:r>
            <w:r w:rsidRPr="00F943BE">
              <w:rPr>
                <w:bCs/>
              </w:rPr>
              <w:t>C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8CDC3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BRAP</w:t>
            </w:r>
          </w:p>
        </w:tc>
      </w:tr>
      <w:tr w:rsidR="00F943BE" w:rsidRPr="00F943BE" w14:paraId="29B89AC0" w14:textId="77777777" w:rsidTr="00F943BE">
        <w:trPr>
          <w:trHeight w:val="300"/>
        </w:trPr>
        <w:tc>
          <w:tcPr>
            <w:tcW w:w="351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0588F" w14:textId="77777777" w:rsidR="00006FD7" w:rsidRPr="00F943BE" w:rsidRDefault="00006FD7" w:rsidP="00F943BE">
            <w:pPr>
              <w:spacing w:after="0"/>
              <w:rPr>
                <w:bCs/>
              </w:rPr>
            </w:pPr>
            <w:proofErr w:type="gramStart"/>
            <w:r w:rsidRPr="00F943BE">
              <w:rPr>
                <w:bCs/>
              </w:rPr>
              <w:t>Clients,</w:t>
            </w:r>
            <w:proofErr w:type="gramEnd"/>
            <w:r w:rsidRPr="00F943BE">
              <w:rPr>
                <w:bCs/>
              </w:rPr>
              <w:t xml:space="preserve"> Housed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23FDD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1719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8D9ED" w14:textId="77777777" w:rsidR="00006FD7" w:rsidRPr="00F943BE" w:rsidRDefault="00006FD7" w:rsidP="00F943BE">
            <w:pPr>
              <w:spacing w:after="0"/>
            </w:pPr>
            <w:r w:rsidRPr="00F943BE">
              <w:t>901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D2E5E" w14:textId="77777777" w:rsidR="00006FD7" w:rsidRPr="00F943BE" w:rsidRDefault="00006FD7" w:rsidP="00F943BE">
            <w:pPr>
              <w:spacing w:after="0"/>
            </w:pPr>
            <w:r w:rsidRPr="00F943BE">
              <w:t>818</w:t>
            </w:r>
          </w:p>
        </w:tc>
      </w:tr>
      <w:tr w:rsidR="00F943BE" w:rsidRPr="00F943BE" w14:paraId="3A3E3843" w14:textId="77777777" w:rsidTr="00F943BE">
        <w:trPr>
          <w:trHeight w:val="300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57FFC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Clients, In Between Units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B9DEC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109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62321" w14:textId="77777777" w:rsidR="00006FD7" w:rsidRPr="00F943BE" w:rsidRDefault="00006FD7" w:rsidP="00F943BE">
            <w:pPr>
              <w:spacing w:after="0"/>
            </w:pPr>
            <w:r w:rsidRPr="00F943BE"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E6BE7" w14:textId="77777777" w:rsidR="00006FD7" w:rsidRPr="00F943BE" w:rsidRDefault="00006FD7" w:rsidP="00F943BE">
            <w:pPr>
              <w:spacing w:after="0"/>
            </w:pPr>
            <w:r w:rsidRPr="00F943BE">
              <w:t>58</w:t>
            </w:r>
          </w:p>
        </w:tc>
      </w:tr>
      <w:tr w:rsidR="00F943BE" w:rsidRPr="00F943BE" w14:paraId="322427C3" w14:textId="77777777" w:rsidTr="00F943BE">
        <w:trPr>
          <w:trHeight w:val="300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136CA" w14:textId="77777777" w:rsidR="00006FD7" w:rsidRPr="00F943BE" w:rsidRDefault="00006FD7" w:rsidP="00F943BE">
            <w:pPr>
              <w:spacing w:after="0"/>
              <w:rPr>
                <w:bCs/>
              </w:rPr>
            </w:pPr>
            <w:proofErr w:type="gramStart"/>
            <w:r w:rsidRPr="00F943BE">
              <w:rPr>
                <w:bCs/>
              </w:rPr>
              <w:t>Clients,</w:t>
            </w:r>
            <w:proofErr w:type="gramEnd"/>
            <w:r w:rsidRPr="00F943BE">
              <w:rPr>
                <w:bCs/>
              </w:rPr>
              <w:t xml:space="preserve"> Looking Never Housed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F8BB2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288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EFADE" w14:textId="77777777" w:rsidR="00006FD7" w:rsidRPr="00F943BE" w:rsidRDefault="00006FD7" w:rsidP="00F943BE">
            <w:pPr>
              <w:spacing w:after="0"/>
            </w:pPr>
            <w:r w:rsidRPr="00F943BE"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AD7C3" w14:textId="77777777" w:rsidR="00006FD7" w:rsidRPr="00F943BE" w:rsidRDefault="00006FD7" w:rsidP="00F943BE">
            <w:pPr>
              <w:spacing w:after="0"/>
            </w:pPr>
            <w:r w:rsidRPr="00F943BE">
              <w:t>284</w:t>
            </w:r>
          </w:p>
        </w:tc>
      </w:tr>
      <w:tr w:rsidR="00F943BE" w:rsidRPr="00F943BE" w14:paraId="3D1B617B" w14:textId="77777777" w:rsidTr="00F943BE">
        <w:trPr>
          <w:trHeight w:val="300"/>
        </w:trPr>
        <w:tc>
          <w:tcPr>
            <w:tcW w:w="3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6281A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Total Currently Active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D3321" w14:textId="77777777" w:rsidR="00006FD7" w:rsidRPr="00F943BE" w:rsidRDefault="00006FD7" w:rsidP="00F943BE">
            <w:pPr>
              <w:spacing w:after="0"/>
              <w:rPr>
                <w:bCs/>
              </w:rPr>
            </w:pPr>
            <w:r w:rsidRPr="00F943BE">
              <w:rPr>
                <w:bCs/>
              </w:rPr>
              <w:t>2116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F4FFA" w14:textId="77777777" w:rsidR="00006FD7" w:rsidRPr="00F943BE" w:rsidRDefault="00006FD7" w:rsidP="00F943BE">
            <w:pPr>
              <w:spacing w:after="0"/>
            </w:pPr>
            <w:r w:rsidRPr="00F943BE">
              <w:t>956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C2599" w14:textId="77777777" w:rsidR="00006FD7" w:rsidRPr="00F943BE" w:rsidRDefault="00006FD7" w:rsidP="00F943BE">
            <w:pPr>
              <w:spacing w:after="0"/>
            </w:pPr>
            <w:r w:rsidRPr="00F943BE">
              <w:t>1160</w:t>
            </w:r>
          </w:p>
        </w:tc>
      </w:tr>
    </w:tbl>
    <w:p w14:paraId="5E77921C" w14:textId="77777777" w:rsidR="00CB431A" w:rsidRDefault="00CB431A" w:rsidP="00F943BE">
      <w:pPr>
        <w:spacing w:after="0"/>
      </w:pPr>
    </w:p>
    <w:p w14:paraId="2C2D21A0" w14:textId="77777777" w:rsidR="0000522D" w:rsidRPr="00A66013" w:rsidRDefault="0000522D" w:rsidP="00F943BE">
      <w:pPr>
        <w:spacing w:after="0"/>
        <w:ind w:firstLine="720"/>
      </w:pPr>
    </w:p>
    <w:sectPr w:rsidR="0000522D" w:rsidRPr="00A6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2FA"/>
    <w:multiLevelType w:val="hybridMultilevel"/>
    <w:tmpl w:val="16424DE4"/>
    <w:lvl w:ilvl="0" w:tplc="6C128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CF7"/>
    <w:multiLevelType w:val="hybridMultilevel"/>
    <w:tmpl w:val="C05C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3FA"/>
    <w:multiLevelType w:val="hybridMultilevel"/>
    <w:tmpl w:val="3420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0405"/>
    <w:multiLevelType w:val="hybridMultilevel"/>
    <w:tmpl w:val="E9C48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D2463"/>
    <w:multiLevelType w:val="hybridMultilevel"/>
    <w:tmpl w:val="74205866"/>
    <w:lvl w:ilvl="0" w:tplc="CE401DF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5C39C1"/>
    <w:multiLevelType w:val="hybridMultilevel"/>
    <w:tmpl w:val="D03AD428"/>
    <w:lvl w:ilvl="0" w:tplc="6C1285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F5496"/>
    <w:multiLevelType w:val="hybridMultilevel"/>
    <w:tmpl w:val="A160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14636"/>
    <w:multiLevelType w:val="hybridMultilevel"/>
    <w:tmpl w:val="7EE4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73A30"/>
    <w:multiLevelType w:val="hybridMultilevel"/>
    <w:tmpl w:val="22EE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51A60"/>
    <w:multiLevelType w:val="hybridMultilevel"/>
    <w:tmpl w:val="238C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3385B"/>
    <w:multiLevelType w:val="hybridMultilevel"/>
    <w:tmpl w:val="6612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F0874"/>
    <w:multiLevelType w:val="hybridMultilevel"/>
    <w:tmpl w:val="FA6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04598"/>
    <w:multiLevelType w:val="hybridMultilevel"/>
    <w:tmpl w:val="2864D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E34A38"/>
    <w:multiLevelType w:val="hybridMultilevel"/>
    <w:tmpl w:val="143E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47D49"/>
    <w:multiLevelType w:val="hybridMultilevel"/>
    <w:tmpl w:val="1632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96427"/>
    <w:multiLevelType w:val="hybridMultilevel"/>
    <w:tmpl w:val="0918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F67B3"/>
    <w:multiLevelType w:val="hybridMultilevel"/>
    <w:tmpl w:val="409E8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471C6"/>
    <w:multiLevelType w:val="hybridMultilevel"/>
    <w:tmpl w:val="FA70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506BA"/>
    <w:multiLevelType w:val="hybridMultilevel"/>
    <w:tmpl w:val="74A0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1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18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  <w:num w:numId="14">
    <w:abstractNumId w:val="10"/>
  </w:num>
  <w:num w:numId="15">
    <w:abstractNumId w:val="3"/>
  </w:num>
  <w:num w:numId="16">
    <w:abstractNumId w:val="16"/>
  </w:num>
  <w:num w:numId="17">
    <w:abstractNumId w:val="4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1A"/>
    <w:rsid w:val="0000522D"/>
    <w:rsid w:val="00006FD7"/>
    <w:rsid w:val="0005172B"/>
    <w:rsid w:val="003342FA"/>
    <w:rsid w:val="003A6DB4"/>
    <w:rsid w:val="003D7C52"/>
    <w:rsid w:val="004E0CB9"/>
    <w:rsid w:val="005346F9"/>
    <w:rsid w:val="006A35DE"/>
    <w:rsid w:val="006B1414"/>
    <w:rsid w:val="007F6781"/>
    <w:rsid w:val="00801DE0"/>
    <w:rsid w:val="00892D35"/>
    <w:rsid w:val="008B226F"/>
    <w:rsid w:val="00901439"/>
    <w:rsid w:val="00A66013"/>
    <w:rsid w:val="00B75151"/>
    <w:rsid w:val="00CB431A"/>
    <w:rsid w:val="00D10B3C"/>
    <w:rsid w:val="00D20003"/>
    <w:rsid w:val="00EA1AA2"/>
    <w:rsid w:val="00F07CDF"/>
    <w:rsid w:val="00F943BE"/>
    <w:rsid w:val="00F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AB7B"/>
  <w15:chartTrackingRefBased/>
  <w15:docId w15:val="{8764B835-35B7-415E-BD49-85DF1284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414"/>
    <w:pPr>
      <w:ind w:left="720"/>
      <w:contextualSpacing/>
    </w:pPr>
  </w:style>
  <w:style w:type="table" w:styleId="TableGrid">
    <w:name w:val="Table Grid"/>
    <w:basedOn w:val="TableNormal"/>
    <w:uiPriority w:val="59"/>
    <w:rsid w:val="00B7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80F099E7CF4AB2120A5BFE0AADFB" ma:contentTypeVersion="9" ma:contentTypeDescription="Create a new document." ma:contentTypeScope="" ma:versionID="829555850747c660ebc6d2e993b04d3d">
  <xsd:schema xmlns:xsd="http://www.w3.org/2001/XMLSchema" xmlns:xs="http://www.w3.org/2001/XMLSchema" xmlns:p="http://schemas.microsoft.com/office/2006/metadata/properties" xmlns:ns1="http://schemas.microsoft.com/sharepoint/v3" xmlns:ns3="fe04784a-9b21-460f-890f-7b2d3d70a0a7" targetNamespace="http://schemas.microsoft.com/office/2006/metadata/properties" ma:root="true" ma:fieldsID="ec75f172098711c26b411a74e7b81c27" ns1:_="" ns3:_="">
    <xsd:import namespace="http://schemas.microsoft.com/sharepoint/v3"/>
    <xsd:import namespace="fe04784a-9b21-460f-890f-7b2d3d70a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784a-9b21-460f-890f-7b2d3d70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538E1-90A7-4871-B905-2A9407560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4784a-9b21-460f-890f-7b2d3d70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FEC53-5C66-4346-9B32-BBC4C671B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3B847-FEFD-4C0E-AA04-85AC27E7C2C5}">
  <ds:schemaRefs>
    <ds:schemaRef ds:uri="fe04784a-9b21-460f-890f-7b2d3d70a0a7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Chester</dc:creator>
  <cp:keywords/>
  <dc:description/>
  <cp:lastModifiedBy>Bogart, Molly</cp:lastModifiedBy>
  <cp:revision>2</cp:revision>
  <dcterms:created xsi:type="dcterms:W3CDTF">2019-10-03T17:14:00Z</dcterms:created>
  <dcterms:modified xsi:type="dcterms:W3CDTF">2019-10-03T17:14:00Z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0x010100395C80F099E7CF4AB2120A5BFE0AADFB</vt:lpwstr>
  </property>
</Properties>
</file>