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5B" w:rsidRDefault="00923372" w:rsidP="00923372">
      <w:pPr>
        <w:ind w:right="90"/>
        <w:rPr>
          <w:b/>
          <w:sz w:val="26"/>
          <w:szCs w:val="26"/>
          <w:u w:val="single"/>
        </w:rPr>
      </w:pPr>
      <w:bookmarkStart w:id="0" w:name="_GoBack"/>
      <w:r w:rsidRPr="007C67CC">
        <w:rPr>
          <w:b/>
          <w:sz w:val="26"/>
          <w:szCs w:val="26"/>
          <w:u w:val="single"/>
        </w:rPr>
        <w:t xml:space="preserve">10.16.19 Notes on </w:t>
      </w:r>
      <w:r>
        <w:rPr>
          <w:b/>
          <w:sz w:val="26"/>
          <w:szCs w:val="26"/>
          <w:u w:val="single"/>
        </w:rPr>
        <w:t>Bureaucracy</w:t>
      </w:r>
      <w:r w:rsidRPr="007C67CC">
        <w:rPr>
          <w:b/>
          <w:sz w:val="26"/>
          <w:szCs w:val="26"/>
          <w:u w:val="single"/>
        </w:rPr>
        <w:t xml:space="preserve"> Subcommittee: MH Working Group</w:t>
      </w:r>
    </w:p>
    <w:bookmarkEnd w:id="0"/>
    <w:p w:rsidR="00923372" w:rsidRDefault="00923372" w:rsidP="00923372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Attending: </w:t>
      </w:r>
    </w:p>
    <w:p w:rsidR="00923372" w:rsidRDefault="00923372" w:rsidP="00923372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Kevin </w:t>
      </w:r>
      <w:proofErr w:type="spellStart"/>
      <w:r>
        <w:rPr>
          <w:sz w:val="26"/>
          <w:szCs w:val="26"/>
        </w:rPr>
        <w:t>Voyvodich</w:t>
      </w:r>
      <w:proofErr w:type="spellEnd"/>
      <w:r>
        <w:rPr>
          <w:sz w:val="26"/>
          <w:szCs w:val="26"/>
        </w:rPr>
        <w:t xml:space="preserve">, Disability Rights Maine </w:t>
      </w:r>
    </w:p>
    <w:p w:rsidR="00923372" w:rsidRDefault="00923372" w:rsidP="00923372">
      <w:pPr>
        <w:ind w:right="90"/>
        <w:rPr>
          <w:sz w:val="26"/>
          <w:szCs w:val="26"/>
        </w:rPr>
      </w:pPr>
      <w:r>
        <w:rPr>
          <w:sz w:val="26"/>
          <w:szCs w:val="26"/>
        </w:rPr>
        <w:t>Malory Shaughnessy, Alliance for Addiction and Mental Health Services</w:t>
      </w:r>
    </w:p>
    <w:p w:rsidR="00923372" w:rsidRDefault="00923372" w:rsidP="00923372">
      <w:pPr>
        <w:ind w:right="90"/>
        <w:rPr>
          <w:sz w:val="26"/>
          <w:szCs w:val="26"/>
        </w:rPr>
      </w:pPr>
    </w:p>
    <w:p w:rsidR="00923372" w:rsidRDefault="00923372" w:rsidP="00923372">
      <w:pPr>
        <w:ind w:right="90"/>
        <w:rPr>
          <w:sz w:val="26"/>
          <w:szCs w:val="26"/>
        </w:rPr>
      </w:pPr>
      <w:r>
        <w:rPr>
          <w:sz w:val="26"/>
          <w:szCs w:val="26"/>
        </w:rPr>
        <w:t>After some discussion we arrived at these broad themes as issues in the system today</w:t>
      </w:r>
      <w:r w:rsidR="00D83401">
        <w:rPr>
          <w:sz w:val="26"/>
          <w:szCs w:val="26"/>
        </w:rPr>
        <w:t>.</w:t>
      </w:r>
    </w:p>
    <w:p w:rsidR="00D83401" w:rsidRDefault="00D83401" w:rsidP="00923372">
      <w:pPr>
        <w:pStyle w:val="ListParagraph"/>
        <w:numPr>
          <w:ilvl w:val="0"/>
          <w:numId w:val="1"/>
        </w:numPr>
        <w:ind w:right="90"/>
        <w:rPr>
          <w:sz w:val="26"/>
          <w:szCs w:val="26"/>
        </w:rPr>
      </w:pPr>
      <w:r>
        <w:rPr>
          <w:sz w:val="26"/>
          <w:szCs w:val="26"/>
        </w:rPr>
        <w:t>Things that eat into productivity and reduce time for direct care</w:t>
      </w:r>
      <w:r w:rsidR="00CC22C0">
        <w:rPr>
          <w:sz w:val="26"/>
          <w:szCs w:val="26"/>
        </w:rPr>
        <w:t>:</w:t>
      </w:r>
    </w:p>
    <w:p w:rsidR="00923372" w:rsidRDefault="00923372" w:rsidP="00D83401">
      <w:pPr>
        <w:pStyle w:val="ListParagraph"/>
        <w:numPr>
          <w:ilvl w:val="1"/>
          <w:numId w:val="1"/>
        </w:numPr>
        <w:ind w:right="90"/>
        <w:rPr>
          <w:sz w:val="26"/>
          <w:szCs w:val="26"/>
        </w:rPr>
      </w:pPr>
      <w:r>
        <w:rPr>
          <w:sz w:val="26"/>
          <w:szCs w:val="26"/>
        </w:rPr>
        <w:t>Overlapping and sometimes redundant reporting (several systems to upload data into regarding treatment plans and clinical services)</w:t>
      </w:r>
      <w:proofErr w:type="gramStart"/>
      <w:r>
        <w:rPr>
          <w:sz w:val="26"/>
          <w:szCs w:val="26"/>
        </w:rPr>
        <w:t>, .</w:t>
      </w:r>
      <w:proofErr w:type="gramEnd"/>
    </w:p>
    <w:p w:rsidR="00D83401" w:rsidRDefault="00D83401" w:rsidP="00D83401">
      <w:pPr>
        <w:pStyle w:val="ListParagraph"/>
        <w:numPr>
          <w:ilvl w:val="1"/>
          <w:numId w:val="1"/>
        </w:numPr>
        <w:ind w:right="90"/>
        <w:rPr>
          <w:sz w:val="26"/>
          <w:szCs w:val="26"/>
        </w:rPr>
      </w:pPr>
      <w:r w:rsidRPr="00D83401">
        <w:rPr>
          <w:sz w:val="26"/>
          <w:szCs w:val="26"/>
        </w:rPr>
        <w:t xml:space="preserve">Disconnect between </w:t>
      </w:r>
      <w:proofErr w:type="spellStart"/>
      <w:r w:rsidRPr="00D83401">
        <w:rPr>
          <w:sz w:val="26"/>
          <w:szCs w:val="26"/>
        </w:rPr>
        <w:t>Kepro</w:t>
      </w:r>
      <w:proofErr w:type="spellEnd"/>
      <w:r w:rsidRPr="00D83401">
        <w:rPr>
          <w:sz w:val="26"/>
          <w:szCs w:val="26"/>
        </w:rPr>
        <w:t xml:space="preserve"> requirements, licensing requirements and DHHS program requirements</w:t>
      </w:r>
      <w:r>
        <w:rPr>
          <w:sz w:val="26"/>
          <w:szCs w:val="26"/>
        </w:rPr>
        <w:t xml:space="preserve">, with new requirements that come out with little notice. </w:t>
      </w:r>
    </w:p>
    <w:p w:rsidR="00923372" w:rsidRDefault="00D83401" w:rsidP="00D83401">
      <w:pPr>
        <w:pStyle w:val="ListParagraph"/>
        <w:numPr>
          <w:ilvl w:val="1"/>
          <w:numId w:val="1"/>
        </w:numPr>
        <w:ind w:right="90"/>
        <w:rPr>
          <w:sz w:val="26"/>
          <w:szCs w:val="26"/>
        </w:rPr>
      </w:pPr>
      <w:r>
        <w:rPr>
          <w:sz w:val="26"/>
          <w:szCs w:val="26"/>
        </w:rPr>
        <w:t>Multiple</w:t>
      </w:r>
      <w:r w:rsidR="00923372">
        <w:rPr>
          <w:sz w:val="26"/>
          <w:szCs w:val="26"/>
        </w:rPr>
        <w:t xml:space="preserve"> audits from </w:t>
      </w:r>
      <w:r>
        <w:rPr>
          <w:sz w:val="26"/>
          <w:szCs w:val="26"/>
        </w:rPr>
        <w:t>licensing, Mainecare and programmatic. Could these be aligned to happen at the same time to reduce impact on staff time?</w:t>
      </w:r>
    </w:p>
    <w:p w:rsidR="00D83401" w:rsidRDefault="00D83401" w:rsidP="00D83401">
      <w:pPr>
        <w:pStyle w:val="ListParagraph"/>
        <w:numPr>
          <w:ilvl w:val="1"/>
          <w:numId w:val="1"/>
        </w:num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Requirement for prior authorizations regularly for treatment of chronic conditions such as with ACT services every 90 days. Some states do this at 6 or 12 month intervals.  </w:t>
      </w:r>
    </w:p>
    <w:p w:rsidR="00D83401" w:rsidRDefault="00D83401" w:rsidP="00D83401">
      <w:pPr>
        <w:pStyle w:val="ListParagraph"/>
        <w:numPr>
          <w:ilvl w:val="0"/>
          <w:numId w:val="1"/>
        </w:numPr>
        <w:ind w:right="90"/>
        <w:rPr>
          <w:sz w:val="26"/>
          <w:szCs w:val="26"/>
        </w:rPr>
      </w:pPr>
      <w:r>
        <w:rPr>
          <w:sz w:val="26"/>
          <w:szCs w:val="26"/>
        </w:rPr>
        <w:t>Things that can just be confusing and impact access to care:</w:t>
      </w:r>
    </w:p>
    <w:p w:rsidR="00D83401" w:rsidRDefault="00D83401" w:rsidP="00D83401">
      <w:pPr>
        <w:pStyle w:val="ListParagraph"/>
        <w:numPr>
          <w:ilvl w:val="1"/>
          <w:numId w:val="1"/>
        </w:numPr>
        <w:ind w:right="90"/>
        <w:rPr>
          <w:sz w:val="26"/>
          <w:szCs w:val="26"/>
        </w:rPr>
      </w:pPr>
      <w:r>
        <w:rPr>
          <w:sz w:val="26"/>
          <w:szCs w:val="26"/>
        </w:rPr>
        <w:t>KEPRO processes for prior authorizations.</w:t>
      </w:r>
    </w:p>
    <w:p w:rsidR="00D83401" w:rsidRDefault="00D83401" w:rsidP="00D83401">
      <w:pPr>
        <w:pStyle w:val="ListParagraph"/>
        <w:numPr>
          <w:ilvl w:val="1"/>
          <w:numId w:val="1"/>
        </w:numPr>
        <w:ind w:right="90"/>
        <w:rPr>
          <w:sz w:val="26"/>
          <w:szCs w:val="26"/>
        </w:rPr>
      </w:pPr>
      <w:r>
        <w:rPr>
          <w:sz w:val="26"/>
          <w:szCs w:val="26"/>
        </w:rPr>
        <w:t>Mainecare eligibility process and the churn of paperwork to maintain eligibility, Mainecare spend down, etc.</w:t>
      </w:r>
    </w:p>
    <w:p w:rsidR="00D83401" w:rsidRPr="00923372" w:rsidRDefault="00D83401" w:rsidP="00D83401">
      <w:pPr>
        <w:pStyle w:val="ListParagraph"/>
        <w:numPr>
          <w:ilvl w:val="1"/>
          <w:numId w:val="1"/>
        </w:numPr>
        <w:ind w:right="90"/>
        <w:rPr>
          <w:sz w:val="26"/>
          <w:szCs w:val="26"/>
        </w:rPr>
      </w:pPr>
      <w:r>
        <w:rPr>
          <w:sz w:val="26"/>
          <w:szCs w:val="26"/>
        </w:rPr>
        <w:t>Inconsistent MaineCare application of what is qualifying eligibility.</w:t>
      </w:r>
    </w:p>
    <w:p w:rsidR="00923372" w:rsidRDefault="00923372" w:rsidP="00923372">
      <w:pPr>
        <w:ind w:right="90"/>
        <w:rPr>
          <w:sz w:val="26"/>
          <w:szCs w:val="26"/>
        </w:rPr>
      </w:pPr>
    </w:p>
    <w:p w:rsidR="00D83401" w:rsidRDefault="00D83401" w:rsidP="00923372">
      <w:pPr>
        <w:ind w:right="90"/>
        <w:rPr>
          <w:sz w:val="26"/>
          <w:szCs w:val="26"/>
        </w:rPr>
      </w:pPr>
      <w:r>
        <w:rPr>
          <w:sz w:val="26"/>
          <w:szCs w:val="26"/>
        </w:rPr>
        <w:t>Recommendation:</w:t>
      </w:r>
    </w:p>
    <w:p w:rsidR="00D83401" w:rsidRDefault="00D83401" w:rsidP="00D83401">
      <w:pPr>
        <w:pStyle w:val="ListParagraph"/>
        <w:numPr>
          <w:ilvl w:val="0"/>
          <w:numId w:val="2"/>
        </w:num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Quarterly meetings </w:t>
      </w:r>
      <w:r w:rsidR="00CC22C0">
        <w:rPr>
          <w:sz w:val="26"/>
          <w:szCs w:val="26"/>
        </w:rPr>
        <w:t xml:space="preserve">between providers, MaineCare and DHHS programs </w:t>
      </w:r>
      <w:r>
        <w:rPr>
          <w:sz w:val="26"/>
          <w:szCs w:val="26"/>
        </w:rPr>
        <w:t>across sectors of services</w:t>
      </w:r>
      <w:r w:rsidR="00CC22C0">
        <w:rPr>
          <w:sz w:val="26"/>
          <w:szCs w:val="26"/>
        </w:rPr>
        <w:t xml:space="preserve"> to examine administrative processes and burdens, how information and clients are transferred between levels of care, and to reduce barriers to care. </w:t>
      </w:r>
    </w:p>
    <w:p w:rsidR="00CC22C0" w:rsidRPr="00CC22C0" w:rsidRDefault="00CC22C0" w:rsidP="00CC22C0">
      <w:pPr>
        <w:ind w:right="90"/>
        <w:rPr>
          <w:sz w:val="26"/>
          <w:szCs w:val="26"/>
        </w:rPr>
      </w:pPr>
    </w:p>
    <w:p w:rsidR="00923372" w:rsidRPr="00923372" w:rsidRDefault="00923372" w:rsidP="00923372">
      <w:pPr>
        <w:ind w:right="90"/>
        <w:rPr>
          <w:sz w:val="26"/>
          <w:szCs w:val="26"/>
        </w:rPr>
      </w:pPr>
    </w:p>
    <w:sectPr w:rsidR="00923372" w:rsidRPr="0092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69D"/>
    <w:multiLevelType w:val="hybridMultilevel"/>
    <w:tmpl w:val="6770B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54A39"/>
    <w:multiLevelType w:val="hybridMultilevel"/>
    <w:tmpl w:val="7F6C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72"/>
    <w:rsid w:val="0088565B"/>
    <w:rsid w:val="00923372"/>
    <w:rsid w:val="00CC22C0"/>
    <w:rsid w:val="00D8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3131"/>
  <w15:chartTrackingRefBased/>
  <w15:docId w15:val="{070784E2-29ED-4334-A2F1-0763EAC0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Malory Shaughnessy</dc:creator>
  <cp:keywords/>
  <dc:description/>
  <cp:lastModifiedBy>Malory Shaughnessy</cp:lastModifiedBy>
  <cp:revision>1</cp:revision>
  <dcterms:created xsi:type="dcterms:W3CDTF">2019-10-18T01:17:00Z</dcterms:created>
  <dcterms:modified xsi:type="dcterms:W3CDTF">2019-10-18T01:55:00Z</dcterms:modified>
</cp:coreProperties>
</file>