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0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7714" w14:paraId="1803852D" w14:textId="77777777" w:rsidTr="0045561A">
        <w:tc>
          <w:tcPr>
            <w:tcW w:w="5395" w:type="dxa"/>
            <w:shd w:val="clear" w:color="auto" w:fill="B4C6E7" w:themeFill="accent1" w:themeFillTint="66"/>
          </w:tcPr>
          <w:p w14:paraId="2D258F97" w14:textId="33000DCE" w:rsidR="00617714" w:rsidRPr="009C7ED6" w:rsidRDefault="00617714" w:rsidP="00CB356E">
            <w:pPr>
              <w:rPr>
                <w:b/>
                <w:bCs/>
              </w:rPr>
            </w:pPr>
            <w:r w:rsidRPr="009C7ED6">
              <w:rPr>
                <w:b/>
                <w:bCs/>
              </w:rPr>
              <w:t>When FEMA says this…</w:t>
            </w:r>
          </w:p>
        </w:tc>
        <w:tc>
          <w:tcPr>
            <w:tcW w:w="5395" w:type="dxa"/>
            <w:shd w:val="clear" w:color="auto" w:fill="B4C6E7" w:themeFill="accent1" w:themeFillTint="66"/>
          </w:tcPr>
          <w:p w14:paraId="150265AE" w14:textId="08D372DD" w:rsidR="00617714" w:rsidRPr="009C7ED6" w:rsidRDefault="00617714" w:rsidP="00CB356E">
            <w:pPr>
              <w:rPr>
                <w:b/>
                <w:bCs/>
              </w:rPr>
            </w:pPr>
            <w:r w:rsidRPr="009C7ED6">
              <w:rPr>
                <w:b/>
                <w:bCs/>
              </w:rPr>
              <w:t xml:space="preserve">…it means this: </w:t>
            </w:r>
          </w:p>
        </w:tc>
      </w:tr>
      <w:tr w:rsidR="00617714" w14:paraId="3B787689" w14:textId="77777777" w:rsidTr="00CB356E">
        <w:tc>
          <w:tcPr>
            <w:tcW w:w="5395" w:type="dxa"/>
          </w:tcPr>
          <w:p w14:paraId="5A18D554" w14:textId="52AF430B" w:rsidR="00617714" w:rsidRDefault="00617714" w:rsidP="00CB356E">
            <w:r>
              <w:t>PDMG</w:t>
            </w:r>
          </w:p>
        </w:tc>
        <w:tc>
          <w:tcPr>
            <w:tcW w:w="5395" w:type="dxa"/>
          </w:tcPr>
          <w:p w14:paraId="05BCEA62" w14:textId="7336E2CA" w:rsidR="00617714" w:rsidRDefault="00617714" w:rsidP="00CB356E">
            <w:r>
              <w:t>Program Delivery Manager – this is your main FEMA contact for a particular disaster</w:t>
            </w:r>
          </w:p>
        </w:tc>
      </w:tr>
      <w:tr w:rsidR="00617714" w14:paraId="4E6FD43C" w14:textId="77777777" w:rsidTr="00CB356E">
        <w:tc>
          <w:tcPr>
            <w:tcW w:w="5395" w:type="dxa"/>
          </w:tcPr>
          <w:p w14:paraId="176843CF" w14:textId="707CFBDE" w:rsidR="00617714" w:rsidRDefault="00617714" w:rsidP="00CB356E">
            <w:r>
              <w:t>TFL</w:t>
            </w:r>
          </w:p>
        </w:tc>
        <w:tc>
          <w:tcPr>
            <w:tcW w:w="5395" w:type="dxa"/>
          </w:tcPr>
          <w:p w14:paraId="15FE0E1B" w14:textId="0C950E41" w:rsidR="00617714" w:rsidRDefault="00617714" w:rsidP="00CB356E">
            <w:r>
              <w:t>Task Force Lead – this is the supervisor for the PDMGs</w:t>
            </w:r>
          </w:p>
        </w:tc>
      </w:tr>
      <w:tr w:rsidR="002618F3" w14:paraId="378B73F5" w14:textId="77777777" w:rsidTr="00CB356E">
        <w:tc>
          <w:tcPr>
            <w:tcW w:w="5395" w:type="dxa"/>
          </w:tcPr>
          <w:p w14:paraId="358E8EFB" w14:textId="114625CF" w:rsidR="002618F3" w:rsidRDefault="002618F3" w:rsidP="00CB356E">
            <w:r>
              <w:t>PAGS</w:t>
            </w:r>
          </w:p>
        </w:tc>
        <w:tc>
          <w:tcPr>
            <w:tcW w:w="5395" w:type="dxa"/>
          </w:tcPr>
          <w:p w14:paraId="39100B3A" w14:textId="354F8669" w:rsidR="002618F3" w:rsidRDefault="002618F3" w:rsidP="00CB356E">
            <w:r>
              <w:t xml:space="preserve">PA Group Supervisor – FEMA team lead for the disaster; they often are managing more than one disaster in the region at a time. </w:t>
            </w:r>
          </w:p>
        </w:tc>
      </w:tr>
      <w:tr w:rsidR="00617714" w14:paraId="2086C7AF" w14:textId="77777777" w:rsidTr="00CB356E">
        <w:tc>
          <w:tcPr>
            <w:tcW w:w="5395" w:type="dxa"/>
          </w:tcPr>
          <w:p w14:paraId="2225A130" w14:textId="46C56738" w:rsidR="00617714" w:rsidRDefault="00617714" w:rsidP="00CB356E">
            <w:r>
              <w:t>PA</w:t>
            </w:r>
          </w:p>
        </w:tc>
        <w:tc>
          <w:tcPr>
            <w:tcW w:w="5395" w:type="dxa"/>
          </w:tcPr>
          <w:p w14:paraId="18A5825C" w14:textId="2CA986AA" w:rsidR="00617714" w:rsidRDefault="00617714" w:rsidP="00CB356E">
            <w:r>
              <w:t xml:space="preserve">Public Assistance program – this is the program by which disaster recovery funds are administered and delivered to our communities </w:t>
            </w:r>
          </w:p>
        </w:tc>
      </w:tr>
      <w:tr w:rsidR="00617714" w14:paraId="45FC0B30" w14:textId="77777777" w:rsidTr="00CB356E">
        <w:tc>
          <w:tcPr>
            <w:tcW w:w="5395" w:type="dxa"/>
          </w:tcPr>
          <w:p w14:paraId="332DE501" w14:textId="2A2DEEFE" w:rsidR="00617714" w:rsidRDefault="00617714" w:rsidP="00CB356E">
            <w:r>
              <w:t>PAPPG (</w:t>
            </w:r>
            <w:r w:rsidR="00BF1091">
              <w:t>“</w:t>
            </w:r>
            <w:r>
              <w:t>The Papa-G</w:t>
            </w:r>
            <w:r w:rsidR="00BF1091">
              <w:t>”</w:t>
            </w:r>
            <w:r>
              <w:t>)</w:t>
            </w:r>
          </w:p>
        </w:tc>
        <w:tc>
          <w:tcPr>
            <w:tcW w:w="5395" w:type="dxa"/>
          </w:tcPr>
          <w:p w14:paraId="02B71DBA" w14:textId="399D9BBA" w:rsidR="00617714" w:rsidRDefault="00617714" w:rsidP="00CB356E">
            <w:r>
              <w:t xml:space="preserve">Public Assistance Program and Policy Guide – this is FEMA’s official guide and guidelines for Public Assistance </w:t>
            </w:r>
          </w:p>
        </w:tc>
      </w:tr>
      <w:tr w:rsidR="00C27813" w14:paraId="4C5139DA" w14:textId="77777777" w:rsidTr="00CB356E">
        <w:tc>
          <w:tcPr>
            <w:tcW w:w="5395" w:type="dxa"/>
          </w:tcPr>
          <w:p w14:paraId="27D624BD" w14:textId="3D5140A0" w:rsidR="00C27813" w:rsidRDefault="00C27813" w:rsidP="00CB356E">
            <w:r>
              <w:t>PDA</w:t>
            </w:r>
          </w:p>
        </w:tc>
        <w:tc>
          <w:tcPr>
            <w:tcW w:w="5395" w:type="dxa"/>
          </w:tcPr>
          <w:p w14:paraId="5D4C1F14" w14:textId="6FD102FC" w:rsidR="00C27813" w:rsidRDefault="00C27813" w:rsidP="00CB356E">
            <w:r>
              <w:t xml:space="preserve">Preliminary Damage Assessment </w:t>
            </w:r>
            <w:r w:rsidR="00BA245E">
              <w:t>–</w:t>
            </w:r>
            <w:r>
              <w:t xml:space="preserve"> </w:t>
            </w:r>
            <w:r w:rsidR="00BA245E">
              <w:t xml:space="preserve">completed often with FEMA representatives prior to a disaster declaration to validate the costs for damages required to </w:t>
            </w:r>
            <w:r w:rsidR="00167361">
              <w:t xml:space="preserve">request the declaration. </w:t>
            </w:r>
          </w:p>
        </w:tc>
      </w:tr>
      <w:tr w:rsidR="00167361" w14:paraId="3CFA9AE6" w14:textId="77777777" w:rsidTr="00CB356E">
        <w:tc>
          <w:tcPr>
            <w:tcW w:w="5395" w:type="dxa"/>
          </w:tcPr>
          <w:p w14:paraId="3BBF0DE9" w14:textId="37D240DC" w:rsidR="00167361" w:rsidRDefault="00167361" w:rsidP="00CB356E">
            <w:r>
              <w:t>Threshold</w:t>
            </w:r>
          </w:p>
        </w:tc>
        <w:tc>
          <w:tcPr>
            <w:tcW w:w="5395" w:type="dxa"/>
          </w:tcPr>
          <w:p w14:paraId="2B85898C" w14:textId="61D044AB" w:rsidR="00167361" w:rsidRDefault="00167361" w:rsidP="00CB356E">
            <w:r>
              <w:t xml:space="preserve">The fiscal figure required at each level of the PA process. There </w:t>
            </w:r>
            <w:r w:rsidR="00555903">
              <w:t xml:space="preserve">is a threshold for each county and the state to be qualified for and request a Disaster Declaration; there is a threshold for each project in each damage category (A-G) in order for a project to be eligible for reimbursement through PA. </w:t>
            </w:r>
            <w:r w:rsidR="003D3884">
              <w:t xml:space="preserve">If your expenses in a category fall below this threshold, they cannot be reimbursed. </w:t>
            </w:r>
          </w:p>
        </w:tc>
      </w:tr>
      <w:tr w:rsidR="00617714" w14:paraId="75472295" w14:textId="77777777" w:rsidTr="00CB356E">
        <w:tc>
          <w:tcPr>
            <w:tcW w:w="5395" w:type="dxa"/>
          </w:tcPr>
          <w:p w14:paraId="71460721" w14:textId="4B221886" w:rsidR="00617714" w:rsidRDefault="00617714" w:rsidP="00CB356E">
            <w:r>
              <w:t>EC</w:t>
            </w:r>
          </w:p>
        </w:tc>
        <w:tc>
          <w:tcPr>
            <w:tcW w:w="5395" w:type="dxa"/>
          </w:tcPr>
          <w:p w14:paraId="268C73E7" w14:textId="4FFF2D50" w:rsidR="00617714" w:rsidRDefault="00617714" w:rsidP="00CB356E">
            <w:r>
              <w:t>Exploratory Call – the first call where you “meet” your PDMG and set up your RSM</w:t>
            </w:r>
          </w:p>
        </w:tc>
      </w:tr>
      <w:tr w:rsidR="00617714" w14:paraId="436EF8E4" w14:textId="77777777" w:rsidTr="00CB356E">
        <w:tc>
          <w:tcPr>
            <w:tcW w:w="5395" w:type="dxa"/>
          </w:tcPr>
          <w:p w14:paraId="45069AC6" w14:textId="41EF78A2" w:rsidR="00617714" w:rsidRDefault="00617714" w:rsidP="00CB356E">
            <w:r>
              <w:t>RSM</w:t>
            </w:r>
          </w:p>
        </w:tc>
        <w:tc>
          <w:tcPr>
            <w:tcW w:w="5395" w:type="dxa"/>
          </w:tcPr>
          <w:p w14:paraId="296C8675" w14:textId="12FFD8AD" w:rsidR="00617714" w:rsidRDefault="00617714" w:rsidP="00CB356E">
            <w:r>
              <w:t xml:space="preserve">Recovery Scoping Meeting – the meeting to review your damages in depth so projects can be created </w:t>
            </w:r>
          </w:p>
        </w:tc>
      </w:tr>
      <w:tr w:rsidR="00617714" w14:paraId="7C573DDA" w14:textId="77777777" w:rsidTr="00CB356E">
        <w:tc>
          <w:tcPr>
            <w:tcW w:w="5395" w:type="dxa"/>
          </w:tcPr>
          <w:p w14:paraId="134F1A1F" w14:textId="64953CDC" w:rsidR="00617714" w:rsidRDefault="00BF1091" w:rsidP="00CB356E">
            <w:r>
              <w:t>RFI</w:t>
            </w:r>
          </w:p>
        </w:tc>
        <w:tc>
          <w:tcPr>
            <w:tcW w:w="5395" w:type="dxa"/>
          </w:tcPr>
          <w:p w14:paraId="5CA9E230" w14:textId="43E8F39E" w:rsidR="00617714" w:rsidRDefault="00BF1091" w:rsidP="00CB356E">
            <w:r>
              <w:t>Request for information – formal question from FEMA that can delay projects; usually your PDMG will relay these informally to attempt to a gather the information to avoid RFIs</w:t>
            </w:r>
          </w:p>
        </w:tc>
      </w:tr>
      <w:tr w:rsidR="00617714" w14:paraId="2051F03D" w14:textId="77777777" w:rsidTr="00CB356E">
        <w:tc>
          <w:tcPr>
            <w:tcW w:w="5395" w:type="dxa"/>
          </w:tcPr>
          <w:p w14:paraId="39ECBC0C" w14:textId="0D65D2A0" w:rsidR="00617714" w:rsidRDefault="00EC61B9" w:rsidP="00CB356E">
            <w:r>
              <w:t>DI</w:t>
            </w:r>
          </w:p>
        </w:tc>
        <w:tc>
          <w:tcPr>
            <w:tcW w:w="5395" w:type="dxa"/>
          </w:tcPr>
          <w:p w14:paraId="49F6E8E8" w14:textId="2D9345A6" w:rsidR="00617714" w:rsidRDefault="00EC61B9" w:rsidP="00CB356E">
            <w:r>
              <w:t xml:space="preserve">Damage Inventory – spreadsheet with detailed information about damages incurred from a specific disaster </w:t>
            </w:r>
          </w:p>
        </w:tc>
      </w:tr>
      <w:tr w:rsidR="00EC61B9" w14:paraId="48FCAEC2" w14:textId="77777777" w:rsidTr="00CB356E">
        <w:tc>
          <w:tcPr>
            <w:tcW w:w="5395" w:type="dxa"/>
          </w:tcPr>
          <w:p w14:paraId="11F8BD8F" w14:textId="03DBABED" w:rsidR="00EC61B9" w:rsidRDefault="00EC61B9" w:rsidP="00CB356E">
            <w:r w:rsidRPr="00EC61B9">
              <w:t xml:space="preserve">Projects </w:t>
            </w:r>
            <w:r w:rsidRPr="00EC61B9">
              <w:tab/>
            </w:r>
          </w:p>
        </w:tc>
        <w:tc>
          <w:tcPr>
            <w:tcW w:w="5395" w:type="dxa"/>
          </w:tcPr>
          <w:p w14:paraId="0E8CC20A" w14:textId="63E67D87" w:rsidR="00EC61B9" w:rsidRDefault="00EC61B9" w:rsidP="00CB356E">
            <w:r w:rsidRPr="00EC61B9">
              <w:t>Groupings of damages (with documentation and dollar amounts) put into Grants Portal under various categories to seek reimbursement</w:t>
            </w:r>
            <w:r w:rsidR="00BF1091">
              <w:t xml:space="preserve">. Each project for each category has to amount to a minimum threshold amount. </w:t>
            </w:r>
          </w:p>
        </w:tc>
      </w:tr>
      <w:tr w:rsidR="000870B2" w14:paraId="02C58797" w14:textId="77777777" w:rsidTr="001D6A61">
        <w:trPr>
          <w:cantSplit/>
        </w:trPr>
        <w:tc>
          <w:tcPr>
            <w:tcW w:w="5395" w:type="dxa"/>
          </w:tcPr>
          <w:p w14:paraId="57AC231C" w14:textId="2CB00885" w:rsidR="000870B2" w:rsidRPr="00EC61B9" w:rsidRDefault="000870B2" w:rsidP="00CB356E">
            <w:r>
              <w:t>Facilities</w:t>
            </w:r>
          </w:p>
        </w:tc>
        <w:tc>
          <w:tcPr>
            <w:tcW w:w="5395" w:type="dxa"/>
          </w:tcPr>
          <w:p w14:paraId="01CBCEB4" w14:textId="70B686AD" w:rsidR="000870B2" w:rsidRPr="00EC61B9" w:rsidRDefault="000870B2" w:rsidP="00CB356E">
            <w:r>
              <w:t xml:space="preserve">This means any structure or asset that sustained damage during the declared disaster. Includes roads, bridges, etc. </w:t>
            </w:r>
          </w:p>
        </w:tc>
      </w:tr>
      <w:tr w:rsidR="000870B2" w14:paraId="024B1AC8" w14:textId="77777777" w:rsidTr="0084673B">
        <w:trPr>
          <w:cantSplit/>
        </w:trPr>
        <w:tc>
          <w:tcPr>
            <w:tcW w:w="5395" w:type="dxa"/>
          </w:tcPr>
          <w:p w14:paraId="4A7A4113" w14:textId="7CB61790" w:rsidR="000870B2" w:rsidRPr="00EC61B9" w:rsidRDefault="000870B2" w:rsidP="00CB356E">
            <w:r>
              <w:t xml:space="preserve">Do you have insurance for that? </w:t>
            </w:r>
          </w:p>
        </w:tc>
        <w:tc>
          <w:tcPr>
            <w:tcW w:w="5395" w:type="dxa"/>
          </w:tcPr>
          <w:p w14:paraId="4F1F63F9" w14:textId="6BA2536A" w:rsidR="000870B2" w:rsidRPr="00EC61B9" w:rsidRDefault="000870B2" w:rsidP="00CB356E">
            <w:r>
              <w:t xml:space="preserve">Generally speaking, most towns and cities have liability insurance (usually through MMA) and this doesn’t cover things like roads, but FEMA will need a copy of the policy </w:t>
            </w:r>
            <w:r>
              <w:lastRenderedPageBreak/>
              <w:t xml:space="preserve">that was in place during the incident to review. They have a team of insurance experts that will confirm what was covered and what wasn’t </w:t>
            </w:r>
          </w:p>
        </w:tc>
      </w:tr>
      <w:tr w:rsidR="000870B2" w14:paraId="3AB5D803" w14:textId="77777777" w:rsidTr="00CB356E">
        <w:tc>
          <w:tcPr>
            <w:tcW w:w="5395" w:type="dxa"/>
          </w:tcPr>
          <w:p w14:paraId="765D1772" w14:textId="28C76A61" w:rsidR="000870B2" w:rsidRPr="00EC61B9" w:rsidRDefault="000870B2" w:rsidP="00CB356E">
            <w:r>
              <w:lastRenderedPageBreak/>
              <w:t xml:space="preserve">Is this your legal responsibility to fix or maintain? </w:t>
            </w:r>
          </w:p>
        </w:tc>
        <w:tc>
          <w:tcPr>
            <w:tcW w:w="5395" w:type="dxa"/>
          </w:tcPr>
          <w:p w14:paraId="6C5958F0" w14:textId="477D799A" w:rsidR="000870B2" w:rsidRPr="00EC61B9" w:rsidRDefault="00DD0D8D" w:rsidP="00CB356E">
            <w:r>
              <w:t xml:space="preserve">Asking if the damages are within your jurisdiction and not federal, state, or private property </w:t>
            </w:r>
          </w:p>
        </w:tc>
      </w:tr>
      <w:tr w:rsidR="000870B2" w14:paraId="141C24ED" w14:textId="77777777" w:rsidTr="00CB356E">
        <w:tc>
          <w:tcPr>
            <w:tcW w:w="5395" w:type="dxa"/>
          </w:tcPr>
          <w:p w14:paraId="0771B356" w14:textId="5CCD7983" w:rsidR="000870B2" w:rsidRPr="00EC61B9" w:rsidRDefault="00AE60FC" w:rsidP="00CB356E">
            <w:r>
              <w:t xml:space="preserve">Do you have a Mitigation Proposal? </w:t>
            </w:r>
          </w:p>
        </w:tc>
        <w:tc>
          <w:tcPr>
            <w:tcW w:w="5395" w:type="dxa"/>
          </w:tcPr>
          <w:p w14:paraId="2FF99028" w14:textId="14FC23D9" w:rsidR="000870B2" w:rsidRPr="00EC61B9" w:rsidRDefault="00AE60FC" w:rsidP="00CB356E">
            <w:r>
              <w:t>This is a proposal specific to the damages from the stor</w:t>
            </w:r>
            <w:r w:rsidR="00DB524E">
              <w:t>m- n</w:t>
            </w:r>
            <w:r>
              <w:t>ot your town or county overall Hazard Mitigation Plan</w:t>
            </w:r>
            <w:r w:rsidR="00881205">
              <w:t xml:space="preserve">. A proposal may contain the </w:t>
            </w:r>
            <w:r w:rsidR="0023286A">
              <w:t xml:space="preserve">desire to upsize culverts or add rip rap at any particular location(s). </w:t>
            </w:r>
          </w:p>
        </w:tc>
      </w:tr>
      <w:tr w:rsidR="0093669E" w14:paraId="4C8EBA19" w14:textId="77777777" w:rsidTr="00CB356E">
        <w:tc>
          <w:tcPr>
            <w:tcW w:w="5395" w:type="dxa"/>
          </w:tcPr>
          <w:p w14:paraId="7223A4CF" w14:textId="7EF7300E" w:rsidR="0093669E" w:rsidRPr="00EC61B9" w:rsidRDefault="006B0752" w:rsidP="00CB356E">
            <w:r>
              <w:t>FEMA</w:t>
            </w:r>
            <w:r w:rsidR="00592D5A">
              <w:t>-</w:t>
            </w:r>
            <w:r>
              <w:t xml:space="preserve">Approved Debris Plan </w:t>
            </w:r>
          </w:p>
        </w:tc>
        <w:tc>
          <w:tcPr>
            <w:tcW w:w="5395" w:type="dxa"/>
          </w:tcPr>
          <w:p w14:paraId="5C769714" w14:textId="7E0932A9" w:rsidR="0093669E" w:rsidRPr="00EC61B9" w:rsidRDefault="00B84808" w:rsidP="00CB356E">
            <w:r>
              <w:t>This is a</w:t>
            </w:r>
            <w:r w:rsidR="0011223F">
              <w:t>n</w:t>
            </w:r>
            <w:r>
              <w:t xml:space="preserve"> </w:t>
            </w:r>
            <w:r w:rsidR="009D289A">
              <w:t>older document some towns may have</w:t>
            </w:r>
            <w:r w:rsidR="00881205">
              <w:t xml:space="preserve">; it is not necessary. Debris should be disposed of in environmentally sound manner (e.g., at approved/licensed facilities). </w:t>
            </w:r>
          </w:p>
        </w:tc>
      </w:tr>
      <w:tr w:rsidR="0093669E" w14:paraId="6F0B6E83" w14:textId="77777777" w:rsidTr="00CB356E">
        <w:tc>
          <w:tcPr>
            <w:tcW w:w="5395" w:type="dxa"/>
          </w:tcPr>
          <w:p w14:paraId="0FC5E85A" w14:textId="34A920DB" w:rsidR="0093669E" w:rsidRPr="00EC61B9" w:rsidRDefault="006B0752" w:rsidP="00CB356E">
            <w:r>
              <w:t xml:space="preserve">Percent complete – temporary and </w:t>
            </w:r>
            <w:r w:rsidR="000B27B9">
              <w:t>permanent</w:t>
            </w:r>
            <w:r>
              <w:t xml:space="preserve"> work </w:t>
            </w:r>
          </w:p>
        </w:tc>
        <w:tc>
          <w:tcPr>
            <w:tcW w:w="5395" w:type="dxa"/>
          </w:tcPr>
          <w:p w14:paraId="366F8343" w14:textId="6C45D4DD" w:rsidR="0093669E" w:rsidRPr="00EC61B9" w:rsidRDefault="000B27B9" w:rsidP="00CB356E">
            <w:r>
              <w:t xml:space="preserve">For all categories of work (A-G) percent complete is how much is done to return the </w:t>
            </w:r>
            <w:r w:rsidR="00F4211A">
              <w:t>location or facility, road, etc., back to its pre-storm condition. You may be done with temp repairs to get the road passable, but still need to re-pave. Estimate that this could be 25</w:t>
            </w:r>
            <w:r w:rsidR="00C85265">
              <w:t>%</w:t>
            </w:r>
            <w:r w:rsidR="00064389">
              <w:t>, 70%, 90%</w:t>
            </w:r>
            <w:r w:rsidR="00C85265">
              <w:t xml:space="preserve">, etc., </w:t>
            </w:r>
            <w:r w:rsidR="00064389">
              <w:t>done. Similarly with Debris remov</w:t>
            </w:r>
            <w:r w:rsidR="00C85265">
              <w:t>a</w:t>
            </w:r>
            <w:r w:rsidR="00064389">
              <w:t xml:space="preserve">l – if it’s at a staging location, but not fully to its final resting place, estimate a percentage of work done and yet to be done. </w:t>
            </w:r>
          </w:p>
        </w:tc>
      </w:tr>
      <w:tr w:rsidR="0093669E" w14:paraId="3880F738" w14:textId="77777777" w:rsidTr="00CB356E">
        <w:tc>
          <w:tcPr>
            <w:tcW w:w="5395" w:type="dxa"/>
          </w:tcPr>
          <w:p w14:paraId="722A87FF" w14:textId="07F5CA78" w:rsidR="0093669E" w:rsidRDefault="006B0752" w:rsidP="00CB356E">
            <w:r>
              <w:t>Culverts</w:t>
            </w:r>
          </w:p>
          <w:p w14:paraId="7B2E8119" w14:textId="69FB8BAE" w:rsidR="006B0752" w:rsidRPr="00EC61B9" w:rsidRDefault="006B0752" w:rsidP="00CB356E"/>
        </w:tc>
        <w:tc>
          <w:tcPr>
            <w:tcW w:w="5395" w:type="dxa"/>
          </w:tcPr>
          <w:p w14:paraId="421B9DC9" w14:textId="1FDFE818" w:rsidR="0093669E" w:rsidRPr="00EC61B9" w:rsidRDefault="00E70051" w:rsidP="00CB356E">
            <w:r>
              <w:t>Any material/structure</w:t>
            </w:r>
            <w:r w:rsidR="00D7511F">
              <w:t xml:space="preserve"> that allows for the passage of water under or along a roadway or similar structure </w:t>
            </w:r>
          </w:p>
        </w:tc>
      </w:tr>
      <w:tr w:rsidR="006B0752" w14:paraId="741D5558" w14:textId="77777777" w:rsidTr="00CB356E">
        <w:tc>
          <w:tcPr>
            <w:tcW w:w="5395" w:type="dxa"/>
          </w:tcPr>
          <w:p w14:paraId="2E563B5C" w14:textId="3FFA4691" w:rsidR="006B0752" w:rsidRDefault="006B0752" w:rsidP="00CB356E">
            <w:r>
              <w:t xml:space="preserve">Cross Drain </w:t>
            </w:r>
          </w:p>
        </w:tc>
        <w:tc>
          <w:tcPr>
            <w:tcW w:w="5395" w:type="dxa"/>
          </w:tcPr>
          <w:p w14:paraId="3D2FF6D6" w14:textId="14B937FA" w:rsidR="006B0752" w:rsidRPr="00EC61B9" w:rsidRDefault="009A1AED" w:rsidP="00CB356E">
            <w:r>
              <w:t>S</w:t>
            </w:r>
            <w:r w:rsidR="00C23E18" w:rsidRPr="00C23E18">
              <w:t>ystem that diverts water from a gateway, a track</w:t>
            </w:r>
            <w:r w:rsidR="00C27813">
              <w:t>,</w:t>
            </w:r>
            <w:r w:rsidR="00C23E18" w:rsidRPr="00C23E18">
              <w:t xml:space="preserve"> or farmyard to an area where it will not cause new erosion or runoff issues</w:t>
            </w:r>
            <w:r w:rsidR="00C27813">
              <w:t>.</w:t>
            </w:r>
          </w:p>
        </w:tc>
      </w:tr>
      <w:tr w:rsidR="006B0752" w14:paraId="1FB0A92C" w14:textId="77777777" w:rsidTr="00CB356E">
        <w:tc>
          <w:tcPr>
            <w:tcW w:w="5395" w:type="dxa"/>
          </w:tcPr>
          <w:p w14:paraId="14E61A1B" w14:textId="740C81DE" w:rsidR="006B0752" w:rsidRDefault="006B0752" w:rsidP="00CB356E">
            <w:r>
              <w:t>Inter</w:t>
            </w:r>
            <w:r w:rsidR="0080676D">
              <w:t>m</w:t>
            </w:r>
            <w:r>
              <w:t xml:space="preserve">ittent or </w:t>
            </w:r>
            <w:r w:rsidR="0080676D">
              <w:t xml:space="preserve">seasonal </w:t>
            </w:r>
            <w:r w:rsidR="00B373F0">
              <w:t xml:space="preserve">streams </w:t>
            </w:r>
          </w:p>
        </w:tc>
        <w:tc>
          <w:tcPr>
            <w:tcW w:w="5395" w:type="dxa"/>
          </w:tcPr>
          <w:p w14:paraId="5A844750" w14:textId="73F16738" w:rsidR="006B0752" w:rsidRPr="00EC61B9" w:rsidRDefault="00B373F0" w:rsidP="00CB356E">
            <w:r>
              <w:t>Those streams that flow part or most of the year; usually referenced for culverts that carry anything but road</w:t>
            </w:r>
            <w:r w:rsidR="002B2697">
              <w:t xml:space="preserve"> drainage and runoff (if not constant). </w:t>
            </w:r>
          </w:p>
        </w:tc>
      </w:tr>
      <w:tr w:rsidR="00D05128" w14:paraId="0E085C01" w14:textId="77777777" w:rsidTr="00CB356E">
        <w:tc>
          <w:tcPr>
            <w:tcW w:w="5395" w:type="dxa"/>
          </w:tcPr>
          <w:p w14:paraId="7AAA3561" w14:textId="2A2B6A8F" w:rsidR="00D05128" w:rsidRDefault="00D05128" w:rsidP="00CB356E">
            <w:r>
              <w:t>SI</w:t>
            </w:r>
          </w:p>
        </w:tc>
        <w:tc>
          <w:tcPr>
            <w:tcW w:w="5395" w:type="dxa"/>
          </w:tcPr>
          <w:p w14:paraId="6ECEC92B" w14:textId="2D051465" w:rsidR="00D05128" w:rsidRDefault="00D05128" w:rsidP="00CB356E">
            <w:r>
              <w:t xml:space="preserve">Site inspection – a specialized FEMA team will visit (or do a desk-top) analysis of your damages at locations that </w:t>
            </w:r>
            <w:r w:rsidR="00473A87">
              <w:t xml:space="preserve">still need work to be completed to evaluate extent of damage, mitigation opportunities and EHP concerns. </w:t>
            </w:r>
            <w:r w:rsidR="004A796B">
              <w:t xml:space="preserve">Will often repeat info transmitted at previous stages of the process. </w:t>
            </w:r>
          </w:p>
        </w:tc>
      </w:tr>
      <w:tr w:rsidR="00592D5A" w14:paraId="767BDD09" w14:textId="77777777" w:rsidTr="00CB356E">
        <w:tc>
          <w:tcPr>
            <w:tcW w:w="5395" w:type="dxa"/>
          </w:tcPr>
          <w:p w14:paraId="1177CF01" w14:textId="4B5CDF45" w:rsidR="00592D5A" w:rsidRDefault="00592D5A" w:rsidP="00CB356E">
            <w:r>
              <w:t>Obligated/Obligation</w:t>
            </w:r>
          </w:p>
        </w:tc>
        <w:tc>
          <w:tcPr>
            <w:tcW w:w="5395" w:type="dxa"/>
          </w:tcPr>
          <w:p w14:paraId="3C4D2471" w14:textId="3174AA03" w:rsidR="00592D5A" w:rsidRDefault="00592D5A" w:rsidP="00CB356E">
            <w:r>
              <w:t>When a project(s) is approved for funding by FEMA</w:t>
            </w:r>
            <w:r w:rsidR="0077702E">
              <w:t>.</w:t>
            </w:r>
          </w:p>
        </w:tc>
      </w:tr>
      <w:tr w:rsidR="0092425F" w14:paraId="7671628E" w14:textId="77777777" w:rsidTr="00CB356E">
        <w:tc>
          <w:tcPr>
            <w:tcW w:w="5395" w:type="dxa"/>
          </w:tcPr>
          <w:p w14:paraId="760F01A0" w14:textId="3C9D1F42" w:rsidR="0092425F" w:rsidRDefault="0092425F" w:rsidP="00CB356E">
            <w:r>
              <w:t>RTM</w:t>
            </w:r>
          </w:p>
        </w:tc>
        <w:tc>
          <w:tcPr>
            <w:tcW w:w="5395" w:type="dxa"/>
          </w:tcPr>
          <w:p w14:paraId="38BE4532" w14:textId="00A8CF3A" w:rsidR="0092425F" w:rsidRDefault="0092425F" w:rsidP="00CB356E">
            <w:r>
              <w:t xml:space="preserve">Recovery Transition Meeting - This is where FEMA turns over the project and process to the State; usually means the projects have been obligated and work is progressing according to plan </w:t>
            </w:r>
          </w:p>
        </w:tc>
      </w:tr>
      <w:tr w:rsidR="004A7160" w14:paraId="193EC591" w14:textId="77777777" w:rsidTr="00CB356E">
        <w:tc>
          <w:tcPr>
            <w:tcW w:w="5395" w:type="dxa"/>
          </w:tcPr>
          <w:p w14:paraId="045562E9" w14:textId="0B6D3B5C" w:rsidR="004A7160" w:rsidRDefault="00EC79F8" w:rsidP="00CB356E">
            <w:r>
              <w:t>406 Mitigation/404 Mitigation</w:t>
            </w:r>
          </w:p>
        </w:tc>
        <w:tc>
          <w:tcPr>
            <w:tcW w:w="5395" w:type="dxa"/>
          </w:tcPr>
          <w:p w14:paraId="5AC02B02" w14:textId="16B25F38" w:rsidR="004A7160" w:rsidRDefault="00394807" w:rsidP="00CB356E">
            <w:r>
              <w:t xml:space="preserve">406 is mitigation funding applicable directly to </w:t>
            </w:r>
            <w:r w:rsidR="00056D8E">
              <w:t xml:space="preserve">assets damaged by the declared disaster; 404 is a competitive program run by the state and you have to have a hazard mitigation plan (and be in a county with an approved Hazard Mitigation plan). </w:t>
            </w:r>
          </w:p>
        </w:tc>
      </w:tr>
    </w:tbl>
    <w:p w14:paraId="6EF17FF2" w14:textId="77777777" w:rsidR="00A373D6" w:rsidRDefault="00A373D6"/>
    <w:p w14:paraId="7323FF01" w14:textId="77777777" w:rsidR="00A373D6" w:rsidRDefault="00A373D6"/>
    <w:p w14:paraId="34DD408A" w14:textId="77777777" w:rsidR="006F3D9D" w:rsidRDefault="006F3D9D"/>
    <w:p w14:paraId="08A1014F" w14:textId="77777777" w:rsidR="006F3D9D" w:rsidRDefault="006F3D9D"/>
    <w:p w14:paraId="792ACBD4" w14:textId="77777777" w:rsidR="006F3D9D" w:rsidRDefault="006F3D9D"/>
    <w:p w14:paraId="4ECA2D32" w14:textId="77777777" w:rsidR="006F3D9D" w:rsidRDefault="006F3D9D"/>
    <w:tbl>
      <w:tblPr>
        <w:tblStyle w:val="TableGrid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373D6" w14:paraId="53DB498A" w14:textId="77777777" w:rsidTr="00863516">
        <w:tc>
          <w:tcPr>
            <w:tcW w:w="5395" w:type="dxa"/>
            <w:shd w:val="clear" w:color="auto" w:fill="B4C6E7" w:themeFill="accent1" w:themeFillTint="66"/>
          </w:tcPr>
          <w:p w14:paraId="7409B898" w14:textId="3BC99BD0" w:rsidR="00A373D6" w:rsidRPr="002554AB" w:rsidRDefault="00000938" w:rsidP="003707BF">
            <w:pPr>
              <w:rPr>
                <w:b/>
                <w:bCs/>
              </w:rPr>
            </w:pPr>
            <w:r w:rsidRPr="002554AB">
              <w:rPr>
                <w:b/>
                <w:bCs/>
              </w:rPr>
              <w:t>If Maine says this…</w:t>
            </w:r>
          </w:p>
        </w:tc>
        <w:tc>
          <w:tcPr>
            <w:tcW w:w="5395" w:type="dxa"/>
            <w:shd w:val="clear" w:color="auto" w:fill="B4C6E7" w:themeFill="accent1" w:themeFillTint="66"/>
          </w:tcPr>
          <w:p w14:paraId="33FB899E" w14:textId="46DB7CA6" w:rsidR="00A373D6" w:rsidRPr="002554AB" w:rsidRDefault="002554AB" w:rsidP="003707BF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="00000938" w:rsidRPr="002554AB">
              <w:rPr>
                <w:b/>
                <w:bCs/>
              </w:rPr>
              <w:t xml:space="preserve"> mean this…</w:t>
            </w:r>
          </w:p>
        </w:tc>
      </w:tr>
      <w:tr w:rsidR="00A373D6" w14:paraId="0891197F" w14:textId="77777777" w:rsidTr="003707BF">
        <w:tc>
          <w:tcPr>
            <w:tcW w:w="5395" w:type="dxa"/>
          </w:tcPr>
          <w:p w14:paraId="1EA1167D" w14:textId="02C2C33E" w:rsidR="00A373D6" w:rsidRDefault="002554AB" w:rsidP="003707BF">
            <w:r>
              <w:t xml:space="preserve">Dirt </w:t>
            </w:r>
            <w:r w:rsidR="00863516">
              <w:t>R</w:t>
            </w:r>
            <w:r>
              <w:t>oad</w:t>
            </w:r>
          </w:p>
        </w:tc>
        <w:tc>
          <w:tcPr>
            <w:tcW w:w="5395" w:type="dxa"/>
          </w:tcPr>
          <w:p w14:paraId="24E88DB5" w14:textId="0DAA9FE4" w:rsidR="00A373D6" w:rsidRDefault="002554AB" w:rsidP="003707BF">
            <w:r>
              <w:t xml:space="preserve">Usually gravel – Maine often uses dirt and gravel interchangeably. FEMA will need to know </w:t>
            </w:r>
            <w:r w:rsidR="005363C9">
              <w:t xml:space="preserve">if it is really dirt or gravel to determine cost of </w:t>
            </w:r>
            <w:r w:rsidR="003A5E4A">
              <w:t xml:space="preserve">materials for </w:t>
            </w:r>
            <w:r w:rsidR="005363C9">
              <w:t>replacement and repair</w:t>
            </w:r>
            <w:r w:rsidR="003A5E4A">
              <w:t xml:space="preserve">. </w:t>
            </w:r>
          </w:p>
        </w:tc>
      </w:tr>
      <w:tr w:rsidR="00A373D6" w14:paraId="72F504A4" w14:textId="77777777" w:rsidTr="003707BF">
        <w:tc>
          <w:tcPr>
            <w:tcW w:w="5395" w:type="dxa"/>
          </w:tcPr>
          <w:p w14:paraId="418BCE37" w14:textId="782FA60A" w:rsidR="00A373D6" w:rsidRDefault="003A5E4A" w:rsidP="003707BF">
            <w:r>
              <w:t xml:space="preserve">Transfer </w:t>
            </w:r>
            <w:r w:rsidR="00682FBB">
              <w:t>S</w:t>
            </w:r>
            <w:r>
              <w:t>tation/Dump</w:t>
            </w:r>
          </w:p>
        </w:tc>
        <w:tc>
          <w:tcPr>
            <w:tcW w:w="5395" w:type="dxa"/>
          </w:tcPr>
          <w:p w14:paraId="2B72ECD9" w14:textId="70EA6C6D" w:rsidR="00A373D6" w:rsidRDefault="003A5E4A" w:rsidP="003707BF">
            <w:r>
              <w:t xml:space="preserve">The town’s municipal waste facility. Often has solid waste, compost, recycling facilities and/or some services with contractors but this is the dedicated local location for waste. </w:t>
            </w:r>
          </w:p>
        </w:tc>
      </w:tr>
      <w:tr w:rsidR="00A373D6" w14:paraId="53ED0558" w14:textId="77777777" w:rsidTr="003707BF">
        <w:tc>
          <w:tcPr>
            <w:tcW w:w="5395" w:type="dxa"/>
          </w:tcPr>
          <w:p w14:paraId="3CBFF02E" w14:textId="70D1E670" w:rsidR="00A373D6" w:rsidRDefault="00812BEE" w:rsidP="003707BF">
            <w:r>
              <w:t>Volunteer Fire Dep</w:t>
            </w:r>
            <w:r w:rsidR="00863516">
              <w:t>artment</w:t>
            </w:r>
          </w:p>
        </w:tc>
        <w:tc>
          <w:tcPr>
            <w:tcW w:w="5395" w:type="dxa"/>
          </w:tcPr>
          <w:p w14:paraId="2A6DDE11" w14:textId="19D7F3FA" w:rsidR="00A373D6" w:rsidRDefault="00812BEE" w:rsidP="003707BF">
            <w:r>
              <w:t xml:space="preserve">Most VFD’s in Maine are referred to as volunteers but receive a per-call or stipend payment for responding to calls </w:t>
            </w:r>
          </w:p>
        </w:tc>
      </w:tr>
      <w:tr w:rsidR="00C031DB" w14:paraId="7288E1E2" w14:textId="77777777" w:rsidTr="003707BF">
        <w:tc>
          <w:tcPr>
            <w:tcW w:w="5395" w:type="dxa"/>
          </w:tcPr>
          <w:p w14:paraId="351371BF" w14:textId="240A9E37" w:rsidR="00C031DB" w:rsidRDefault="00C031DB" w:rsidP="003707BF">
            <w:r>
              <w:t xml:space="preserve">Cord </w:t>
            </w:r>
            <w:r w:rsidR="00757555">
              <w:t>(when referring to Debris volume)</w:t>
            </w:r>
          </w:p>
        </w:tc>
        <w:tc>
          <w:tcPr>
            <w:tcW w:w="5395" w:type="dxa"/>
          </w:tcPr>
          <w:p w14:paraId="45FF69C1" w14:textId="06F71520" w:rsidR="00C031DB" w:rsidRDefault="00757555" w:rsidP="003707BF">
            <w:r>
              <w:t xml:space="preserve">Yes – we measure everything compared to firewood amounts. One </w:t>
            </w:r>
            <w:r w:rsidR="00870BB4">
              <w:t>c</w:t>
            </w:r>
            <w:r>
              <w:t>ord</w:t>
            </w:r>
            <w:r w:rsidR="00D04E26">
              <w:t xml:space="preserve"> equals </w:t>
            </w:r>
            <w:r w:rsidR="002F0AFD">
              <w:t>128 cubic feet</w:t>
            </w:r>
            <w:r w:rsidR="00D04E26">
              <w:t xml:space="preserve">. </w:t>
            </w:r>
          </w:p>
        </w:tc>
      </w:tr>
    </w:tbl>
    <w:p w14:paraId="272C0631" w14:textId="04FF9727" w:rsidR="00DE79DA" w:rsidRPr="006F586C" w:rsidRDefault="004E0B95">
      <w:pPr>
        <w:rPr>
          <w:rFonts w:ascii="Freestyle Script" w:hAnsi="Freestyle Script"/>
          <w:b/>
          <w:bCs/>
          <w:color w:val="2F5496" w:themeColor="accent1" w:themeShade="BF"/>
          <w:sz w:val="52"/>
          <w:szCs w:val="52"/>
        </w:rPr>
      </w:pPr>
      <w:r w:rsidRPr="006F586C">
        <w:rPr>
          <w:rFonts w:ascii="Freestyle Script" w:hAnsi="Freestyle Script"/>
          <w:b/>
          <w:bCs/>
          <w:noProof/>
          <w:color w:val="2F5496" w:themeColor="accent1" w:themeShade="B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20D1218" wp14:editId="7EF90F67">
            <wp:simplePos x="0" y="0"/>
            <wp:positionH relativeFrom="margin">
              <wp:posOffset>285750</wp:posOffset>
            </wp:positionH>
            <wp:positionV relativeFrom="paragraph">
              <wp:posOffset>8274050</wp:posOffset>
            </wp:positionV>
            <wp:extent cx="2158365" cy="768350"/>
            <wp:effectExtent l="0" t="0" r="0" b="0"/>
            <wp:wrapTight wrapText="bothSides">
              <wp:wrapPolygon edited="0">
                <wp:start x="2478" y="0"/>
                <wp:lineTo x="1144" y="1607"/>
                <wp:lineTo x="0" y="5891"/>
                <wp:lineTo x="0" y="13924"/>
                <wp:lineTo x="381" y="17137"/>
                <wp:lineTo x="2097" y="20886"/>
                <wp:lineTo x="2288" y="20886"/>
                <wp:lineTo x="5338" y="20886"/>
                <wp:lineTo x="5529" y="20886"/>
                <wp:lineTo x="7244" y="17673"/>
                <wp:lineTo x="21352" y="16066"/>
                <wp:lineTo x="21352" y="13924"/>
                <wp:lineTo x="21162" y="5891"/>
                <wp:lineTo x="5338" y="0"/>
                <wp:lineTo x="2478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586C">
        <w:rPr>
          <w:rFonts w:ascii="Freestyle Script" w:hAnsi="Freestyle Script"/>
          <w:b/>
          <w:bCs/>
          <w:noProof/>
          <w:color w:val="2F5496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22D6" wp14:editId="39695432">
                <wp:simplePos x="0" y="0"/>
                <wp:positionH relativeFrom="column">
                  <wp:posOffset>3276600</wp:posOffset>
                </wp:positionH>
                <wp:positionV relativeFrom="paragraph">
                  <wp:posOffset>8166100</wp:posOffset>
                </wp:positionV>
                <wp:extent cx="1454150" cy="336550"/>
                <wp:effectExtent l="0" t="19050" r="31750" b="4445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E4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58pt;margin-top:643pt;width:114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" adj="19100" fillcolor="#4472c4 [3204]" strokecolor="#1f3763 [1604]" strokeweight="1pt"/>
            </w:pict>
          </mc:Fallback>
        </mc:AlternateContent>
      </w:r>
      <w:r w:rsidRPr="006F586C">
        <w:rPr>
          <w:rFonts w:ascii="Freestyle Script" w:hAnsi="Freestyle Script"/>
          <w:b/>
          <w:bCs/>
          <w:noProof/>
          <w:color w:val="2F5496" w:themeColor="accent1" w:themeShade="B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2A3EFEB7" wp14:editId="4CB1238F">
            <wp:simplePos x="0" y="0"/>
            <wp:positionH relativeFrom="column">
              <wp:posOffset>5873750</wp:posOffset>
            </wp:positionH>
            <wp:positionV relativeFrom="paragraph">
              <wp:posOffset>7692390</wp:posOffset>
            </wp:positionV>
            <wp:extent cx="1060450" cy="1448435"/>
            <wp:effectExtent l="0" t="0" r="635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23015" b="10238"/>
                    <a:stretch/>
                  </pic:blipFill>
                  <pic:spPr bwMode="auto">
                    <a:xfrm>
                      <a:off x="0" y="0"/>
                      <a:ext cx="106045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25F" w:rsidRPr="006F586C">
        <w:rPr>
          <w:rFonts w:ascii="Freestyle Script" w:hAnsi="Freestyle Script"/>
          <w:b/>
          <w:bCs/>
          <w:noProof/>
          <w:color w:val="2F5496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EAF8B" wp14:editId="14A1A745">
                <wp:simplePos x="0" y="0"/>
                <wp:positionH relativeFrom="column">
                  <wp:posOffset>3238500</wp:posOffset>
                </wp:positionH>
                <wp:positionV relativeFrom="paragraph">
                  <wp:posOffset>8648700</wp:posOffset>
                </wp:positionV>
                <wp:extent cx="1631950" cy="527050"/>
                <wp:effectExtent l="0" t="0" r="635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BC2DB" w14:textId="106F9F8C" w:rsidR="002B2697" w:rsidRPr="002B2697" w:rsidRDefault="002B2697">
                            <w:pPr>
                              <w:rPr>
                                <w:rFonts w:ascii="Freestyle Script" w:hAnsi="Freestyle Script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2B2697">
                              <w:rPr>
                                <w:rFonts w:ascii="Freestyle Script" w:hAnsi="Freestyle Script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Translator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EAF8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5pt;margin-top:681pt;width:128.5pt;height:4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" fillcolor="white [3201]" stroked="f" strokeweight=".5pt">
                <v:textbox>
                  <w:txbxContent>
                    <w:p w14:paraId="4CFBC2DB" w14:textId="106F9F8C" w:rsidR="002B2697" w:rsidRPr="002B2697" w:rsidRDefault="002B2697">
                      <w:pPr>
                        <w:rPr>
                          <w:rFonts w:ascii="Freestyle Script" w:hAnsi="Freestyle Script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2B2697">
                        <w:rPr>
                          <w:rFonts w:ascii="Freestyle Script" w:hAnsi="Freestyle Script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Translator</w:t>
                      </w:r>
                    </w:p>
                  </w:txbxContent>
                </v:textbox>
              </v:shape>
            </w:pict>
          </mc:Fallback>
        </mc:AlternateContent>
      </w:r>
      <w:r w:rsidR="003707BF" w:rsidRPr="006F586C">
        <w:rPr>
          <w:rFonts w:ascii="Freestyle Script" w:hAnsi="Freestyle Script"/>
          <w:b/>
          <w:bCs/>
          <w:color w:val="2F5496" w:themeColor="accent1" w:themeShade="BF"/>
          <w:sz w:val="52"/>
          <w:szCs w:val="52"/>
        </w:rPr>
        <w:t>On the flip side…</w:t>
      </w:r>
    </w:p>
    <w:sectPr w:rsidR="00DE79DA" w:rsidRPr="006F586C" w:rsidSect="00AD0B32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A34B" w14:textId="77777777" w:rsidR="00BA140F" w:rsidRDefault="00BA140F" w:rsidP="005838AD">
      <w:pPr>
        <w:spacing w:after="0" w:line="240" w:lineRule="auto"/>
      </w:pPr>
      <w:r>
        <w:separator/>
      </w:r>
    </w:p>
  </w:endnote>
  <w:endnote w:type="continuationSeparator" w:id="0">
    <w:p w14:paraId="6642505F" w14:textId="77777777" w:rsidR="00BA140F" w:rsidRDefault="00BA140F" w:rsidP="0058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5BB9" w14:textId="77777777" w:rsidR="00BA140F" w:rsidRDefault="00BA140F" w:rsidP="005838AD">
      <w:pPr>
        <w:spacing w:after="0" w:line="240" w:lineRule="auto"/>
      </w:pPr>
      <w:r>
        <w:separator/>
      </w:r>
    </w:p>
  </w:footnote>
  <w:footnote w:type="continuationSeparator" w:id="0">
    <w:p w14:paraId="7642B83B" w14:textId="77777777" w:rsidR="00BA140F" w:rsidRDefault="00BA140F" w:rsidP="0058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7428" w14:textId="783C4B7D" w:rsidR="00AD0B32" w:rsidRDefault="00AD0B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A1A55C" wp14:editId="2CC39319">
          <wp:simplePos x="0" y="0"/>
          <wp:positionH relativeFrom="margin">
            <wp:align>center</wp:align>
          </wp:positionH>
          <wp:positionV relativeFrom="paragraph">
            <wp:posOffset>57150</wp:posOffset>
          </wp:positionV>
          <wp:extent cx="5395595" cy="1450975"/>
          <wp:effectExtent l="0" t="0" r="0" b="0"/>
          <wp:wrapTight wrapText="bothSides">
            <wp:wrapPolygon edited="0">
              <wp:start x="17159" y="0"/>
              <wp:lineTo x="1678" y="1702"/>
              <wp:lineTo x="76" y="2269"/>
              <wp:lineTo x="0" y="6523"/>
              <wp:lineTo x="0" y="10776"/>
              <wp:lineTo x="839" y="13612"/>
              <wp:lineTo x="9533" y="18150"/>
              <wp:lineTo x="9533" y="20418"/>
              <wp:lineTo x="17159" y="21269"/>
              <wp:lineTo x="21506" y="21269"/>
              <wp:lineTo x="21506" y="0"/>
              <wp:lineTo x="17159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57"/>
    <w:rsid w:val="00000938"/>
    <w:rsid w:val="00056D8E"/>
    <w:rsid w:val="00064389"/>
    <w:rsid w:val="00083785"/>
    <w:rsid w:val="000870B2"/>
    <w:rsid w:val="000B27B9"/>
    <w:rsid w:val="0011223F"/>
    <w:rsid w:val="00167361"/>
    <w:rsid w:val="001D6A61"/>
    <w:rsid w:val="0023286A"/>
    <w:rsid w:val="002501ED"/>
    <w:rsid w:val="002554AB"/>
    <w:rsid w:val="002618F3"/>
    <w:rsid w:val="002B2697"/>
    <w:rsid w:val="002F0AFD"/>
    <w:rsid w:val="003707BF"/>
    <w:rsid w:val="00394807"/>
    <w:rsid w:val="003A5E4A"/>
    <w:rsid w:val="003D3884"/>
    <w:rsid w:val="003F0659"/>
    <w:rsid w:val="0045561A"/>
    <w:rsid w:val="00473A87"/>
    <w:rsid w:val="00481F36"/>
    <w:rsid w:val="004A7160"/>
    <w:rsid w:val="004A796B"/>
    <w:rsid w:val="004E0B95"/>
    <w:rsid w:val="005363C9"/>
    <w:rsid w:val="00555903"/>
    <w:rsid w:val="005838AD"/>
    <w:rsid w:val="00592D5A"/>
    <w:rsid w:val="005F066E"/>
    <w:rsid w:val="005F6C20"/>
    <w:rsid w:val="00617714"/>
    <w:rsid w:val="00682FBB"/>
    <w:rsid w:val="006A5C5A"/>
    <w:rsid w:val="006B0752"/>
    <w:rsid w:val="006F3D9D"/>
    <w:rsid w:val="006F586C"/>
    <w:rsid w:val="0073275B"/>
    <w:rsid w:val="00757555"/>
    <w:rsid w:val="0077702E"/>
    <w:rsid w:val="0080676D"/>
    <w:rsid w:val="00812BEE"/>
    <w:rsid w:val="0084673B"/>
    <w:rsid w:val="00863145"/>
    <w:rsid w:val="00863516"/>
    <w:rsid w:val="00870BB4"/>
    <w:rsid w:val="00881205"/>
    <w:rsid w:val="008D0A16"/>
    <w:rsid w:val="008E6817"/>
    <w:rsid w:val="0092425F"/>
    <w:rsid w:val="0093669E"/>
    <w:rsid w:val="009A1AED"/>
    <w:rsid w:val="009B1C57"/>
    <w:rsid w:val="009C7ED6"/>
    <w:rsid w:val="009D289A"/>
    <w:rsid w:val="00A373D6"/>
    <w:rsid w:val="00A67EE0"/>
    <w:rsid w:val="00AD0B32"/>
    <w:rsid w:val="00AE60FC"/>
    <w:rsid w:val="00AF4576"/>
    <w:rsid w:val="00B30F20"/>
    <w:rsid w:val="00B373F0"/>
    <w:rsid w:val="00B84808"/>
    <w:rsid w:val="00BA140F"/>
    <w:rsid w:val="00BA245E"/>
    <w:rsid w:val="00BF1091"/>
    <w:rsid w:val="00C031DB"/>
    <w:rsid w:val="00C23E18"/>
    <w:rsid w:val="00C27813"/>
    <w:rsid w:val="00C85265"/>
    <w:rsid w:val="00CB356E"/>
    <w:rsid w:val="00D04E26"/>
    <w:rsid w:val="00D05128"/>
    <w:rsid w:val="00D7511F"/>
    <w:rsid w:val="00DB524E"/>
    <w:rsid w:val="00DD0D8D"/>
    <w:rsid w:val="00E70051"/>
    <w:rsid w:val="00EC61B9"/>
    <w:rsid w:val="00EC79F8"/>
    <w:rsid w:val="00F4211A"/>
    <w:rsid w:val="00F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152FC"/>
  <w15:chartTrackingRefBased/>
  <w15:docId w15:val="{A5B2E18F-8C30-4922-91A0-2445C1BC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AD"/>
  </w:style>
  <w:style w:type="paragraph" w:styleId="Footer">
    <w:name w:val="footer"/>
    <w:basedOn w:val="Normal"/>
    <w:link w:val="FooterChar"/>
    <w:uiPriority w:val="99"/>
    <w:unhideWhenUsed/>
    <w:rsid w:val="0058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5036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Sarah</dc:creator>
  <cp:keywords/>
  <dc:description/>
  <cp:lastModifiedBy>Fuller, Sarah</cp:lastModifiedBy>
  <cp:revision>73</cp:revision>
  <dcterms:created xsi:type="dcterms:W3CDTF">2023-06-12T14:12:00Z</dcterms:created>
  <dcterms:modified xsi:type="dcterms:W3CDTF">2023-07-07T16:42:00Z</dcterms:modified>
</cp:coreProperties>
</file>