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12D0" w14:textId="71A25B4F" w:rsidR="005C4B0F" w:rsidRDefault="005C4B0F" w:rsidP="0095397D">
      <w:pPr>
        <w:pStyle w:val="NoSpacing"/>
        <w:jc w:val="center"/>
        <w:rPr>
          <w:b/>
          <w:sz w:val="36"/>
          <w:szCs w:val="36"/>
        </w:rPr>
      </w:pPr>
      <w:r>
        <w:rPr>
          <w:b/>
          <w:sz w:val="36"/>
          <w:szCs w:val="36"/>
        </w:rPr>
        <w:t>Maine Emergency Management Agency</w:t>
      </w:r>
    </w:p>
    <w:p w14:paraId="619F6FC2" w14:textId="1BF833CF" w:rsidR="00264D27" w:rsidRPr="00DB4642" w:rsidRDefault="00F23EE2" w:rsidP="0095397D">
      <w:pPr>
        <w:pStyle w:val="NoSpacing"/>
        <w:jc w:val="center"/>
        <w:rPr>
          <w:b/>
          <w:sz w:val="36"/>
          <w:szCs w:val="36"/>
        </w:rPr>
      </w:pPr>
      <w:r w:rsidRPr="00DB4642">
        <w:rPr>
          <w:b/>
          <w:sz w:val="36"/>
          <w:szCs w:val="36"/>
        </w:rPr>
        <w:t>Applicant Project Closeout</w:t>
      </w:r>
      <w:r w:rsidR="0095397D">
        <w:rPr>
          <w:b/>
          <w:sz w:val="36"/>
          <w:szCs w:val="36"/>
        </w:rPr>
        <w:t>/</w:t>
      </w:r>
      <w:r w:rsidR="00264D27">
        <w:rPr>
          <w:b/>
          <w:sz w:val="36"/>
          <w:szCs w:val="36"/>
        </w:rPr>
        <w:t>Documentation Requirements</w:t>
      </w:r>
    </w:p>
    <w:p w14:paraId="3E66B0CE" w14:textId="0499A53B" w:rsidR="00764C94" w:rsidRDefault="00764C94" w:rsidP="0095397D">
      <w:pPr>
        <w:pStyle w:val="NoSpacing"/>
        <w:jc w:val="center"/>
        <w:rPr>
          <w:sz w:val="28"/>
          <w:szCs w:val="28"/>
        </w:rPr>
      </w:pPr>
    </w:p>
    <w:p w14:paraId="62523622" w14:textId="354D0E4A" w:rsidR="006B648E" w:rsidRDefault="003C23D7" w:rsidP="003C23D7">
      <w:pPr>
        <w:pStyle w:val="NoSpacing"/>
      </w:pPr>
      <w:r>
        <w:t>The Federal Emergency Management Agency (</w:t>
      </w:r>
      <w:r w:rsidR="006B648E">
        <w:t>FEMA</w:t>
      </w:r>
      <w:r>
        <w:t>)</w:t>
      </w:r>
      <w:r w:rsidR="006B648E">
        <w:t xml:space="preserve"> has implemented a regulatory change to increase the small project maximum from $139,800 to $1 Million, with the </w:t>
      </w:r>
      <w:r w:rsidR="008D0C23">
        <w:t xml:space="preserve">FEMA </w:t>
      </w:r>
      <w:r w:rsidR="006B648E">
        <w:t xml:space="preserve">standard process for administering large and small projects shifting accordingly. The purpose of this change is to reduce administrative burdens, efficiently use resources, simplify the program for smaller applicants with smaller dollar projects and </w:t>
      </w:r>
      <w:r w:rsidR="005C4B0F">
        <w:t xml:space="preserve">to </w:t>
      </w:r>
      <w:r w:rsidR="00264D27">
        <w:t>streamline the closure of projects.</w:t>
      </w:r>
    </w:p>
    <w:p w14:paraId="324254EA" w14:textId="10E95DD5" w:rsidR="009A245A" w:rsidRDefault="009A245A" w:rsidP="00394244">
      <w:pPr>
        <w:pStyle w:val="NoSpacing"/>
      </w:pPr>
    </w:p>
    <w:p w14:paraId="05F0264B" w14:textId="69EE1F72" w:rsidR="008D0C23" w:rsidRDefault="008D0C23" w:rsidP="003111B3">
      <w:pPr>
        <w:pStyle w:val="NoSpacing"/>
      </w:pPr>
      <w:r>
        <w:t xml:space="preserve">As a result of this regulatory change, the Maine Emergency Management Agency (MEMA) is implementing the following internal practices for fiscal accountability for all projects regardless of size and requiring appropriate documentation for our internal and external auditing practices. </w:t>
      </w:r>
      <w:r w:rsidR="003111B3">
        <w:t>All</w:t>
      </w:r>
      <w:r>
        <w:t xml:space="preserve"> applicant</w:t>
      </w:r>
      <w:r w:rsidR="003111B3">
        <w:t>s</w:t>
      </w:r>
      <w:r>
        <w:t xml:space="preserve"> </w:t>
      </w:r>
      <w:r w:rsidR="003111B3">
        <w:t xml:space="preserve">are </w:t>
      </w:r>
      <w:r>
        <w:t>responsible for ensuring funds have been expended in accordance with all Federal, State, and local laws, regulations, and policies.</w:t>
      </w:r>
      <w:r w:rsidR="003111B3">
        <w:t xml:space="preserve"> </w:t>
      </w:r>
      <w:r>
        <w:t>Th</w:t>
      </w:r>
      <w:r w:rsidR="003111B3">
        <w:t>ese</w:t>
      </w:r>
      <w:r>
        <w:t xml:space="preserve"> change</w:t>
      </w:r>
      <w:r w:rsidR="003111B3">
        <w:t>s</w:t>
      </w:r>
      <w:r>
        <w:t xml:space="preserve"> will ensure that applicants </w:t>
      </w:r>
      <w:r w:rsidR="003111B3">
        <w:t xml:space="preserve">submit closeout packages that clearly depict eligible expenses and </w:t>
      </w:r>
      <w:r>
        <w:t>can satisfy audit requirements under the given disaster.</w:t>
      </w:r>
    </w:p>
    <w:p w14:paraId="784A77D4" w14:textId="77777777" w:rsidR="003111B3" w:rsidRDefault="003111B3" w:rsidP="00394244">
      <w:pPr>
        <w:pStyle w:val="NoSpacing"/>
      </w:pPr>
    </w:p>
    <w:p w14:paraId="04385B81" w14:textId="102ED34D" w:rsidR="006B648E" w:rsidRPr="00923AE7" w:rsidRDefault="006B648E" w:rsidP="006B648E">
      <w:pPr>
        <w:rPr>
          <w:b/>
          <w:bCs/>
        </w:rPr>
      </w:pPr>
      <w:r>
        <w:rPr>
          <w:b/>
          <w:bCs/>
        </w:rPr>
        <w:t xml:space="preserve">For All Projects </w:t>
      </w:r>
      <w:r w:rsidR="00D21343">
        <w:rPr>
          <w:b/>
          <w:bCs/>
        </w:rPr>
        <w:t>Obligated</w:t>
      </w:r>
      <w:r>
        <w:rPr>
          <w:b/>
          <w:bCs/>
        </w:rPr>
        <w:t xml:space="preserve"> </w:t>
      </w:r>
      <w:r w:rsidR="00A97A4E">
        <w:rPr>
          <w:b/>
          <w:bCs/>
        </w:rPr>
        <w:t>on</w:t>
      </w:r>
      <w:r>
        <w:rPr>
          <w:b/>
          <w:bCs/>
        </w:rPr>
        <w:t xml:space="preserve"> or After August 3, 2022</w:t>
      </w:r>
    </w:p>
    <w:p w14:paraId="4CA927CB" w14:textId="77777777" w:rsidR="00A97A4E" w:rsidRDefault="00A97A4E" w:rsidP="006B648E"/>
    <w:p w14:paraId="5D3F0E0D" w14:textId="16A93B28" w:rsidR="00B358A5" w:rsidRDefault="00B358A5" w:rsidP="00394244">
      <w:pPr>
        <w:pStyle w:val="NoSpacing"/>
      </w:pPr>
      <w:r>
        <w:t>A</w:t>
      </w:r>
      <w:r w:rsidR="00764C94" w:rsidRPr="00764C94">
        <w:t>pplicant</w:t>
      </w:r>
      <w:r>
        <w:t>s</w:t>
      </w:r>
      <w:r w:rsidR="00764C94" w:rsidRPr="00764C94">
        <w:t xml:space="preserve"> </w:t>
      </w:r>
      <w:r>
        <w:t xml:space="preserve">shall be required to submit </w:t>
      </w:r>
      <w:r w:rsidR="00764C94" w:rsidRPr="00764C94">
        <w:t xml:space="preserve">a project </w:t>
      </w:r>
      <w:r w:rsidR="00B84845">
        <w:t>c</w:t>
      </w:r>
      <w:r w:rsidR="00764C94" w:rsidRPr="00764C94">
        <w:t>loseout request to the</w:t>
      </w:r>
      <w:r w:rsidR="00394244">
        <w:t xml:space="preserve"> Maine Emergency Management Agency within 90 days of project completion</w:t>
      </w:r>
      <w:r>
        <w:t xml:space="preserve"> based on the following project thresholds:</w:t>
      </w:r>
    </w:p>
    <w:p w14:paraId="5860730A" w14:textId="77777777" w:rsidR="00B358A5" w:rsidRDefault="00B358A5" w:rsidP="00B358A5">
      <w:pPr>
        <w:rPr>
          <w:u w:val="single"/>
        </w:rPr>
      </w:pPr>
    </w:p>
    <w:p w14:paraId="41B3E366" w14:textId="3917929D" w:rsidR="00B358A5" w:rsidRDefault="00B358A5" w:rsidP="00B358A5">
      <w:pPr>
        <w:pStyle w:val="ListParagraph"/>
        <w:numPr>
          <w:ilvl w:val="0"/>
          <w:numId w:val="18"/>
        </w:numPr>
      </w:pPr>
      <w:r w:rsidRPr="00B358A5">
        <w:rPr>
          <w:u w:val="single"/>
        </w:rPr>
        <w:t>Obligated Projects over $1 Million</w:t>
      </w:r>
      <w:r w:rsidRPr="00C85E32">
        <w:t>:</w:t>
      </w:r>
      <w:r>
        <w:t xml:space="preserve"> </w:t>
      </w:r>
    </w:p>
    <w:p w14:paraId="2D278E35" w14:textId="12721E1E" w:rsidR="00B358A5" w:rsidRDefault="00B358A5" w:rsidP="00B358A5">
      <w:pPr>
        <w:ind w:left="720"/>
      </w:pPr>
      <w:r>
        <w:t xml:space="preserve">Projects </w:t>
      </w:r>
      <w:r w:rsidR="00B84845">
        <w:t xml:space="preserve">totaling more than </w:t>
      </w:r>
      <w:r>
        <w:t xml:space="preserve">$1 Million will require complete documentation of the eligible expense, contracts, labor contracts/timesheets, estimates/quotes/invoices, etc., prior to submission/obligation to include proof of payment of these eligible expenses. </w:t>
      </w:r>
    </w:p>
    <w:p w14:paraId="618759AC" w14:textId="77777777" w:rsidR="00B358A5" w:rsidRPr="00B358A5" w:rsidRDefault="00B358A5" w:rsidP="00B358A5">
      <w:pPr>
        <w:pStyle w:val="ListParagraph"/>
        <w:numPr>
          <w:ilvl w:val="0"/>
          <w:numId w:val="18"/>
        </w:numPr>
        <w:rPr>
          <w:u w:val="single"/>
        </w:rPr>
      </w:pPr>
      <w:r w:rsidRPr="00B358A5">
        <w:rPr>
          <w:u w:val="single"/>
        </w:rPr>
        <w:t>Obligated Projects between $500,000 and $1,000,000:</w:t>
      </w:r>
    </w:p>
    <w:p w14:paraId="20881432" w14:textId="79EFED97" w:rsidR="00B358A5" w:rsidRDefault="00B358A5" w:rsidP="00B358A5">
      <w:pPr>
        <w:ind w:left="720"/>
      </w:pPr>
      <w:r>
        <w:t xml:space="preserve">Projects </w:t>
      </w:r>
      <w:r w:rsidR="003C23D7">
        <w:t>totaling</w:t>
      </w:r>
      <w:r>
        <w:t xml:space="preserve"> </w:t>
      </w:r>
      <w:r w:rsidR="003A2B1A">
        <w:t xml:space="preserve">between </w:t>
      </w:r>
      <w:r>
        <w:t xml:space="preserve">$500,000 </w:t>
      </w:r>
      <w:r w:rsidR="003A2B1A">
        <w:t>and</w:t>
      </w:r>
      <w:r w:rsidR="003C23D7">
        <w:t xml:space="preserve"> </w:t>
      </w:r>
      <w:r>
        <w:t>$1 Million will require complete documentation of the eligible expense, contracts, labor contracts/timesheets, estimates/quotes/invoices, etc., prior to submission/obligation and will only require proof of payment upon request.</w:t>
      </w:r>
    </w:p>
    <w:p w14:paraId="1F7B8D8B" w14:textId="77777777" w:rsidR="00B358A5" w:rsidRPr="00B358A5" w:rsidRDefault="00B358A5" w:rsidP="00B358A5">
      <w:pPr>
        <w:pStyle w:val="ListParagraph"/>
        <w:numPr>
          <w:ilvl w:val="0"/>
          <w:numId w:val="18"/>
        </w:numPr>
        <w:rPr>
          <w:u w:val="single"/>
        </w:rPr>
      </w:pPr>
      <w:r w:rsidRPr="00B358A5">
        <w:rPr>
          <w:u w:val="single"/>
        </w:rPr>
        <w:t>Obligated Projects under $500,000:</w:t>
      </w:r>
    </w:p>
    <w:p w14:paraId="61F1DCFE" w14:textId="7C0B6F9E" w:rsidR="00B358A5" w:rsidRDefault="00B358A5" w:rsidP="00B358A5">
      <w:pPr>
        <w:ind w:left="720"/>
      </w:pPr>
      <w:r>
        <w:t xml:space="preserve">Projects </w:t>
      </w:r>
      <w:r w:rsidR="003C23D7">
        <w:t>totaling</w:t>
      </w:r>
      <w:r>
        <w:t xml:space="preserve"> </w:t>
      </w:r>
      <w:r w:rsidR="003A2B1A">
        <w:t xml:space="preserve">less than </w:t>
      </w:r>
      <w:r>
        <w:t>$500,000</w:t>
      </w:r>
      <w:r w:rsidR="00971504">
        <w:t xml:space="preserve"> </w:t>
      </w:r>
      <w:r>
        <w:t>will not uniformly require a close out package but instead utilize the Agency’s Risk Assessment guidance below to determine whether a close out package will be required:</w:t>
      </w:r>
    </w:p>
    <w:p w14:paraId="16B7F1C4" w14:textId="38F54446" w:rsidR="00B358A5" w:rsidRPr="00C85E32" w:rsidRDefault="00B358A5" w:rsidP="00B358A5">
      <w:pPr>
        <w:widowControl w:val="0"/>
        <w:numPr>
          <w:ilvl w:val="0"/>
          <w:numId w:val="15"/>
        </w:numPr>
        <w:rPr>
          <w:bCs/>
        </w:rPr>
      </w:pPr>
      <w:r w:rsidRPr="00C85E32">
        <w:rPr>
          <w:b/>
        </w:rPr>
        <w:t xml:space="preserve">Financial </w:t>
      </w:r>
      <w:r>
        <w:rPr>
          <w:b/>
        </w:rPr>
        <w:t>R</w:t>
      </w:r>
      <w:r w:rsidRPr="00C85E32">
        <w:rPr>
          <w:b/>
        </w:rPr>
        <w:t>isk</w:t>
      </w:r>
      <w:r w:rsidRPr="00C85E32">
        <w:rPr>
          <w:bCs/>
        </w:rPr>
        <w:t xml:space="preserve"> relates to the potential that an entity will not have cash flow to meet its financial obligations.</w:t>
      </w:r>
    </w:p>
    <w:p w14:paraId="29C2987D" w14:textId="77777777" w:rsidR="00B358A5" w:rsidRPr="00C85E32" w:rsidRDefault="00B358A5" w:rsidP="00B358A5">
      <w:pPr>
        <w:widowControl w:val="0"/>
        <w:numPr>
          <w:ilvl w:val="0"/>
          <w:numId w:val="15"/>
        </w:numPr>
        <w:rPr>
          <w:bCs/>
        </w:rPr>
      </w:pPr>
      <w:r w:rsidRPr="00C85E32">
        <w:rPr>
          <w:b/>
        </w:rPr>
        <w:t>Operational Risk</w:t>
      </w:r>
      <w:r w:rsidRPr="00C85E32">
        <w:rPr>
          <w:bCs/>
        </w:rPr>
        <w:t xml:space="preserve"> is the current and potential risk to an entity resulting from inadequate or failed internal processes which result in missing project deadlines, budgeting challenges, and other operational factors. </w:t>
      </w:r>
    </w:p>
    <w:p w14:paraId="7FB6D9C7" w14:textId="77777777" w:rsidR="003A2B1A" w:rsidRDefault="00B358A5" w:rsidP="00B84845">
      <w:pPr>
        <w:widowControl w:val="0"/>
        <w:numPr>
          <w:ilvl w:val="0"/>
          <w:numId w:val="15"/>
        </w:numPr>
      </w:pPr>
      <w:r w:rsidRPr="00C85E32">
        <w:rPr>
          <w:b/>
        </w:rPr>
        <w:t>Compliance Risk</w:t>
      </w:r>
      <w:r w:rsidRPr="00C85E32">
        <w:rPr>
          <w:bCs/>
        </w:rPr>
        <w:t xml:space="preserve"> is the current and potential risk to an entity from violations of, or noncompliance with laws, rules, regulations, prescribed practices, internal policies, and procedures, or ethical standards</w:t>
      </w:r>
      <w:r w:rsidRPr="00992F8C">
        <w:t>.</w:t>
      </w:r>
      <w:r w:rsidR="00B84845">
        <w:t xml:space="preserve"> </w:t>
      </w:r>
    </w:p>
    <w:p w14:paraId="3B863689" w14:textId="20646D39" w:rsidR="00B358A5" w:rsidRDefault="00B358A5" w:rsidP="003A2B1A">
      <w:pPr>
        <w:widowControl w:val="0"/>
        <w:ind w:left="720"/>
      </w:pPr>
      <w:r>
        <w:t>As such, a close out package may not be required if all other eligible expense documentation is in order; some projects may be required to provide proof of payment in some form should the PA administrators deem it prudent. Additionally, we strongly recommend that all applicants retain an accessible form of proof of payment</w:t>
      </w:r>
      <w:r w:rsidR="003C23D7">
        <w:t xml:space="preserve"> for a minimum of 5</w:t>
      </w:r>
      <w:r w:rsidR="003A2B1A">
        <w:t xml:space="preserve"> </w:t>
      </w:r>
      <w:r w:rsidR="003C23D7">
        <w:t>years.</w:t>
      </w:r>
    </w:p>
    <w:p w14:paraId="5C5F8968" w14:textId="77777777" w:rsidR="00B358A5" w:rsidRDefault="00B358A5" w:rsidP="00394244">
      <w:pPr>
        <w:pStyle w:val="NoSpacing"/>
      </w:pPr>
    </w:p>
    <w:p w14:paraId="3B1AD470" w14:textId="3F85BD6A" w:rsidR="006B648E" w:rsidRDefault="006B648E" w:rsidP="006B648E">
      <w:pPr>
        <w:rPr>
          <w:b/>
          <w:bCs/>
        </w:rPr>
      </w:pPr>
      <w:r>
        <w:rPr>
          <w:b/>
          <w:bCs/>
        </w:rPr>
        <w:t xml:space="preserve">For All Projects </w:t>
      </w:r>
      <w:r w:rsidR="00D21343">
        <w:rPr>
          <w:b/>
          <w:bCs/>
        </w:rPr>
        <w:t>Obligated</w:t>
      </w:r>
      <w:r>
        <w:rPr>
          <w:b/>
          <w:bCs/>
        </w:rPr>
        <w:t xml:space="preserve"> Prior to August 3, 2022</w:t>
      </w:r>
    </w:p>
    <w:p w14:paraId="3E95A455" w14:textId="77777777" w:rsidR="00A97A4E" w:rsidRDefault="00A97A4E" w:rsidP="00A97A4E"/>
    <w:p w14:paraId="4CBC5F0F" w14:textId="0FDC28E8" w:rsidR="00A97A4E" w:rsidRDefault="006B648E" w:rsidP="00A97A4E">
      <w:r>
        <w:t xml:space="preserve">All </w:t>
      </w:r>
      <w:r w:rsidR="003C23D7">
        <w:t>l</w:t>
      </w:r>
      <w:r>
        <w:t xml:space="preserve">arge </w:t>
      </w:r>
      <w:r w:rsidR="003A2B1A">
        <w:t>pr</w:t>
      </w:r>
      <w:r>
        <w:t xml:space="preserve">ojects </w:t>
      </w:r>
      <w:r w:rsidR="00D21343">
        <w:t xml:space="preserve">obligated </w:t>
      </w:r>
      <w:r>
        <w:t xml:space="preserve">prior to August 3, </w:t>
      </w:r>
      <w:r w:rsidR="00583DB5">
        <w:t>2022,</w:t>
      </w:r>
      <w:r>
        <w:t xml:space="preserve"> will require complete documentation of the eligible expense, contracts, labor contracts/timesheets, estimates/quotes/invoices, etc., prior to submission/obligation to include proof of payment</w:t>
      </w:r>
      <w:r w:rsidR="003A2B1A">
        <w:t xml:space="preserve"> within 90 days of project completion</w:t>
      </w:r>
      <w:r>
        <w:t xml:space="preserve">. </w:t>
      </w:r>
      <w:r w:rsidR="00A97A4E">
        <w:t>Current thresholds for Maine’s active disaster declarations are as follows:</w:t>
      </w:r>
    </w:p>
    <w:p w14:paraId="164484B0" w14:textId="67CF7CF5" w:rsidR="00A97A4E" w:rsidRDefault="00A97A4E" w:rsidP="00A97A4E">
      <w:pPr>
        <w:ind w:firstLine="720"/>
      </w:pPr>
      <w:r>
        <w:t xml:space="preserve">DR-4354-ME </w:t>
      </w:r>
      <w:r>
        <w:tab/>
        <w:t>$125,100</w:t>
      </w:r>
    </w:p>
    <w:p w14:paraId="2AF6E14D" w14:textId="300A9A97" w:rsidR="00A97A4E" w:rsidRDefault="00A97A4E" w:rsidP="00A97A4E">
      <w:pPr>
        <w:ind w:firstLine="720"/>
      </w:pPr>
      <w:r>
        <w:t>DR-4367-ME</w:t>
      </w:r>
      <w:r>
        <w:tab/>
        <w:t>$125,100</w:t>
      </w:r>
    </w:p>
    <w:p w14:paraId="21D96C79" w14:textId="11FCEE87" w:rsidR="00A97A4E" w:rsidRDefault="00A97A4E" w:rsidP="00A97A4E">
      <w:pPr>
        <w:ind w:firstLine="720"/>
      </w:pPr>
      <w:r>
        <w:t>DR-4522-ME</w:t>
      </w:r>
      <w:r>
        <w:tab/>
        <w:t>$131,100</w:t>
      </w:r>
    </w:p>
    <w:p w14:paraId="2F575FF3" w14:textId="49566A16" w:rsidR="00A97A4E" w:rsidRDefault="00A97A4E" w:rsidP="00A97A4E">
      <w:pPr>
        <w:ind w:firstLine="720"/>
      </w:pPr>
      <w:r>
        <w:t>DR-4647-ME</w:t>
      </w:r>
      <w:r>
        <w:tab/>
        <w:t>$139,800</w:t>
      </w:r>
    </w:p>
    <w:p w14:paraId="34F1CB8E" w14:textId="77777777" w:rsidR="006B648E" w:rsidRDefault="006B648E" w:rsidP="004E2F5F">
      <w:pPr>
        <w:pStyle w:val="NoSpacing"/>
        <w:rPr>
          <w:sz w:val="28"/>
          <w:szCs w:val="28"/>
        </w:rPr>
      </w:pPr>
    </w:p>
    <w:p w14:paraId="7C5BC27A" w14:textId="77777777" w:rsidR="00B358A5" w:rsidRPr="00A97A4E" w:rsidRDefault="00B358A5" w:rsidP="00B358A5">
      <w:pPr>
        <w:rPr>
          <w:b/>
          <w:bCs/>
        </w:rPr>
      </w:pPr>
      <w:r w:rsidRPr="00A97A4E">
        <w:rPr>
          <w:b/>
          <w:bCs/>
        </w:rPr>
        <w:t>Category Z – Management Cost Projects</w:t>
      </w:r>
    </w:p>
    <w:p w14:paraId="3AE2764F" w14:textId="77777777" w:rsidR="00264D27" w:rsidRDefault="00264D27" w:rsidP="00264D27"/>
    <w:p w14:paraId="31316943" w14:textId="17AFAB27" w:rsidR="00264D27" w:rsidRDefault="00B358A5" w:rsidP="00264D27">
      <w:r w:rsidRPr="00150576">
        <w:t xml:space="preserve">Management and administrative costs are available to reimburse </w:t>
      </w:r>
      <w:r w:rsidR="00B84845">
        <w:t>a</w:t>
      </w:r>
      <w:r w:rsidRPr="00150576">
        <w:t xml:space="preserve">pplicants for eligible activities they undertake in the administration of their disaster grant. </w:t>
      </w:r>
      <w:r w:rsidR="00264D27">
        <w:t xml:space="preserve">Regardless of project thresholds, </w:t>
      </w:r>
      <w:r w:rsidR="00B84845">
        <w:t>a</w:t>
      </w:r>
      <w:r w:rsidR="00264D27" w:rsidRPr="00150576">
        <w:t xml:space="preserve">pplicants will be required to follow all large project documentation requirements including proof of payment regardless of threshold. </w:t>
      </w:r>
    </w:p>
    <w:p w14:paraId="39202FB0" w14:textId="4F9FEE34" w:rsidR="00B358A5" w:rsidRPr="00150576" w:rsidRDefault="00B358A5" w:rsidP="00B358A5"/>
    <w:p w14:paraId="5DC88A40" w14:textId="68083D62" w:rsidR="00264D27" w:rsidRDefault="00264D27" w:rsidP="00264D27">
      <w:r w:rsidRPr="00291F17">
        <w:rPr>
          <w:b/>
          <w:bCs/>
        </w:rPr>
        <w:t>Closeout Timeline</w:t>
      </w:r>
    </w:p>
    <w:p w14:paraId="1272145C" w14:textId="77777777" w:rsidR="00264D27" w:rsidRDefault="00264D27" w:rsidP="00264D27"/>
    <w:p w14:paraId="716CA0E0" w14:textId="127E4D8F" w:rsidR="00264D27" w:rsidRDefault="00264D27" w:rsidP="00264D27">
      <w:r>
        <w:t xml:space="preserve">Close out documentation and packages must be completed and according to size (small/large); both generally need to be complete and submitted with the certification within 180 days within the disaster end date. </w:t>
      </w:r>
    </w:p>
    <w:p w14:paraId="6F64933B" w14:textId="77777777" w:rsidR="00264D27" w:rsidRDefault="00264D27" w:rsidP="00264D27"/>
    <w:p w14:paraId="007120F8" w14:textId="7C3CBA54" w:rsidR="00264D27" w:rsidRPr="00150576" w:rsidRDefault="00264D27" w:rsidP="00264D27">
      <w:r>
        <w:t xml:space="preserve">For Small Projects: The </w:t>
      </w:r>
      <w:r w:rsidR="00B84845">
        <w:t xml:space="preserve">applicant </w:t>
      </w:r>
      <w:r>
        <w:t xml:space="preserve">must submit the certification to FEMA within 180 days from the latest </w:t>
      </w:r>
      <w:r w:rsidR="00B84845">
        <w:t>s</w:t>
      </w:r>
      <w:r>
        <w:t xml:space="preserve">mall </w:t>
      </w:r>
      <w:r w:rsidR="00B84845">
        <w:t>p</w:t>
      </w:r>
      <w:r>
        <w:t xml:space="preserve">roject work completion date or the latest approved deadline of (all) the </w:t>
      </w:r>
      <w:r w:rsidR="00B84845">
        <w:t>applicant’s</w:t>
      </w:r>
      <w:r>
        <w:t xml:space="preserve"> </w:t>
      </w:r>
      <w:r w:rsidR="00B84845">
        <w:t>s</w:t>
      </w:r>
      <w:r>
        <w:t xml:space="preserve">mall </w:t>
      </w:r>
      <w:r w:rsidR="00B84845">
        <w:t>p</w:t>
      </w:r>
      <w:r>
        <w:t>rojects, whichever is sooner.</w:t>
      </w:r>
    </w:p>
    <w:p w14:paraId="0F0A782E" w14:textId="77777777" w:rsidR="00264D27" w:rsidRDefault="00264D27" w:rsidP="00264D27"/>
    <w:p w14:paraId="26C86F21" w14:textId="38D1D05E" w:rsidR="003111B3" w:rsidRPr="003111B3" w:rsidRDefault="00264D27" w:rsidP="00264D27">
      <w:r>
        <w:t xml:space="preserve">For Large Projects: </w:t>
      </w:r>
      <w:r w:rsidRPr="00291F17">
        <w:t xml:space="preserve">The </w:t>
      </w:r>
      <w:r w:rsidR="00B84845">
        <w:t>applicant</w:t>
      </w:r>
      <w:r w:rsidRPr="00291F17">
        <w:t xml:space="preserve"> must submit its certification of the</w:t>
      </w:r>
      <w:r w:rsidR="00D21343">
        <w:t xml:space="preserve"> applicant’s</w:t>
      </w:r>
      <w:r w:rsidRPr="00291F17">
        <w:t xml:space="preserve"> completion of each </w:t>
      </w:r>
      <w:r w:rsidR="00B84845">
        <w:t>l</w:t>
      </w:r>
      <w:r w:rsidRPr="00291F17">
        <w:t>arge</w:t>
      </w:r>
      <w:r>
        <w:t xml:space="preserve"> </w:t>
      </w:r>
      <w:r w:rsidR="00B84845">
        <w:t>p</w:t>
      </w:r>
      <w:r w:rsidRPr="00291F17">
        <w:t xml:space="preserve">roject with the final </w:t>
      </w:r>
      <w:r w:rsidR="00D21343">
        <w:t>project costs</w:t>
      </w:r>
      <w:r w:rsidRPr="00291F17">
        <w:t xml:space="preserve"> and supporting documentation to</w:t>
      </w:r>
      <w:r w:rsidR="007B196D">
        <w:t xml:space="preserve"> </w:t>
      </w:r>
      <w:r w:rsidRPr="00291F17">
        <w:t>FEMA within 180 days of the work completion date or the Project deadline, whichever occurs</w:t>
      </w:r>
      <w:r w:rsidR="00B84845">
        <w:t xml:space="preserve"> </w:t>
      </w:r>
      <w:r>
        <w:t>f</w:t>
      </w:r>
      <w:r w:rsidRPr="00291F17">
        <w:t>irst</w:t>
      </w:r>
      <w:r>
        <w:t>.</w:t>
      </w:r>
    </w:p>
    <w:p w14:paraId="18C971EE" w14:textId="77777777" w:rsidR="003111B3" w:rsidRPr="003111B3" w:rsidRDefault="003111B3" w:rsidP="00264D27"/>
    <w:p w14:paraId="3C513D90" w14:textId="56FE3FE3" w:rsidR="00264D27" w:rsidRPr="00A97A4E" w:rsidRDefault="00264D27" w:rsidP="00264D27">
      <w:pPr>
        <w:rPr>
          <w:b/>
          <w:bCs/>
        </w:rPr>
      </w:pPr>
      <w:r>
        <w:rPr>
          <w:b/>
          <w:bCs/>
        </w:rPr>
        <w:t>Implementation</w:t>
      </w:r>
    </w:p>
    <w:p w14:paraId="13B39ADD" w14:textId="77777777" w:rsidR="00264D27" w:rsidRDefault="00264D27" w:rsidP="00264D27"/>
    <w:p w14:paraId="6C48CE79" w14:textId="44E51E5D" w:rsidR="00264D27" w:rsidRDefault="00264D27" w:rsidP="00264D27">
      <w:r>
        <w:t>We recognize that all organizations have different accounting systems and the exact format/type of proof of payment may vary between organizations. MEMA will coordinate with those organizations to agree on the best form of documentation that fulfills th</w:t>
      </w:r>
      <w:r w:rsidR="009E448C">
        <w:t>ese</w:t>
      </w:r>
      <w:r>
        <w:t xml:space="preserve"> requirement</w:t>
      </w:r>
      <w:r w:rsidR="009E448C">
        <w:t>s</w:t>
      </w:r>
      <w:r>
        <w:t xml:space="preserve"> without creating undue administrative burden. </w:t>
      </w:r>
    </w:p>
    <w:p w14:paraId="24CAC176" w14:textId="116C8005" w:rsidR="006B7E83" w:rsidRDefault="006B7E83" w:rsidP="00264D27"/>
    <w:p w14:paraId="392A39FC" w14:textId="6B98EA5A" w:rsidR="006B7E83" w:rsidRDefault="006B7E83" w:rsidP="006B7E83">
      <w:r>
        <w:t>Please note, that for any project, of any size, FEMA may require additional documentation outside of what is being required in Grants Portal for initial submittal under both the current large and small project thresholds.</w:t>
      </w:r>
    </w:p>
    <w:p w14:paraId="0A78037B" w14:textId="77777777" w:rsidR="006B7E83" w:rsidRDefault="006B7E83" w:rsidP="00264D27"/>
    <w:p w14:paraId="0A4F5E6C" w14:textId="31766858" w:rsidR="00264D27" w:rsidRDefault="00264D27" w:rsidP="00264D27">
      <w:r>
        <w:t xml:space="preserve">This guidance is subject to change in accordance with MEMA auditing, risk management and financial policies for grant administration. We STRONGLY ADVISE </w:t>
      </w:r>
      <w:r w:rsidR="009E448C">
        <w:t>retention of</w:t>
      </w:r>
      <w:r>
        <w:t xml:space="preserve"> all relevant documentation for projects and obligated expenses for a minimum of 5-7 years and be prepared to provide </w:t>
      </w:r>
      <w:proofErr w:type="gramStart"/>
      <w:r>
        <w:t>any and all</w:t>
      </w:r>
      <w:proofErr w:type="gramEnd"/>
      <w:r>
        <w:t xml:space="preserve"> documentation at any time for FEMA or other audit review. </w:t>
      </w:r>
    </w:p>
    <w:p w14:paraId="21E61347" w14:textId="77777777" w:rsidR="00264D27" w:rsidRDefault="00264D27" w:rsidP="00264D27">
      <w:pPr>
        <w:pStyle w:val="NoSpacing"/>
        <w:rPr>
          <w:sz w:val="28"/>
          <w:szCs w:val="28"/>
        </w:rPr>
      </w:pPr>
    </w:p>
    <w:p w14:paraId="1BD5E1B4" w14:textId="77777777" w:rsidR="00264D27" w:rsidRDefault="00264D27" w:rsidP="00A97A4E">
      <w:pPr>
        <w:pStyle w:val="NoSpacing"/>
      </w:pPr>
    </w:p>
    <w:p w14:paraId="7EBCA936" w14:textId="77777777" w:rsidR="00264D27" w:rsidRDefault="00264D27" w:rsidP="00A97A4E">
      <w:pPr>
        <w:pStyle w:val="NoSpacing"/>
      </w:pPr>
    </w:p>
    <w:p w14:paraId="74E05923" w14:textId="77777777" w:rsidR="00264D27" w:rsidRDefault="00264D27" w:rsidP="00A97A4E">
      <w:pPr>
        <w:pStyle w:val="NoSpacing"/>
      </w:pPr>
    </w:p>
    <w:p w14:paraId="02F94451" w14:textId="77777777" w:rsidR="00264D27" w:rsidRDefault="00264D27" w:rsidP="00A97A4E">
      <w:pPr>
        <w:pStyle w:val="NoSpacing"/>
      </w:pPr>
    </w:p>
    <w:p w14:paraId="3B5997CD" w14:textId="77777777" w:rsidR="00264D27" w:rsidRDefault="00264D27" w:rsidP="00A97A4E">
      <w:pPr>
        <w:pStyle w:val="NoSpacing"/>
      </w:pPr>
    </w:p>
    <w:p w14:paraId="56F2D8AD" w14:textId="77777777" w:rsidR="00264D27" w:rsidRDefault="00264D27" w:rsidP="00A97A4E">
      <w:pPr>
        <w:pStyle w:val="NoSpacing"/>
      </w:pPr>
    </w:p>
    <w:p w14:paraId="7020B378" w14:textId="77777777" w:rsidR="00264D27" w:rsidRDefault="00264D27" w:rsidP="00A97A4E">
      <w:pPr>
        <w:pStyle w:val="NoSpacing"/>
      </w:pPr>
    </w:p>
    <w:p w14:paraId="46ECFB9A" w14:textId="77777777" w:rsidR="00264D27" w:rsidRDefault="00264D27" w:rsidP="00A97A4E">
      <w:pPr>
        <w:pStyle w:val="NoSpacing"/>
      </w:pPr>
    </w:p>
    <w:p w14:paraId="361104D7" w14:textId="77777777" w:rsidR="00264D27" w:rsidRDefault="00264D27" w:rsidP="00A97A4E">
      <w:pPr>
        <w:pStyle w:val="NoSpacing"/>
      </w:pPr>
    </w:p>
    <w:p w14:paraId="28FF16C1" w14:textId="77777777" w:rsidR="00264D27" w:rsidRDefault="00264D27" w:rsidP="00A97A4E">
      <w:pPr>
        <w:pStyle w:val="NoSpacing"/>
      </w:pPr>
    </w:p>
    <w:p w14:paraId="16C6BFFC" w14:textId="77777777" w:rsidR="00264D27" w:rsidRDefault="00264D27" w:rsidP="00A97A4E">
      <w:pPr>
        <w:pStyle w:val="NoSpacing"/>
      </w:pPr>
    </w:p>
    <w:p w14:paraId="18BA02BE" w14:textId="77777777" w:rsidR="00264D27" w:rsidRDefault="00264D27" w:rsidP="00A97A4E">
      <w:pPr>
        <w:pStyle w:val="NoSpacing"/>
      </w:pPr>
    </w:p>
    <w:p w14:paraId="519868DE" w14:textId="77777777" w:rsidR="00264D27" w:rsidRDefault="00264D27" w:rsidP="00A97A4E">
      <w:pPr>
        <w:pStyle w:val="NoSpacing"/>
      </w:pPr>
    </w:p>
    <w:p w14:paraId="0421946B" w14:textId="77777777" w:rsidR="00264D27" w:rsidRDefault="00264D27" w:rsidP="00A97A4E">
      <w:pPr>
        <w:pStyle w:val="NoSpacing"/>
      </w:pPr>
    </w:p>
    <w:p w14:paraId="2C5310AC" w14:textId="77777777" w:rsidR="00264D27" w:rsidRDefault="00264D27" w:rsidP="00A97A4E">
      <w:pPr>
        <w:pStyle w:val="NoSpacing"/>
      </w:pPr>
    </w:p>
    <w:p w14:paraId="3F3A47C1" w14:textId="77777777" w:rsidR="00264D27" w:rsidRDefault="00264D27" w:rsidP="00A97A4E">
      <w:pPr>
        <w:pStyle w:val="NoSpacing"/>
      </w:pPr>
    </w:p>
    <w:p w14:paraId="4F89A0AB" w14:textId="77777777" w:rsidR="00264D27" w:rsidRDefault="00264D27" w:rsidP="00A97A4E">
      <w:pPr>
        <w:pStyle w:val="NoSpacing"/>
      </w:pPr>
    </w:p>
    <w:p w14:paraId="1BCEE9DC" w14:textId="77777777" w:rsidR="00264D27" w:rsidRDefault="00264D27" w:rsidP="00A97A4E">
      <w:pPr>
        <w:pStyle w:val="NoSpacing"/>
      </w:pPr>
    </w:p>
    <w:p w14:paraId="354C3427" w14:textId="77777777" w:rsidR="00264D27" w:rsidRDefault="00264D27" w:rsidP="00A97A4E">
      <w:pPr>
        <w:pStyle w:val="NoSpacing"/>
      </w:pPr>
    </w:p>
    <w:p w14:paraId="035F59AB" w14:textId="5AFBFE66" w:rsidR="00264D27" w:rsidRPr="00DB4642" w:rsidRDefault="00264D27" w:rsidP="009D2E94">
      <w:pPr>
        <w:pStyle w:val="NoSpacing"/>
        <w:jc w:val="center"/>
        <w:rPr>
          <w:b/>
          <w:sz w:val="36"/>
          <w:szCs w:val="36"/>
        </w:rPr>
      </w:pPr>
      <w:r w:rsidRPr="00DB4642">
        <w:rPr>
          <w:b/>
          <w:sz w:val="36"/>
          <w:szCs w:val="36"/>
        </w:rPr>
        <w:t>Project Closeout Checklist</w:t>
      </w:r>
    </w:p>
    <w:p w14:paraId="746D371A" w14:textId="77777777" w:rsidR="00264D27" w:rsidRDefault="00264D27" w:rsidP="00A97A4E">
      <w:pPr>
        <w:pStyle w:val="NoSpacing"/>
      </w:pPr>
    </w:p>
    <w:p w14:paraId="351C4B36" w14:textId="4081FDB4" w:rsidR="00A97A4E" w:rsidRDefault="003C23D7" w:rsidP="00A97A4E">
      <w:pPr>
        <w:pStyle w:val="NoSpacing"/>
      </w:pPr>
      <w:r>
        <w:t xml:space="preserve">Upon receipt of a closeout </w:t>
      </w:r>
      <w:r w:rsidR="00A97A4E">
        <w:t>request, MEMA</w:t>
      </w:r>
      <w:r w:rsidR="00A97A4E" w:rsidRPr="00764C94">
        <w:t xml:space="preserve"> will certify and forward </w:t>
      </w:r>
      <w:r w:rsidR="00A97A4E">
        <w:t xml:space="preserve">the </w:t>
      </w:r>
      <w:r w:rsidR="00E60258">
        <w:t xml:space="preserve">completed package </w:t>
      </w:r>
      <w:r w:rsidR="00A97A4E" w:rsidRPr="00764C94">
        <w:t>to FEMA</w:t>
      </w:r>
      <w:r w:rsidR="00A97A4E">
        <w:t xml:space="preserve"> for final approval and reconciliation. Closeout request packages should include the following </w:t>
      </w:r>
      <w:r>
        <w:t xml:space="preserve">supporting </w:t>
      </w:r>
      <w:r w:rsidR="00A97A4E">
        <w:t>documentation as applicable:</w:t>
      </w:r>
    </w:p>
    <w:p w14:paraId="197E21A0" w14:textId="77777777" w:rsidR="00A97A4E" w:rsidRPr="006B648E" w:rsidRDefault="00A97A4E" w:rsidP="00A97A4E">
      <w:pPr>
        <w:pStyle w:val="NoSpacing"/>
        <w:jc w:val="center"/>
      </w:pPr>
    </w:p>
    <w:p w14:paraId="16DCA3C9" w14:textId="77777777" w:rsidR="00A97A4E" w:rsidRPr="00264D27" w:rsidRDefault="00A97A4E" w:rsidP="00A97A4E">
      <w:pPr>
        <w:pStyle w:val="NoSpacing"/>
        <w:numPr>
          <w:ilvl w:val="0"/>
          <w:numId w:val="1"/>
        </w:numPr>
        <w:rPr>
          <w:rFonts w:cstheme="minorHAnsi"/>
          <w:u w:val="single"/>
        </w:rPr>
      </w:pPr>
      <w:r w:rsidRPr="00264D27">
        <w:rPr>
          <w:rFonts w:cstheme="minorHAnsi"/>
          <w:u w:val="single"/>
        </w:rPr>
        <w:t>Cover Letter:</w:t>
      </w:r>
    </w:p>
    <w:p w14:paraId="29841363" w14:textId="77777777" w:rsidR="00A97A4E" w:rsidRPr="006B648E" w:rsidRDefault="00A97A4E" w:rsidP="00A97A4E">
      <w:pPr>
        <w:pStyle w:val="NoSpacing"/>
        <w:ind w:left="720"/>
        <w:rPr>
          <w:rFonts w:cstheme="minorHAnsi"/>
        </w:rPr>
      </w:pPr>
    </w:p>
    <w:p w14:paraId="4AE88DBD" w14:textId="77777777" w:rsidR="00A97A4E" w:rsidRPr="006B648E" w:rsidRDefault="00A97A4E" w:rsidP="00A97A4E">
      <w:pPr>
        <w:pStyle w:val="NoSpacing"/>
        <w:numPr>
          <w:ilvl w:val="0"/>
          <w:numId w:val="2"/>
        </w:numPr>
        <w:rPr>
          <w:rFonts w:cstheme="minorHAnsi"/>
        </w:rPr>
      </w:pPr>
      <w:r w:rsidRPr="006B648E">
        <w:rPr>
          <w:rFonts w:cstheme="minorHAnsi"/>
        </w:rPr>
        <w:t>Clearly Identify FEMA DR # (ex: DR-4522-ME)</w:t>
      </w:r>
    </w:p>
    <w:p w14:paraId="56925E28" w14:textId="25FF89ED" w:rsidR="00A97A4E" w:rsidRPr="006B648E" w:rsidRDefault="00A97A4E" w:rsidP="00A97A4E">
      <w:pPr>
        <w:pStyle w:val="NoSpacing"/>
        <w:numPr>
          <w:ilvl w:val="0"/>
          <w:numId w:val="2"/>
        </w:numPr>
        <w:rPr>
          <w:rFonts w:cstheme="minorHAnsi"/>
        </w:rPr>
      </w:pPr>
      <w:r w:rsidRPr="006B648E">
        <w:rPr>
          <w:rFonts w:cstheme="minorHAnsi"/>
        </w:rPr>
        <w:t>Project Number</w:t>
      </w:r>
    </w:p>
    <w:p w14:paraId="4832FDD8" w14:textId="03ECEA26" w:rsidR="00A97A4E" w:rsidRPr="006B648E" w:rsidRDefault="00583DB5" w:rsidP="00A97A4E">
      <w:pPr>
        <w:pStyle w:val="NoSpacing"/>
        <w:numPr>
          <w:ilvl w:val="0"/>
          <w:numId w:val="2"/>
        </w:numPr>
        <w:rPr>
          <w:rFonts w:cstheme="minorHAnsi"/>
        </w:rPr>
      </w:pPr>
      <w:r>
        <w:rPr>
          <w:rFonts w:cstheme="minorHAnsi"/>
        </w:rPr>
        <w:t xml:space="preserve">Identify </w:t>
      </w:r>
      <w:r w:rsidR="00A97A4E" w:rsidRPr="006B648E">
        <w:rPr>
          <w:rFonts w:cstheme="minorHAnsi"/>
        </w:rPr>
        <w:t xml:space="preserve">Period of </w:t>
      </w:r>
      <w:r w:rsidR="003C23D7">
        <w:rPr>
          <w:rFonts w:cstheme="minorHAnsi"/>
        </w:rPr>
        <w:t>P</w:t>
      </w:r>
      <w:r w:rsidR="00A97A4E" w:rsidRPr="006B648E">
        <w:rPr>
          <w:rFonts w:cstheme="minorHAnsi"/>
        </w:rPr>
        <w:t>erformance</w:t>
      </w:r>
    </w:p>
    <w:p w14:paraId="67413516" w14:textId="692C2913" w:rsidR="00A97A4E" w:rsidRPr="006B648E" w:rsidRDefault="00A97A4E" w:rsidP="00A97A4E">
      <w:pPr>
        <w:pStyle w:val="NoSpacing"/>
        <w:numPr>
          <w:ilvl w:val="0"/>
          <w:numId w:val="2"/>
        </w:numPr>
        <w:rPr>
          <w:rFonts w:cstheme="minorHAnsi"/>
        </w:rPr>
      </w:pPr>
      <w:r w:rsidRPr="006B648E">
        <w:rPr>
          <w:rFonts w:cstheme="minorHAnsi"/>
        </w:rPr>
        <w:t xml:space="preserve">Grantee certification identifying work </w:t>
      </w:r>
      <w:r w:rsidR="00583DB5">
        <w:rPr>
          <w:rFonts w:cstheme="minorHAnsi"/>
        </w:rPr>
        <w:t xml:space="preserve">as </w:t>
      </w:r>
      <w:r w:rsidRPr="006B648E">
        <w:rPr>
          <w:rFonts w:cstheme="minorHAnsi"/>
        </w:rPr>
        <w:t xml:space="preserve">100% </w:t>
      </w:r>
      <w:r w:rsidR="00583DB5">
        <w:rPr>
          <w:rFonts w:cstheme="minorHAnsi"/>
        </w:rPr>
        <w:t>c</w:t>
      </w:r>
      <w:r w:rsidRPr="006B648E">
        <w:rPr>
          <w:rFonts w:cstheme="minorHAnsi"/>
        </w:rPr>
        <w:t>omplete</w:t>
      </w:r>
    </w:p>
    <w:p w14:paraId="4B9E833B" w14:textId="77777777" w:rsidR="00A97A4E" w:rsidRPr="006B648E" w:rsidRDefault="00A97A4E" w:rsidP="00A97A4E">
      <w:pPr>
        <w:pStyle w:val="NoSpacing"/>
        <w:numPr>
          <w:ilvl w:val="0"/>
          <w:numId w:val="2"/>
        </w:numPr>
        <w:rPr>
          <w:rFonts w:cstheme="minorHAnsi"/>
        </w:rPr>
      </w:pPr>
      <w:r w:rsidRPr="006B648E">
        <w:rPr>
          <w:rFonts w:cstheme="minorHAnsi"/>
        </w:rPr>
        <w:t>Date work completed</w:t>
      </w:r>
    </w:p>
    <w:p w14:paraId="1B1D3A0A" w14:textId="77777777" w:rsidR="00A97A4E" w:rsidRPr="006B648E" w:rsidRDefault="00A97A4E" w:rsidP="00A97A4E">
      <w:pPr>
        <w:pStyle w:val="NoSpacing"/>
        <w:numPr>
          <w:ilvl w:val="0"/>
          <w:numId w:val="2"/>
        </w:numPr>
        <w:rPr>
          <w:rFonts w:cstheme="minorHAnsi"/>
        </w:rPr>
      </w:pPr>
      <w:r w:rsidRPr="006B648E">
        <w:rPr>
          <w:rFonts w:cstheme="minorHAnsi"/>
        </w:rPr>
        <w:t>Total Project cost to include:</w:t>
      </w:r>
    </w:p>
    <w:p w14:paraId="4B484FAC" w14:textId="0EC905AF" w:rsidR="00A97A4E" w:rsidRPr="006B648E" w:rsidRDefault="00583DB5" w:rsidP="00A97A4E">
      <w:pPr>
        <w:pStyle w:val="NoSpacing"/>
        <w:numPr>
          <w:ilvl w:val="1"/>
          <w:numId w:val="2"/>
        </w:numPr>
        <w:rPr>
          <w:rFonts w:cstheme="minorHAnsi"/>
        </w:rPr>
      </w:pPr>
      <w:r>
        <w:rPr>
          <w:rFonts w:cstheme="minorHAnsi"/>
        </w:rPr>
        <w:t>A</w:t>
      </w:r>
      <w:r w:rsidR="00A97A4E" w:rsidRPr="006B648E">
        <w:rPr>
          <w:rFonts w:cstheme="minorHAnsi"/>
        </w:rPr>
        <w:t>mount requested</w:t>
      </w:r>
    </w:p>
    <w:p w14:paraId="3025629C" w14:textId="7DD5B6AD" w:rsidR="00A97A4E" w:rsidRPr="006B648E" w:rsidRDefault="00583DB5" w:rsidP="00A97A4E">
      <w:pPr>
        <w:pStyle w:val="NoSpacing"/>
        <w:numPr>
          <w:ilvl w:val="1"/>
          <w:numId w:val="2"/>
        </w:numPr>
        <w:rPr>
          <w:rFonts w:cstheme="minorHAnsi"/>
        </w:rPr>
      </w:pPr>
      <w:r>
        <w:rPr>
          <w:rFonts w:cstheme="minorHAnsi"/>
        </w:rPr>
        <w:t>A</w:t>
      </w:r>
      <w:r w:rsidR="00A97A4E" w:rsidRPr="006B648E">
        <w:rPr>
          <w:rFonts w:cstheme="minorHAnsi"/>
        </w:rPr>
        <w:t>nticipated overrun/underrun amount</w:t>
      </w:r>
    </w:p>
    <w:p w14:paraId="2544CE72" w14:textId="77777777" w:rsidR="00A97A4E" w:rsidRPr="006B648E" w:rsidRDefault="00A97A4E" w:rsidP="00A97A4E">
      <w:pPr>
        <w:pStyle w:val="NoSpacing"/>
        <w:ind w:left="720"/>
        <w:rPr>
          <w:rFonts w:cstheme="minorHAnsi"/>
        </w:rPr>
      </w:pPr>
    </w:p>
    <w:p w14:paraId="5BB0A1BC" w14:textId="77777777" w:rsidR="00A97A4E" w:rsidRPr="006B648E" w:rsidRDefault="00A97A4E" w:rsidP="00A97A4E">
      <w:pPr>
        <w:pStyle w:val="NoSpacing"/>
        <w:numPr>
          <w:ilvl w:val="0"/>
          <w:numId w:val="1"/>
        </w:numPr>
        <w:rPr>
          <w:rFonts w:cstheme="minorHAnsi"/>
          <w:u w:val="single"/>
        </w:rPr>
      </w:pPr>
      <w:r w:rsidRPr="006B648E">
        <w:rPr>
          <w:rFonts w:cstheme="minorHAnsi"/>
          <w:u w:val="single"/>
        </w:rPr>
        <w:t>Cost Summary Record:</w:t>
      </w:r>
    </w:p>
    <w:p w14:paraId="22399D96" w14:textId="77777777" w:rsidR="00A97A4E" w:rsidRPr="006B648E" w:rsidRDefault="00A97A4E" w:rsidP="00A97A4E">
      <w:pPr>
        <w:pStyle w:val="NoSpacing"/>
        <w:ind w:left="360"/>
        <w:rPr>
          <w:rFonts w:cstheme="minorHAnsi"/>
          <w:u w:val="single"/>
        </w:rPr>
      </w:pPr>
    </w:p>
    <w:p w14:paraId="175F59BD" w14:textId="77777777" w:rsidR="00A97A4E" w:rsidRPr="006B648E" w:rsidRDefault="00A97A4E" w:rsidP="00A97A4E">
      <w:pPr>
        <w:pStyle w:val="NoSpacing"/>
        <w:ind w:firstLine="720"/>
        <w:rPr>
          <w:rFonts w:cstheme="minorHAnsi"/>
        </w:rPr>
      </w:pPr>
      <w:r w:rsidRPr="006B648E">
        <w:rPr>
          <w:rFonts w:cstheme="minorHAnsi"/>
        </w:rPr>
        <w:t>List amount claimed for each type of work and total of claim</w:t>
      </w:r>
      <w:r>
        <w:rPr>
          <w:rFonts w:cstheme="minorHAnsi"/>
        </w:rPr>
        <w:t xml:space="preserve"> for the following categories:</w:t>
      </w:r>
    </w:p>
    <w:p w14:paraId="40025DC2" w14:textId="77777777" w:rsidR="00A97A4E" w:rsidRPr="006B648E" w:rsidRDefault="00A97A4E" w:rsidP="00A97A4E">
      <w:pPr>
        <w:pStyle w:val="NoSpacing"/>
        <w:ind w:firstLine="720"/>
        <w:rPr>
          <w:rFonts w:cstheme="minorHAnsi"/>
          <w:u w:val="single"/>
        </w:rPr>
      </w:pPr>
    </w:p>
    <w:p w14:paraId="35D3BADC" w14:textId="77777777" w:rsidR="00A97A4E" w:rsidRPr="006B648E" w:rsidRDefault="00A97A4E" w:rsidP="00A97A4E">
      <w:pPr>
        <w:pStyle w:val="NoSpacing"/>
        <w:numPr>
          <w:ilvl w:val="0"/>
          <w:numId w:val="13"/>
        </w:numPr>
        <w:rPr>
          <w:rFonts w:cstheme="minorHAnsi"/>
        </w:rPr>
      </w:pPr>
      <w:r w:rsidRPr="006B648E">
        <w:rPr>
          <w:rFonts w:cstheme="minorHAnsi"/>
        </w:rPr>
        <w:t>Force Account Labor:</w:t>
      </w:r>
    </w:p>
    <w:p w14:paraId="16B46C88" w14:textId="77777777" w:rsidR="00A97A4E" w:rsidRPr="006B648E" w:rsidRDefault="00A97A4E" w:rsidP="00A97A4E">
      <w:pPr>
        <w:pStyle w:val="NoSpacing"/>
        <w:numPr>
          <w:ilvl w:val="1"/>
          <w:numId w:val="13"/>
        </w:numPr>
        <w:rPr>
          <w:rFonts w:cstheme="minorHAnsi"/>
        </w:rPr>
      </w:pPr>
      <w:r w:rsidRPr="006B648E">
        <w:rPr>
          <w:rFonts w:cstheme="minorHAnsi"/>
        </w:rPr>
        <w:t>List labor costs (employee name, rate of pay, hours)</w:t>
      </w:r>
    </w:p>
    <w:p w14:paraId="22B45262" w14:textId="77777777" w:rsidR="00A97A4E" w:rsidRPr="006B648E" w:rsidRDefault="00A97A4E" w:rsidP="00A97A4E">
      <w:pPr>
        <w:pStyle w:val="NoSpacing"/>
        <w:numPr>
          <w:ilvl w:val="1"/>
          <w:numId w:val="13"/>
        </w:numPr>
        <w:rPr>
          <w:rFonts w:cstheme="minorHAnsi"/>
        </w:rPr>
      </w:pPr>
      <w:r w:rsidRPr="006B648E">
        <w:rPr>
          <w:rFonts w:cstheme="minorHAnsi"/>
        </w:rPr>
        <w:t>Source documentation (payroll reports, timesheets)</w:t>
      </w:r>
    </w:p>
    <w:p w14:paraId="7AC93D2F" w14:textId="77777777" w:rsidR="00A97A4E" w:rsidRPr="006B648E" w:rsidRDefault="00A97A4E" w:rsidP="00A97A4E">
      <w:pPr>
        <w:pStyle w:val="NoSpacing"/>
        <w:numPr>
          <w:ilvl w:val="1"/>
          <w:numId w:val="13"/>
        </w:numPr>
        <w:rPr>
          <w:rFonts w:cstheme="minorHAnsi"/>
        </w:rPr>
      </w:pPr>
      <w:r w:rsidRPr="006B648E">
        <w:rPr>
          <w:rFonts w:cstheme="minorHAnsi"/>
        </w:rPr>
        <w:t>Fringe benefit calculations</w:t>
      </w:r>
    </w:p>
    <w:p w14:paraId="153D2E23" w14:textId="77777777" w:rsidR="00A97A4E" w:rsidRPr="006B648E" w:rsidRDefault="00A97A4E" w:rsidP="00A97A4E">
      <w:pPr>
        <w:pStyle w:val="NoSpacing"/>
        <w:numPr>
          <w:ilvl w:val="1"/>
          <w:numId w:val="13"/>
        </w:numPr>
        <w:rPr>
          <w:rFonts w:cstheme="minorHAnsi"/>
        </w:rPr>
      </w:pPr>
      <w:r w:rsidRPr="006B648E">
        <w:rPr>
          <w:rFonts w:cstheme="minorHAnsi"/>
        </w:rPr>
        <w:t>Personnel/Pay policies</w:t>
      </w:r>
    </w:p>
    <w:p w14:paraId="671FA424" w14:textId="77777777" w:rsidR="00A97A4E" w:rsidRPr="006B648E" w:rsidRDefault="00A97A4E" w:rsidP="00A97A4E">
      <w:pPr>
        <w:pStyle w:val="NoSpacing"/>
        <w:rPr>
          <w:rFonts w:cstheme="minorHAnsi"/>
        </w:rPr>
      </w:pPr>
    </w:p>
    <w:p w14:paraId="43E8F875" w14:textId="77777777" w:rsidR="00A97A4E" w:rsidRPr="006B648E" w:rsidRDefault="00A97A4E" w:rsidP="00A97A4E">
      <w:pPr>
        <w:pStyle w:val="NoSpacing"/>
        <w:numPr>
          <w:ilvl w:val="0"/>
          <w:numId w:val="14"/>
        </w:numPr>
        <w:rPr>
          <w:rFonts w:cstheme="minorHAnsi"/>
        </w:rPr>
      </w:pPr>
      <w:r w:rsidRPr="006B648E">
        <w:rPr>
          <w:rFonts w:cstheme="minorHAnsi"/>
        </w:rPr>
        <w:t>Force Account Equipment:</w:t>
      </w:r>
    </w:p>
    <w:p w14:paraId="5B907240" w14:textId="77777777" w:rsidR="00A97A4E" w:rsidRPr="006B648E" w:rsidRDefault="00A97A4E" w:rsidP="00A97A4E">
      <w:pPr>
        <w:pStyle w:val="NoSpacing"/>
        <w:numPr>
          <w:ilvl w:val="1"/>
          <w:numId w:val="14"/>
        </w:numPr>
        <w:rPr>
          <w:rFonts w:cstheme="minorHAnsi"/>
        </w:rPr>
      </w:pPr>
      <w:r w:rsidRPr="006B648E">
        <w:rPr>
          <w:rFonts w:cstheme="minorHAnsi"/>
        </w:rPr>
        <w:t>Equipment used and name of operator</w:t>
      </w:r>
    </w:p>
    <w:p w14:paraId="4F7BE19B" w14:textId="77777777" w:rsidR="00A97A4E" w:rsidRPr="006B648E" w:rsidRDefault="00A97A4E" w:rsidP="00A97A4E">
      <w:pPr>
        <w:pStyle w:val="NoSpacing"/>
        <w:numPr>
          <w:ilvl w:val="1"/>
          <w:numId w:val="14"/>
        </w:numPr>
        <w:rPr>
          <w:rFonts w:cstheme="minorHAnsi"/>
        </w:rPr>
      </w:pPr>
      <w:r w:rsidRPr="006B648E">
        <w:rPr>
          <w:rFonts w:cstheme="minorHAnsi"/>
        </w:rPr>
        <w:t>Equipment Rates (</w:t>
      </w:r>
      <w:hyperlink r:id="rId8" w:history="1">
        <w:r w:rsidRPr="006B648E">
          <w:rPr>
            <w:rStyle w:val="Hyperlink"/>
            <w:rFonts w:cstheme="minorHAnsi"/>
          </w:rPr>
          <w:t>https://www.fema.gov/assistance/public/tools-resources/schedule-equipment-rates</w:t>
        </w:r>
      </w:hyperlink>
      <w:r w:rsidRPr="006B648E">
        <w:rPr>
          <w:rFonts w:cstheme="minorHAnsi"/>
        </w:rPr>
        <w:t xml:space="preserve">) </w:t>
      </w:r>
    </w:p>
    <w:p w14:paraId="5E8AE7C6" w14:textId="77777777" w:rsidR="00A97A4E" w:rsidRPr="006B648E" w:rsidRDefault="00A97A4E" w:rsidP="00A97A4E">
      <w:pPr>
        <w:pStyle w:val="NoSpacing"/>
        <w:numPr>
          <w:ilvl w:val="1"/>
          <w:numId w:val="14"/>
        </w:numPr>
        <w:rPr>
          <w:rFonts w:cstheme="minorHAnsi"/>
        </w:rPr>
      </w:pPr>
      <w:r w:rsidRPr="006B648E">
        <w:rPr>
          <w:rFonts w:cstheme="minorHAnsi"/>
        </w:rPr>
        <w:t>Salvage value</w:t>
      </w:r>
    </w:p>
    <w:p w14:paraId="11EA896C" w14:textId="77777777" w:rsidR="00A97A4E" w:rsidRPr="006B648E" w:rsidRDefault="00A97A4E" w:rsidP="00A97A4E">
      <w:pPr>
        <w:pStyle w:val="NoSpacing"/>
        <w:ind w:left="1440"/>
        <w:rPr>
          <w:rFonts w:cstheme="minorHAnsi"/>
        </w:rPr>
      </w:pPr>
    </w:p>
    <w:p w14:paraId="6DA6BCB0" w14:textId="77777777" w:rsidR="00A97A4E" w:rsidRPr="006B648E" w:rsidRDefault="00A97A4E" w:rsidP="00A97A4E">
      <w:pPr>
        <w:pStyle w:val="NoSpacing"/>
        <w:numPr>
          <w:ilvl w:val="0"/>
          <w:numId w:val="14"/>
        </w:numPr>
        <w:rPr>
          <w:rFonts w:cstheme="minorHAnsi"/>
        </w:rPr>
      </w:pPr>
      <w:r w:rsidRPr="006B648E">
        <w:rPr>
          <w:rFonts w:cstheme="minorHAnsi"/>
        </w:rPr>
        <w:t>Force Account Materials and Supplies:</w:t>
      </w:r>
    </w:p>
    <w:p w14:paraId="30A19E94" w14:textId="77777777" w:rsidR="00A97A4E" w:rsidRPr="006B648E" w:rsidRDefault="00A97A4E" w:rsidP="00A97A4E">
      <w:pPr>
        <w:pStyle w:val="NoSpacing"/>
        <w:numPr>
          <w:ilvl w:val="1"/>
          <w:numId w:val="14"/>
        </w:numPr>
        <w:rPr>
          <w:rFonts w:cstheme="minorHAnsi"/>
        </w:rPr>
      </w:pPr>
      <w:r w:rsidRPr="006B648E">
        <w:rPr>
          <w:rFonts w:cstheme="minorHAnsi"/>
        </w:rPr>
        <w:t>Invoices</w:t>
      </w:r>
    </w:p>
    <w:p w14:paraId="434D6A4F" w14:textId="77777777" w:rsidR="00A97A4E" w:rsidRPr="006B648E" w:rsidRDefault="00A97A4E" w:rsidP="00A97A4E">
      <w:pPr>
        <w:pStyle w:val="NoSpacing"/>
        <w:numPr>
          <w:ilvl w:val="1"/>
          <w:numId w:val="14"/>
        </w:numPr>
        <w:rPr>
          <w:rFonts w:cstheme="minorHAnsi"/>
        </w:rPr>
      </w:pPr>
      <w:r w:rsidRPr="006B648E">
        <w:rPr>
          <w:rFonts w:cstheme="minorHAnsi"/>
        </w:rPr>
        <w:t>Proof of payment</w:t>
      </w:r>
    </w:p>
    <w:p w14:paraId="0BF42AAD" w14:textId="77777777" w:rsidR="00A97A4E" w:rsidRPr="006B648E" w:rsidRDefault="00A97A4E" w:rsidP="00A97A4E">
      <w:pPr>
        <w:pStyle w:val="NoSpacing"/>
        <w:numPr>
          <w:ilvl w:val="1"/>
          <w:numId w:val="14"/>
        </w:numPr>
        <w:rPr>
          <w:rFonts w:cstheme="minorHAnsi"/>
        </w:rPr>
      </w:pPr>
      <w:r w:rsidRPr="006B648E">
        <w:rPr>
          <w:rFonts w:cstheme="minorHAnsi"/>
        </w:rPr>
        <w:t>Salvage value</w:t>
      </w:r>
    </w:p>
    <w:p w14:paraId="3115D763" w14:textId="77777777" w:rsidR="00A97A4E" w:rsidRPr="006B648E" w:rsidRDefault="00A97A4E" w:rsidP="00A97A4E">
      <w:pPr>
        <w:pStyle w:val="NoSpacing"/>
        <w:ind w:left="360" w:firstLine="720"/>
        <w:rPr>
          <w:rFonts w:cstheme="minorHAnsi"/>
        </w:rPr>
      </w:pPr>
    </w:p>
    <w:p w14:paraId="2DF4AEB5" w14:textId="77777777" w:rsidR="00A97A4E" w:rsidRPr="006B648E" w:rsidRDefault="00A97A4E" w:rsidP="00A97A4E">
      <w:pPr>
        <w:pStyle w:val="NoSpacing"/>
        <w:numPr>
          <w:ilvl w:val="0"/>
          <w:numId w:val="13"/>
        </w:numPr>
        <w:rPr>
          <w:rFonts w:cstheme="minorHAnsi"/>
        </w:rPr>
      </w:pPr>
      <w:r w:rsidRPr="006B648E">
        <w:rPr>
          <w:rFonts w:cstheme="minorHAnsi"/>
        </w:rPr>
        <w:t>Contract Work:</w:t>
      </w:r>
    </w:p>
    <w:p w14:paraId="1EDF2302" w14:textId="77777777" w:rsidR="00A97A4E" w:rsidRPr="006B648E" w:rsidRDefault="00A97A4E" w:rsidP="00A97A4E">
      <w:pPr>
        <w:pStyle w:val="NoSpacing"/>
        <w:numPr>
          <w:ilvl w:val="1"/>
          <w:numId w:val="13"/>
        </w:numPr>
        <w:rPr>
          <w:rFonts w:cstheme="minorHAnsi"/>
        </w:rPr>
      </w:pPr>
      <w:r w:rsidRPr="006B648E">
        <w:rPr>
          <w:rFonts w:cstheme="minorHAnsi"/>
        </w:rPr>
        <w:t>Scope of work</w:t>
      </w:r>
    </w:p>
    <w:p w14:paraId="714EC19D" w14:textId="77777777" w:rsidR="00A97A4E" w:rsidRPr="006B648E" w:rsidRDefault="00A97A4E" w:rsidP="00A97A4E">
      <w:pPr>
        <w:pStyle w:val="NoSpacing"/>
        <w:numPr>
          <w:ilvl w:val="1"/>
          <w:numId w:val="13"/>
        </w:numPr>
        <w:rPr>
          <w:rFonts w:cstheme="minorHAnsi"/>
        </w:rPr>
      </w:pPr>
      <w:r w:rsidRPr="006B648E">
        <w:rPr>
          <w:rFonts w:cstheme="minorHAnsi"/>
        </w:rPr>
        <w:t xml:space="preserve">Procurement procedures  </w:t>
      </w:r>
    </w:p>
    <w:p w14:paraId="7566A595" w14:textId="77777777" w:rsidR="00A97A4E" w:rsidRPr="006B648E" w:rsidRDefault="00A97A4E" w:rsidP="00A97A4E">
      <w:pPr>
        <w:pStyle w:val="NoSpacing"/>
        <w:numPr>
          <w:ilvl w:val="1"/>
          <w:numId w:val="13"/>
        </w:numPr>
        <w:rPr>
          <w:rFonts w:cstheme="minorHAnsi"/>
        </w:rPr>
      </w:pPr>
      <w:r w:rsidRPr="006B648E">
        <w:rPr>
          <w:rFonts w:cstheme="minorHAnsi"/>
        </w:rPr>
        <w:t>Rental Agreements</w:t>
      </w:r>
    </w:p>
    <w:p w14:paraId="7DEB4793" w14:textId="77777777" w:rsidR="00A97A4E" w:rsidRPr="006B648E" w:rsidRDefault="00A97A4E" w:rsidP="00A97A4E">
      <w:pPr>
        <w:pStyle w:val="NoSpacing"/>
        <w:numPr>
          <w:ilvl w:val="1"/>
          <w:numId w:val="13"/>
        </w:numPr>
        <w:rPr>
          <w:rFonts w:cstheme="minorHAnsi"/>
        </w:rPr>
      </w:pPr>
      <w:r w:rsidRPr="006B648E">
        <w:rPr>
          <w:rFonts w:cstheme="minorHAnsi"/>
        </w:rPr>
        <w:t>Request for Proposals (RFP)</w:t>
      </w:r>
    </w:p>
    <w:p w14:paraId="4625DBBF" w14:textId="77777777" w:rsidR="00A97A4E" w:rsidRPr="006B648E" w:rsidRDefault="00A97A4E" w:rsidP="00A97A4E">
      <w:pPr>
        <w:pStyle w:val="NoSpacing"/>
        <w:numPr>
          <w:ilvl w:val="1"/>
          <w:numId w:val="13"/>
        </w:numPr>
        <w:rPr>
          <w:rFonts w:cstheme="minorHAnsi"/>
        </w:rPr>
      </w:pPr>
      <w:r w:rsidRPr="006B648E">
        <w:rPr>
          <w:rFonts w:cstheme="minorHAnsi"/>
        </w:rPr>
        <w:t>Bid Documents to include bid advertisement, bid tabulation sheet, bid lists, completed bid proposal of low bidder</w:t>
      </w:r>
    </w:p>
    <w:p w14:paraId="356C0647" w14:textId="77777777" w:rsidR="00A97A4E" w:rsidRPr="006B648E" w:rsidRDefault="00A97A4E" w:rsidP="00A97A4E">
      <w:pPr>
        <w:pStyle w:val="NoSpacing"/>
        <w:numPr>
          <w:ilvl w:val="1"/>
          <w:numId w:val="13"/>
        </w:numPr>
        <w:rPr>
          <w:rFonts w:cstheme="minorHAnsi"/>
        </w:rPr>
      </w:pPr>
      <w:r w:rsidRPr="006B648E">
        <w:rPr>
          <w:rFonts w:cstheme="minorHAnsi"/>
        </w:rPr>
        <w:t>Design plan and specifications</w:t>
      </w:r>
    </w:p>
    <w:p w14:paraId="0C39AE1C" w14:textId="77777777" w:rsidR="00A97A4E" w:rsidRPr="006B648E" w:rsidRDefault="00A97A4E" w:rsidP="00A97A4E">
      <w:pPr>
        <w:pStyle w:val="NoSpacing"/>
        <w:numPr>
          <w:ilvl w:val="1"/>
          <w:numId w:val="13"/>
        </w:numPr>
        <w:rPr>
          <w:rFonts w:cstheme="minorHAnsi"/>
        </w:rPr>
      </w:pPr>
      <w:r w:rsidRPr="006B648E">
        <w:rPr>
          <w:rFonts w:cstheme="minorHAnsi"/>
        </w:rPr>
        <w:t xml:space="preserve">Price analysis to determine reasonableness of cost </w:t>
      </w:r>
    </w:p>
    <w:p w14:paraId="1BD91342" w14:textId="77777777" w:rsidR="00A97A4E" w:rsidRPr="006B648E" w:rsidRDefault="00A97A4E" w:rsidP="00A97A4E">
      <w:pPr>
        <w:pStyle w:val="NoSpacing"/>
        <w:numPr>
          <w:ilvl w:val="1"/>
          <w:numId w:val="13"/>
        </w:numPr>
        <w:rPr>
          <w:rFonts w:cstheme="minorHAnsi"/>
        </w:rPr>
      </w:pPr>
      <w:r w:rsidRPr="006B648E">
        <w:rPr>
          <w:rFonts w:cstheme="minorHAnsi"/>
        </w:rPr>
        <w:t>Award Letters</w:t>
      </w:r>
    </w:p>
    <w:p w14:paraId="71C48F75" w14:textId="77777777" w:rsidR="00A97A4E" w:rsidRPr="006B648E" w:rsidRDefault="00A97A4E" w:rsidP="00A97A4E">
      <w:pPr>
        <w:pStyle w:val="NoSpacing"/>
        <w:numPr>
          <w:ilvl w:val="1"/>
          <w:numId w:val="13"/>
        </w:numPr>
        <w:rPr>
          <w:rFonts w:cstheme="minorHAnsi"/>
        </w:rPr>
      </w:pPr>
      <w:r w:rsidRPr="006B648E">
        <w:rPr>
          <w:rFonts w:cstheme="minorHAnsi"/>
        </w:rPr>
        <w:t>Copy of signed contracts</w:t>
      </w:r>
    </w:p>
    <w:p w14:paraId="1CC07C75" w14:textId="77777777" w:rsidR="00A97A4E" w:rsidRPr="006B648E" w:rsidRDefault="00A97A4E" w:rsidP="00A97A4E">
      <w:pPr>
        <w:pStyle w:val="NoSpacing"/>
        <w:numPr>
          <w:ilvl w:val="1"/>
          <w:numId w:val="13"/>
        </w:numPr>
        <w:rPr>
          <w:rFonts w:cstheme="minorHAnsi"/>
        </w:rPr>
      </w:pPr>
      <w:r w:rsidRPr="006B648E">
        <w:rPr>
          <w:rFonts w:cstheme="minorHAnsi"/>
        </w:rPr>
        <w:t xml:space="preserve">Invoices </w:t>
      </w:r>
    </w:p>
    <w:p w14:paraId="1F735F36" w14:textId="77777777" w:rsidR="00A97A4E" w:rsidRPr="006B648E" w:rsidRDefault="00A97A4E" w:rsidP="00A97A4E">
      <w:pPr>
        <w:pStyle w:val="NoSpacing"/>
        <w:numPr>
          <w:ilvl w:val="1"/>
          <w:numId w:val="13"/>
        </w:numPr>
        <w:rPr>
          <w:rFonts w:cstheme="minorHAnsi"/>
        </w:rPr>
      </w:pPr>
      <w:r w:rsidRPr="006B648E">
        <w:rPr>
          <w:rFonts w:cstheme="minorHAnsi"/>
        </w:rPr>
        <w:t>Proof of Payment</w:t>
      </w:r>
    </w:p>
    <w:p w14:paraId="281851C4" w14:textId="77777777" w:rsidR="00A97A4E" w:rsidRPr="006B648E" w:rsidRDefault="00A97A4E" w:rsidP="00A97A4E">
      <w:pPr>
        <w:pStyle w:val="NoSpacing"/>
        <w:ind w:left="1440"/>
        <w:rPr>
          <w:rFonts w:cstheme="minorHAnsi"/>
        </w:rPr>
      </w:pPr>
    </w:p>
    <w:p w14:paraId="48059A0E" w14:textId="77777777" w:rsidR="00A97A4E" w:rsidRPr="006B648E" w:rsidRDefault="00A97A4E" w:rsidP="00A97A4E">
      <w:pPr>
        <w:pStyle w:val="NoSpacing"/>
        <w:numPr>
          <w:ilvl w:val="0"/>
          <w:numId w:val="1"/>
        </w:numPr>
        <w:rPr>
          <w:rFonts w:cstheme="minorHAnsi"/>
          <w:u w:val="single"/>
        </w:rPr>
      </w:pPr>
      <w:r w:rsidRPr="006B648E">
        <w:rPr>
          <w:rFonts w:cstheme="minorHAnsi"/>
          <w:u w:val="single"/>
        </w:rPr>
        <w:t>Insurance Information (as applicable):</w:t>
      </w:r>
    </w:p>
    <w:p w14:paraId="19F3DA5D" w14:textId="77777777" w:rsidR="00A97A4E" w:rsidRPr="006B648E" w:rsidRDefault="00A97A4E" w:rsidP="00A97A4E">
      <w:pPr>
        <w:pStyle w:val="NoSpacing"/>
        <w:ind w:left="720"/>
        <w:rPr>
          <w:rFonts w:cstheme="minorHAnsi"/>
          <w:u w:val="single"/>
        </w:rPr>
      </w:pPr>
    </w:p>
    <w:p w14:paraId="3B0CDC01" w14:textId="77777777" w:rsidR="00A97A4E" w:rsidRPr="006B648E" w:rsidRDefault="00A97A4E" w:rsidP="00A97A4E">
      <w:pPr>
        <w:pStyle w:val="NoSpacing"/>
        <w:numPr>
          <w:ilvl w:val="0"/>
          <w:numId w:val="5"/>
        </w:numPr>
        <w:rPr>
          <w:rFonts w:cstheme="minorHAnsi"/>
        </w:rPr>
      </w:pPr>
      <w:r w:rsidRPr="006B648E">
        <w:rPr>
          <w:rFonts w:cstheme="minorHAnsi"/>
        </w:rPr>
        <w:t>A complete copy of the Insurance Policy (including property schedule of insured items or locations)</w:t>
      </w:r>
    </w:p>
    <w:p w14:paraId="7760F15F" w14:textId="77777777" w:rsidR="00A97A4E" w:rsidRPr="006B648E" w:rsidRDefault="00A97A4E" w:rsidP="00A97A4E">
      <w:pPr>
        <w:pStyle w:val="NoSpacing"/>
        <w:numPr>
          <w:ilvl w:val="0"/>
          <w:numId w:val="5"/>
        </w:numPr>
        <w:rPr>
          <w:rFonts w:cstheme="minorHAnsi"/>
        </w:rPr>
      </w:pPr>
      <w:r w:rsidRPr="006B648E">
        <w:rPr>
          <w:rFonts w:cstheme="minorHAnsi"/>
        </w:rPr>
        <w:t>A Statement of Loss</w:t>
      </w:r>
    </w:p>
    <w:p w14:paraId="5D18AFA3" w14:textId="77777777" w:rsidR="00A97A4E" w:rsidRPr="006B648E" w:rsidRDefault="00A97A4E" w:rsidP="00A97A4E">
      <w:pPr>
        <w:pStyle w:val="NoSpacing"/>
        <w:numPr>
          <w:ilvl w:val="0"/>
          <w:numId w:val="5"/>
        </w:numPr>
        <w:rPr>
          <w:rFonts w:cstheme="minorHAnsi"/>
        </w:rPr>
      </w:pPr>
      <w:r w:rsidRPr="006B648E">
        <w:rPr>
          <w:rFonts w:cstheme="minorHAnsi"/>
        </w:rPr>
        <w:t>Copy of any payments received from Insurance Company</w:t>
      </w:r>
    </w:p>
    <w:p w14:paraId="1716F03C" w14:textId="77777777" w:rsidR="00A97A4E" w:rsidRPr="006B648E" w:rsidRDefault="00A97A4E" w:rsidP="00A97A4E">
      <w:pPr>
        <w:pStyle w:val="NoSpacing"/>
        <w:numPr>
          <w:ilvl w:val="0"/>
          <w:numId w:val="5"/>
        </w:numPr>
        <w:rPr>
          <w:rFonts w:cstheme="minorHAnsi"/>
        </w:rPr>
      </w:pPr>
      <w:r w:rsidRPr="006B648E">
        <w:rPr>
          <w:rFonts w:cstheme="minorHAnsi"/>
        </w:rPr>
        <w:t>Any estimate of damages and any correspondence related to insurance coverage or denial of coverage</w:t>
      </w:r>
    </w:p>
    <w:p w14:paraId="660AF67A" w14:textId="77777777" w:rsidR="00A97A4E" w:rsidRPr="006B648E" w:rsidRDefault="00A97A4E" w:rsidP="00A97A4E">
      <w:pPr>
        <w:pStyle w:val="NoSpacing"/>
        <w:rPr>
          <w:rFonts w:cstheme="minorHAnsi"/>
        </w:rPr>
      </w:pPr>
    </w:p>
    <w:p w14:paraId="4D9E8780" w14:textId="77777777" w:rsidR="00A97A4E" w:rsidRPr="006B648E" w:rsidRDefault="00A97A4E" w:rsidP="00A97A4E">
      <w:pPr>
        <w:pStyle w:val="NoSpacing"/>
        <w:numPr>
          <w:ilvl w:val="0"/>
          <w:numId w:val="1"/>
        </w:numPr>
        <w:rPr>
          <w:rFonts w:cstheme="minorHAnsi"/>
          <w:u w:val="single"/>
        </w:rPr>
      </w:pPr>
      <w:r w:rsidRPr="006B648E">
        <w:rPr>
          <w:rFonts w:cstheme="minorHAnsi"/>
          <w:u w:val="single"/>
        </w:rPr>
        <w:t>Environmental, Historic Preservation (EHP) Documentation (as applicable):</w:t>
      </w:r>
    </w:p>
    <w:p w14:paraId="55C129E4" w14:textId="77777777" w:rsidR="00A97A4E" w:rsidRPr="006B648E" w:rsidRDefault="00A97A4E" w:rsidP="00A97A4E">
      <w:pPr>
        <w:pStyle w:val="NoSpacing"/>
        <w:ind w:left="360"/>
        <w:rPr>
          <w:rFonts w:cstheme="minorHAnsi"/>
          <w:u w:val="single"/>
        </w:rPr>
      </w:pPr>
    </w:p>
    <w:p w14:paraId="6E70FB59" w14:textId="77777777" w:rsidR="00A97A4E" w:rsidRPr="006B648E" w:rsidRDefault="00A97A4E" w:rsidP="00A97A4E">
      <w:pPr>
        <w:pStyle w:val="NoSpacing"/>
        <w:numPr>
          <w:ilvl w:val="0"/>
          <w:numId w:val="5"/>
        </w:numPr>
        <w:rPr>
          <w:rFonts w:cstheme="minorHAnsi"/>
        </w:rPr>
      </w:pPr>
      <w:r w:rsidRPr="006B648E">
        <w:rPr>
          <w:rFonts w:cstheme="minorHAnsi"/>
        </w:rPr>
        <w:t>Check Record of Environmental Compliance (REC) for conditions</w:t>
      </w:r>
    </w:p>
    <w:p w14:paraId="7F677845" w14:textId="77777777" w:rsidR="00A97A4E" w:rsidRPr="006B648E" w:rsidRDefault="00A97A4E" w:rsidP="00A97A4E">
      <w:pPr>
        <w:pStyle w:val="NoSpacing"/>
        <w:numPr>
          <w:ilvl w:val="0"/>
          <w:numId w:val="5"/>
        </w:numPr>
        <w:rPr>
          <w:rFonts w:cstheme="minorHAnsi"/>
        </w:rPr>
      </w:pPr>
      <w:r w:rsidRPr="006B648E">
        <w:rPr>
          <w:rFonts w:cstheme="minorHAnsi"/>
        </w:rPr>
        <w:t>US Army Corps of Engineers (USCE) permits and applicable certification forms</w:t>
      </w:r>
    </w:p>
    <w:p w14:paraId="3F7DE17B" w14:textId="77777777" w:rsidR="00A97A4E" w:rsidRPr="006B648E" w:rsidRDefault="00A97A4E" w:rsidP="00A97A4E">
      <w:pPr>
        <w:pStyle w:val="NoSpacing"/>
        <w:numPr>
          <w:ilvl w:val="0"/>
          <w:numId w:val="5"/>
        </w:numPr>
        <w:rPr>
          <w:rFonts w:cstheme="minorHAnsi"/>
        </w:rPr>
      </w:pPr>
      <w:r w:rsidRPr="006B648E">
        <w:rPr>
          <w:rFonts w:cstheme="minorHAnsi"/>
        </w:rPr>
        <w:t>State wetlands permits</w:t>
      </w:r>
    </w:p>
    <w:p w14:paraId="5B40139C" w14:textId="77777777" w:rsidR="00A97A4E" w:rsidRPr="006B648E" w:rsidRDefault="00A97A4E" w:rsidP="00A97A4E">
      <w:pPr>
        <w:pStyle w:val="NoSpacing"/>
        <w:numPr>
          <w:ilvl w:val="0"/>
          <w:numId w:val="5"/>
        </w:numPr>
        <w:rPr>
          <w:rFonts w:cstheme="minorHAnsi"/>
        </w:rPr>
      </w:pPr>
      <w:r w:rsidRPr="006B648E">
        <w:rPr>
          <w:rFonts w:cstheme="minorHAnsi"/>
        </w:rPr>
        <w:t>State Environmental approval letters</w:t>
      </w:r>
    </w:p>
    <w:p w14:paraId="443D1F0A" w14:textId="77777777" w:rsidR="00A97A4E" w:rsidRPr="006B648E" w:rsidRDefault="00A97A4E" w:rsidP="00A97A4E">
      <w:pPr>
        <w:pStyle w:val="NoSpacing"/>
        <w:numPr>
          <w:ilvl w:val="0"/>
          <w:numId w:val="5"/>
        </w:numPr>
        <w:rPr>
          <w:rFonts w:cstheme="minorHAnsi"/>
        </w:rPr>
      </w:pPr>
      <w:r w:rsidRPr="006B648E">
        <w:rPr>
          <w:rFonts w:cstheme="minorHAnsi"/>
        </w:rPr>
        <w:t>State Historic Preservation Office approval letters</w:t>
      </w:r>
    </w:p>
    <w:p w14:paraId="77DC9487" w14:textId="77777777" w:rsidR="00A97A4E" w:rsidRPr="006B648E" w:rsidRDefault="00A97A4E" w:rsidP="00A97A4E">
      <w:pPr>
        <w:pStyle w:val="NoSpacing"/>
        <w:numPr>
          <w:ilvl w:val="0"/>
          <w:numId w:val="5"/>
        </w:numPr>
        <w:rPr>
          <w:rFonts w:cstheme="minorHAnsi"/>
        </w:rPr>
      </w:pPr>
      <w:r w:rsidRPr="006B648E">
        <w:rPr>
          <w:rFonts w:cstheme="minorHAnsi"/>
        </w:rPr>
        <w:t>Any other EHP documentation and correspondence</w:t>
      </w:r>
    </w:p>
    <w:p w14:paraId="643AED56" w14:textId="77777777" w:rsidR="00A97A4E" w:rsidRPr="006B648E" w:rsidRDefault="00A97A4E" w:rsidP="00A97A4E">
      <w:pPr>
        <w:pStyle w:val="NoSpacing"/>
        <w:ind w:left="1440"/>
        <w:rPr>
          <w:rFonts w:cstheme="minorHAnsi"/>
        </w:rPr>
      </w:pPr>
    </w:p>
    <w:p w14:paraId="43AFE478" w14:textId="77777777" w:rsidR="00A97A4E" w:rsidRPr="006B648E" w:rsidRDefault="00A97A4E" w:rsidP="00A97A4E">
      <w:pPr>
        <w:pStyle w:val="NoSpacing"/>
        <w:numPr>
          <w:ilvl w:val="0"/>
          <w:numId w:val="1"/>
        </w:numPr>
        <w:rPr>
          <w:rFonts w:cstheme="minorHAnsi"/>
        </w:rPr>
      </w:pPr>
      <w:r w:rsidRPr="006B648E">
        <w:rPr>
          <w:rFonts w:cstheme="minorHAnsi"/>
          <w:u w:val="single"/>
        </w:rPr>
        <w:t>Other Closeout Considerations:</w:t>
      </w:r>
    </w:p>
    <w:p w14:paraId="4DDC9C78" w14:textId="77777777" w:rsidR="00A97A4E" w:rsidRPr="006B648E" w:rsidRDefault="00A97A4E" w:rsidP="00A97A4E">
      <w:pPr>
        <w:pStyle w:val="NoSpacing"/>
        <w:ind w:left="720"/>
        <w:rPr>
          <w:rFonts w:cstheme="minorHAnsi"/>
        </w:rPr>
      </w:pPr>
    </w:p>
    <w:p w14:paraId="236B8F5F" w14:textId="77777777" w:rsidR="00A97A4E" w:rsidRPr="006B648E" w:rsidRDefault="00A97A4E" w:rsidP="00A97A4E">
      <w:pPr>
        <w:pStyle w:val="NoSpacing"/>
        <w:numPr>
          <w:ilvl w:val="0"/>
          <w:numId w:val="9"/>
        </w:numPr>
        <w:rPr>
          <w:rFonts w:cstheme="minorHAnsi"/>
        </w:rPr>
      </w:pPr>
      <w:r w:rsidRPr="006B648E">
        <w:rPr>
          <w:rFonts w:cstheme="minorHAnsi"/>
        </w:rPr>
        <w:t>Applicant procurement policies</w:t>
      </w:r>
    </w:p>
    <w:p w14:paraId="7067F8F0" w14:textId="77777777" w:rsidR="00A97A4E" w:rsidRPr="006B648E" w:rsidRDefault="00A97A4E" w:rsidP="00A97A4E">
      <w:pPr>
        <w:pStyle w:val="NoSpacing"/>
        <w:numPr>
          <w:ilvl w:val="0"/>
          <w:numId w:val="9"/>
        </w:numPr>
        <w:rPr>
          <w:rFonts w:cstheme="minorHAnsi"/>
        </w:rPr>
      </w:pPr>
      <w:r w:rsidRPr="006B648E">
        <w:rPr>
          <w:rFonts w:cstheme="minorHAnsi"/>
        </w:rPr>
        <w:t>Applicable codes and standards</w:t>
      </w:r>
    </w:p>
    <w:p w14:paraId="5FC60FB0" w14:textId="77777777" w:rsidR="00A97A4E" w:rsidRPr="006B648E" w:rsidRDefault="00A97A4E" w:rsidP="00A97A4E">
      <w:pPr>
        <w:pStyle w:val="NoSpacing"/>
        <w:numPr>
          <w:ilvl w:val="0"/>
          <w:numId w:val="9"/>
        </w:numPr>
        <w:rPr>
          <w:rFonts w:cstheme="minorHAnsi"/>
        </w:rPr>
      </w:pPr>
      <w:r w:rsidRPr="006B648E">
        <w:rPr>
          <w:rFonts w:cstheme="minorHAnsi"/>
        </w:rPr>
        <w:t xml:space="preserve">Any relevant correspondence </w:t>
      </w:r>
    </w:p>
    <w:p w14:paraId="0A579793" w14:textId="77777777" w:rsidR="00A97A4E" w:rsidRDefault="00A97A4E" w:rsidP="004E2F5F">
      <w:pPr>
        <w:pStyle w:val="NoSpacing"/>
        <w:rPr>
          <w:sz w:val="28"/>
          <w:szCs w:val="28"/>
        </w:rPr>
      </w:pPr>
    </w:p>
    <w:sectPr w:rsidR="00A97A4E" w:rsidSect="00874690">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4243" w14:textId="77777777" w:rsidR="00BE3C40" w:rsidRDefault="00BE3C40" w:rsidP="00BE3C40">
      <w:r>
        <w:separator/>
      </w:r>
    </w:p>
  </w:endnote>
  <w:endnote w:type="continuationSeparator" w:id="0">
    <w:p w14:paraId="0B5A502E" w14:textId="77777777" w:rsidR="00BE3C40" w:rsidRDefault="00BE3C40" w:rsidP="00BE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65" w14:textId="1F8D10A3" w:rsidR="00BE3C40" w:rsidRDefault="00BE3C40">
    <w:pPr>
      <w:pStyle w:val="Footer"/>
    </w:pPr>
    <w:r>
      <w:tab/>
    </w:r>
    <w:r>
      <w:tab/>
    </w:r>
    <w:r>
      <w:tab/>
    </w:r>
  </w:p>
  <w:p w14:paraId="64BF0330" w14:textId="77777777" w:rsidR="00BE3C40" w:rsidRDefault="00BE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F872" w14:textId="77777777" w:rsidR="00BE3C40" w:rsidRDefault="00BE3C40" w:rsidP="00BE3C40">
      <w:r>
        <w:separator/>
      </w:r>
    </w:p>
  </w:footnote>
  <w:footnote w:type="continuationSeparator" w:id="0">
    <w:p w14:paraId="078A4005" w14:textId="77777777" w:rsidR="00BE3C40" w:rsidRDefault="00BE3C40" w:rsidP="00BE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B6"/>
    <w:multiLevelType w:val="hybridMultilevel"/>
    <w:tmpl w:val="33DCC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2A7989"/>
    <w:multiLevelType w:val="hybridMultilevel"/>
    <w:tmpl w:val="9E2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51CE"/>
    <w:multiLevelType w:val="hybridMultilevel"/>
    <w:tmpl w:val="5E40289E"/>
    <w:lvl w:ilvl="0" w:tplc="A0A8E93C">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D7C06"/>
    <w:multiLevelType w:val="hybridMultilevel"/>
    <w:tmpl w:val="856E4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78597C"/>
    <w:multiLevelType w:val="hybridMultilevel"/>
    <w:tmpl w:val="504AB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72F9E"/>
    <w:multiLevelType w:val="hybridMultilevel"/>
    <w:tmpl w:val="13C82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DD1908"/>
    <w:multiLevelType w:val="hybridMultilevel"/>
    <w:tmpl w:val="109C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0D0ABA"/>
    <w:multiLevelType w:val="hybridMultilevel"/>
    <w:tmpl w:val="85EE6B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CD0E16"/>
    <w:multiLevelType w:val="hybridMultilevel"/>
    <w:tmpl w:val="F66AE476"/>
    <w:lvl w:ilvl="0" w:tplc="CD105408">
      <w:start w:val="9"/>
      <w:numFmt w:val="lowerLetter"/>
      <w:lvlText w:val="%1."/>
      <w:lvlJc w:val="left"/>
      <w:pPr>
        <w:ind w:left="1479" w:hanging="360"/>
      </w:pPr>
      <w:rPr>
        <w:rFonts w:hint="default"/>
        <w:b w:val="0"/>
        <w:i w:val="0"/>
      </w:rPr>
    </w:lvl>
    <w:lvl w:ilvl="1" w:tplc="04090019">
      <w:start w:val="1"/>
      <w:numFmt w:val="lowerLetter"/>
      <w:lvlText w:val="%2."/>
      <w:lvlJc w:val="left"/>
      <w:pPr>
        <w:ind w:left="2199" w:hanging="360"/>
      </w:pPr>
    </w:lvl>
    <w:lvl w:ilvl="2" w:tplc="0409001B">
      <w:start w:val="1"/>
      <w:numFmt w:val="lowerRoman"/>
      <w:lvlText w:val="%3."/>
      <w:lvlJc w:val="right"/>
      <w:pPr>
        <w:ind w:left="2919" w:hanging="180"/>
      </w:pPr>
    </w:lvl>
    <w:lvl w:ilvl="3" w:tplc="0409000F">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D3ACFE8">
      <w:start w:val="1"/>
      <w:numFmt w:val="lowerRoman"/>
      <w:lvlText w:val="%7."/>
      <w:lvlJc w:val="left"/>
      <w:pPr>
        <w:ind w:left="5799" w:hanging="360"/>
      </w:pPr>
      <w:rPr>
        <w:rFonts w:asciiTheme="minorHAnsi" w:eastAsia="Times New Roman" w:hAnsiTheme="minorHAnsi" w:cstheme="minorHAnsi" w:hint="default"/>
      </w:r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4EF556BA"/>
    <w:multiLevelType w:val="hybridMultilevel"/>
    <w:tmpl w:val="65DE825A"/>
    <w:lvl w:ilvl="0" w:tplc="2FC26ACC">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4922AE"/>
    <w:multiLevelType w:val="hybridMultilevel"/>
    <w:tmpl w:val="D6505C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B0B7F36"/>
    <w:multiLevelType w:val="hybridMultilevel"/>
    <w:tmpl w:val="280A5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384A3D"/>
    <w:multiLevelType w:val="hybridMultilevel"/>
    <w:tmpl w:val="BE402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CD6D47"/>
    <w:multiLevelType w:val="hybridMultilevel"/>
    <w:tmpl w:val="0010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1766CC"/>
    <w:multiLevelType w:val="hybridMultilevel"/>
    <w:tmpl w:val="DBDC3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1424C8"/>
    <w:multiLevelType w:val="hybridMultilevel"/>
    <w:tmpl w:val="9570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600D"/>
    <w:multiLevelType w:val="hybridMultilevel"/>
    <w:tmpl w:val="75189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036AF2"/>
    <w:multiLevelType w:val="hybridMultilevel"/>
    <w:tmpl w:val="22E8698C"/>
    <w:lvl w:ilvl="0" w:tplc="5902330E">
      <w:start w:val="2"/>
      <w:numFmt w:val="lowerRoman"/>
      <w:lvlText w:val="%1."/>
      <w:lvlJc w:val="left"/>
      <w:pPr>
        <w:ind w:left="720" w:hanging="720"/>
      </w:pPr>
      <w:rPr>
        <w:rFonts w:hint="default"/>
        <w:b w:val="0"/>
        <w:i w:val="0"/>
      </w:rPr>
    </w:lvl>
    <w:lvl w:ilvl="1" w:tplc="04090019">
      <w:start w:val="1"/>
      <w:numFmt w:val="lowerLetter"/>
      <w:lvlText w:val="%2."/>
      <w:lvlJc w:val="left"/>
      <w:pPr>
        <w:ind w:left="2199" w:hanging="360"/>
      </w:pPr>
    </w:lvl>
    <w:lvl w:ilvl="2" w:tplc="0409001B">
      <w:start w:val="1"/>
      <w:numFmt w:val="lowerRoman"/>
      <w:lvlText w:val="%3."/>
      <w:lvlJc w:val="right"/>
      <w:pPr>
        <w:ind w:left="2919" w:hanging="180"/>
      </w:pPr>
    </w:lvl>
    <w:lvl w:ilvl="3" w:tplc="0409000F">
      <w:start w:val="1"/>
      <w:numFmt w:val="decimal"/>
      <w:lvlText w:val="%4."/>
      <w:lvlJc w:val="left"/>
      <w:pPr>
        <w:ind w:left="3639" w:hanging="360"/>
      </w:pPr>
    </w:lvl>
    <w:lvl w:ilvl="4" w:tplc="04090019">
      <w:start w:val="1"/>
      <w:numFmt w:val="lowerLetter"/>
      <w:lvlText w:val="%5."/>
      <w:lvlJc w:val="left"/>
      <w:pPr>
        <w:ind w:left="4359" w:hanging="360"/>
      </w:pPr>
    </w:lvl>
    <w:lvl w:ilvl="5" w:tplc="304C3248">
      <w:start w:val="1"/>
      <w:numFmt w:val="upperLetter"/>
      <w:lvlText w:val="%6."/>
      <w:lvlJc w:val="left"/>
      <w:pPr>
        <w:ind w:left="5259" w:hanging="360"/>
      </w:pPr>
      <w:rPr>
        <w:rFonts w:hint="default"/>
      </w:rPr>
    </w:lvl>
    <w:lvl w:ilvl="6" w:tplc="038C7F3E">
      <w:start w:val="1"/>
      <w:numFmt w:val="lowerRoman"/>
      <w:lvlText w:val="%7."/>
      <w:lvlJc w:val="left"/>
      <w:pPr>
        <w:ind w:left="5799" w:hanging="360"/>
      </w:pPr>
      <w:rPr>
        <w:rFonts w:ascii="Times New Roman" w:eastAsia="Times New Roman" w:hAnsi="Times New Roman" w:cs="Times New Roman"/>
      </w:r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num w:numId="1" w16cid:durableId="1025598906">
    <w:abstractNumId w:val="2"/>
  </w:num>
  <w:num w:numId="2" w16cid:durableId="363092887">
    <w:abstractNumId w:val="14"/>
  </w:num>
  <w:num w:numId="3" w16cid:durableId="179465487">
    <w:abstractNumId w:val="11"/>
  </w:num>
  <w:num w:numId="4" w16cid:durableId="1725369132">
    <w:abstractNumId w:val="6"/>
  </w:num>
  <w:num w:numId="5" w16cid:durableId="1163007361">
    <w:abstractNumId w:val="12"/>
  </w:num>
  <w:num w:numId="6" w16cid:durableId="287469715">
    <w:abstractNumId w:val="4"/>
  </w:num>
  <w:num w:numId="7" w16cid:durableId="588316687">
    <w:abstractNumId w:val="3"/>
  </w:num>
  <w:num w:numId="8" w16cid:durableId="115948015">
    <w:abstractNumId w:val="15"/>
  </w:num>
  <w:num w:numId="9" w16cid:durableId="778064048">
    <w:abstractNumId w:val="9"/>
  </w:num>
  <w:num w:numId="10" w16cid:durableId="447510932">
    <w:abstractNumId w:val="13"/>
  </w:num>
  <w:num w:numId="11" w16cid:durableId="1886284724">
    <w:abstractNumId w:val="5"/>
  </w:num>
  <w:num w:numId="12" w16cid:durableId="1621916960">
    <w:abstractNumId w:val="0"/>
  </w:num>
  <w:num w:numId="13" w16cid:durableId="1024793473">
    <w:abstractNumId w:val="7"/>
  </w:num>
  <w:num w:numId="14" w16cid:durableId="1704668074">
    <w:abstractNumId w:val="10"/>
  </w:num>
  <w:num w:numId="15" w16cid:durableId="542326973">
    <w:abstractNumId w:val="16"/>
  </w:num>
  <w:num w:numId="16" w16cid:durableId="189225240">
    <w:abstractNumId w:val="8"/>
  </w:num>
  <w:num w:numId="17" w16cid:durableId="198200470">
    <w:abstractNumId w:val="17"/>
  </w:num>
  <w:num w:numId="18" w16cid:durableId="46381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D"/>
    <w:rsid w:val="00001468"/>
    <w:rsid w:val="000401A3"/>
    <w:rsid w:val="001F0047"/>
    <w:rsid w:val="00204281"/>
    <w:rsid w:val="00214363"/>
    <w:rsid w:val="00264D27"/>
    <w:rsid w:val="002B2F79"/>
    <w:rsid w:val="00300573"/>
    <w:rsid w:val="00303259"/>
    <w:rsid w:val="003111B3"/>
    <w:rsid w:val="00390202"/>
    <w:rsid w:val="00394244"/>
    <w:rsid w:val="003A2B1A"/>
    <w:rsid w:val="003B756D"/>
    <w:rsid w:val="003C23D7"/>
    <w:rsid w:val="003D01C7"/>
    <w:rsid w:val="0041175E"/>
    <w:rsid w:val="00434617"/>
    <w:rsid w:val="004A5B15"/>
    <w:rsid w:val="004E2F5F"/>
    <w:rsid w:val="00517E77"/>
    <w:rsid w:val="00583DB5"/>
    <w:rsid w:val="005C4B0F"/>
    <w:rsid w:val="005F5D77"/>
    <w:rsid w:val="006B648E"/>
    <w:rsid w:val="006B7E83"/>
    <w:rsid w:val="006E3AF9"/>
    <w:rsid w:val="00743A84"/>
    <w:rsid w:val="00764C94"/>
    <w:rsid w:val="00782B60"/>
    <w:rsid w:val="007A4506"/>
    <w:rsid w:val="007B196D"/>
    <w:rsid w:val="007C25B1"/>
    <w:rsid w:val="00827B99"/>
    <w:rsid w:val="00862D95"/>
    <w:rsid w:val="00872770"/>
    <w:rsid w:val="00874690"/>
    <w:rsid w:val="008D0C23"/>
    <w:rsid w:val="008D5CEA"/>
    <w:rsid w:val="008F5140"/>
    <w:rsid w:val="009228BB"/>
    <w:rsid w:val="0092684B"/>
    <w:rsid w:val="0095397D"/>
    <w:rsid w:val="00964620"/>
    <w:rsid w:val="00971504"/>
    <w:rsid w:val="0099356C"/>
    <w:rsid w:val="009A245A"/>
    <w:rsid w:val="009D2E94"/>
    <w:rsid w:val="009E448C"/>
    <w:rsid w:val="009F2555"/>
    <w:rsid w:val="00A972D2"/>
    <w:rsid w:val="00A97A4E"/>
    <w:rsid w:val="00B16C9F"/>
    <w:rsid w:val="00B358A5"/>
    <w:rsid w:val="00B36180"/>
    <w:rsid w:val="00B84845"/>
    <w:rsid w:val="00BE3C40"/>
    <w:rsid w:val="00BE6210"/>
    <w:rsid w:val="00C01F7F"/>
    <w:rsid w:val="00C041D0"/>
    <w:rsid w:val="00C55695"/>
    <w:rsid w:val="00C605C0"/>
    <w:rsid w:val="00C72644"/>
    <w:rsid w:val="00CA41B1"/>
    <w:rsid w:val="00D033ED"/>
    <w:rsid w:val="00D21343"/>
    <w:rsid w:val="00D94C96"/>
    <w:rsid w:val="00DA0E6C"/>
    <w:rsid w:val="00DA2203"/>
    <w:rsid w:val="00DB4642"/>
    <w:rsid w:val="00DD61F8"/>
    <w:rsid w:val="00DF419D"/>
    <w:rsid w:val="00E1552B"/>
    <w:rsid w:val="00E60258"/>
    <w:rsid w:val="00E801BD"/>
    <w:rsid w:val="00F2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1C8D7"/>
  <w15:chartTrackingRefBased/>
  <w15:docId w15:val="{284A856F-64FC-4A36-B425-3047875C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44"/>
    <w:pPr>
      <w:spacing w:after="0" w:line="240" w:lineRule="auto"/>
    </w:pPr>
    <w:rPr>
      <w:rFonts w:ascii="Calibri" w:hAnsi="Calibri" w:cs="Calibri"/>
    </w:rPr>
  </w:style>
  <w:style w:type="paragraph" w:styleId="Heading8">
    <w:name w:val="heading 8"/>
    <w:basedOn w:val="Normal"/>
    <w:next w:val="Normal"/>
    <w:link w:val="Heading8Char"/>
    <w:qFormat/>
    <w:rsid w:val="00964620"/>
    <w:pPr>
      <w:outlineLvl w:val="7"/>
    </w:pPr>
    <w:rPr>
      <w:rFonts w:asciiTheme="minorHAnsi" w:eastAsia="Times New Roman" w:hAnsiTheme="minorHAnsi" w:cstheme="minorHAnsi"/>
      <w:color w:val="00277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695"/>
    <w:pPr>
      <w:spacing w:after="0" w:line="240" w:lineRule="auto"/>
    </w:pPr>
  </w:style>
  <w:style w:type="character" w:styleId="Hyperlink">
    <w:name w:val="Hyperlink"/>
    <w:basedOn w:val="DefaultParagraphFont"/>
    <w:uiPriority w:val="99"/>
    <w:unhideWhenUsed/>
    <w:rsid w:val="008F5140"/>
    <w:rPr>
      <w:color w:val="0563C1" w:themeColor="hyperlink"/>
      <w:u w:val="single"/>
    </w:rPr>
  </w:style>
  <w:style w:type="character" w:styleId="UnresolvedMention">
    <w:name w:val="Unresolved Mention"/>
    <w:basedOn w:val="DefaultParagraphFont"/>
    <w:uiPriority w:val="99"/>
    <w:semiHidden/>
    <w:unhideWhenUsed/>
    <w:rsid w:val="008F5140"/>
    <w:rPr>
      <w:color w:val="605E5C"/>
      <w:shd w:val="clear" w:color="auto" w:fill="E1DFDD"/>
    </w:rPr>
  </w:style>
  <w:style w:type="paragraph" w:customStyle="1" w:styleId="Default">
    <w:name w:val="Default"/>
    <w:rsid w:val="00303259"/>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rsid w:val="00964620"/>
    <w:rPr>
      <w:rFonts w:eastAsia="Times New Roman" w:cstheme="minorHAnsi"/>
      <w:color w:val="002776"/>
      <w:sz w:val="20"/>
      <w:szCs w:val="20"/>
    </w:rPr>
  </w:style>
  <w:style w:type="paragraph" w:styleId="ListParagraph">
    <w:name w:val="List Paragraph"/>
    <w:basedOn w:val="Normal"/>
    <w:uiPriority w:val="34"/>
    <w:qFormat/>
    <w:rsid w:val="00B358A5"/>
    <w:pPr>
      <w:ind w:left="720"/>
      <w:contextualSpacing/>
    </w:pPr>
  </w:style>
  <w:style w:type="paragraph" w:styleId="Header">
    <w:name w:val="header"/>
    <w:basedOn w:val="Normal"/>
    <w:link w:val="HeaderChar"/>
    <w:uiPriority w:val="99"/>
    <w:unhideWhenUsed/>
    <w:rsid w:val="00BE3C40"/>
    <w:pPr>
      <w:tabs>
        <w:tab w:val="center" w:pos="4680"/>
        <w:tab w:val="right" w:pos="9360"/>
      </w:tabs>
    </w:pPr>
  </w:style>
  <w:style w:type="character" w:customStyle="1" w:styleId="HeaderChar">
    <w:name w:val="Header Char"/>
    <w:basedOn w:val="DefaultParagraphFont"/>
    <w:link w:val="Header"/>
    <w:uiPriority w:val="99"/>
    <w:rsid w:val="00BE3C40"/>
    <w:rPr>
      <w:rFonts w:ascii="Calibri" w:hAnsi="Calibri" w:cs="Calibri"/>
    </w:rPr>
  </w:style>
  <w:style w:type="paragraph" w:styleId="Footer">
    <w:name w:val="footer"/>
    <w:basedOn w:val="Normal"/>
    <w:link w:val="FooterChar"/>
    <w:uiPriority w:val="99"/>
    <w:unhideWhenUsed/>
    <w:rsid w:val="00BE3C40"/>
    <w:pPr>
      <w:tabs>
        <w:tab w:val="center" w:pos="4680"/>
        <w:tab w:val="right" w:pos="9360"/>
      </w:tabs>
    </w:pPr>
  </w:style>
  <w:style w:type="character" w:customStyle="1" w:styleId="FooterChar">
    <w:name w:val="Footer Char"/>
    <w:basedOn w:val="DefaultParagraphFont"/>
    <w:link w:val="Footer"/>
    <w:uiPriority w:val="99"/>
    <w:rsid w:val="00BE3C4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assistance/public/tools-resources/schedule-equipment-rat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1926039B13A14C9F89770CA52AF848" ma:contentTypeVersion="13" ma:contentTypeDescription="Create a new document." ma:contentTypeScope="" ma:versionID="35d5a513a4a115851ceea189ec5d0681">
  <xsd:schema xmlns:xsd="http://www.w3.org/2001/XMLSchema" xmlns:xs="http://www.w3.org/2001/XMLSchema" xmlns:p="http://schemas.microsoft.com/office/2006/metadata/properties" xmlns:ns2="c41a4796-f775-41e7-89b3-7dc2022f7528" xmlns:ns3="a136cba3-a946-45ed-ab49-d28e9cc19ef3" targetNamespace="http://schemas.microsoft.com/office/2006/metadata/properties" ma:root="true" ma:fieldsID="973f010ce3930790b82d66c7ff2f1f34" ns2:_="" ns3:_="">
    <xsd:import namespace="c41a4796-f775-41e7-89b3-7dc2022f7528"/>
    <xsd:import namespace="a136cba3-a946-45ed-ab49-d28e9cc19e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a4796-f775-41e7-89b3-7dc2022f7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41a90e-f20d-42e4-aee3-1995fb051b6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36cba3-a946-45ed-ab49-d28e9cc19e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f053ad2-2d99-4f38-bb18-0e4d9ada3a55}" ma:internalName="TaxCatchAll" ma:showField="CatchAllData" ma:web="a136cba3-a946-45ed-ab49-d28e9cc19e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36cba3-a946-45ed-ab49-d28e9cc19ef3" xsi:nil="true"/>
    <lcf76f155ced4ddcb4097134ff3c332f xmlns="c41a4796-f775-41e7-89b3-7dc2022f75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572A3-5D5F-4F17-8DCB-A4F959D09AA3}">
  <ds:schemaRefs>
    <ds:schemaRef ds:uri="http://schemas.openxmlformats.org/officeDocument/2006/bibliography"/>
  </ds:schemaRefs>
</ds:datastoreItem>
</file>

<file path=customXml/itemProps2.xml><?xml version="1.0" encoding="utf-8"?>
<ds:datastoreItem xmlns:ds="http://schemas.openxmlformats.org/officeDocument/2006/customXml" ds:itemID="{252C5E57-2D4E-4312-8298-F090041A77DA}"/>
</file>

<file path=customXml/itemProps3.xml><?xml version="1.0" encoding="utf-8"?>
<ds:datastoreItem xmlns:ds="http://schemas.openxmlformats.org/officeDocument/2006/customXml" ds:itemID="{1F1F06CE-88ED-4448-99FF-B5C3B6CC0F3D}"/>
</file>

<file path=customXml/itemProps4.xml><?xml version="1.0" encoding="utf-8"?>
<ds:datastoreItem xmlns:ds="http://schemas.openxmlformats.org/officeDocument/2006/customXml" ds:itemID="{5A5B0891-0808-4C9D-81FA-6D4A1AAA6840}"/>
</file>

<file path=docProps/app.xml><?xml version="1.0" encoding="utf-8"?>
<Properties xmlns="http://schemas.openxmlformats.org/officeDocument/2006/extended-properties" xmlns:vt="http://schemas.openxmlformats.org/officeDocument/2006/docPropsVTypes">
  <Template>Normal</Template>
  <TotalTime>194</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Sherwood, Bruce</dc:creator>
  <cp:keywords/>
  <dc:description/>
  <cp:lastModifiedBy>Brenda Mathews</cp:lastModifiedBy>
  <cp:revision>16</cp:revision>
  <cp:lastPrinted>2022-11-07T14:39:00Z</cp:lastPrinted>
  <dcterms:created xsi:type="dcterms:W3CDTF">2022-10-13T13:23:00Z</dcterms:created>
  <dcterms:modified xsi:type="dcterms:W3CDTF">2024-01-02T17:59:00Z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0x010100241926039B13A14C9F89770CA52AF848</vt:lpwstr>
  </property>
</Properties>
</file>