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8E" w:rsidRDefault="0022108E">
      <w:bookmarkStart w:id="0" w:name="_GoBack"/>
      <w:bookmarkEnd w:id="0"/>
    </w:p>
    <w:p w:rsidR="00644012" w:rsidRDefault="00644012" w:rsidP="004D28B8">
      <w:pPr>
        <w:jc w:val="center"/>
        <w:rPr>
          <w:b/>
          <w:sz w:val="36"/>
          <w:szCs w:val="36"/>
        </w:rPr>
      </w:pPr>
    </w:p>
    <w:tbl>
      <w:tblPr>
        <w:tblStyle w:val="TableGrid"/>
        <w:tblW w:w="4497" w:type="pct"/>
        <w:tblInd w:w="46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9131"/>
      </w:tblGrid>
      <w:tr w:rsidR="00524405" w:rsidTr="00524405">
        <w:trPr>
          <w:trHeight w:val="1767"/>
        </w:trPr>
        <w:tc>
          <w:tcPr>
            <w:tcW w:w="5000" w:type="pct"/>
            <w:shd w:val="clear" w:color="auto" w:fill="DBE5F1" w:themeFill="accent1" w:themeFillTint="33"/>
          </w:tcPr>
          <w:p w:rsidR="00524405" w:rsidRDefault="00524405" w:rsidP="008E29C0"/>
          <w:p w:rsidR="00524405" w:rsidRDefault="00524405" w:rsidP="008E29C0"/>
          <w:p w:rsidR="00524405" w:rsidRPr="00524405" w:rsidRDefault="00524405" w:rsidP="00524405">
            <w:pPr>
              <w:jc w:val="center"/>
              <w:rPr>
                <w:b/>
                <w:sz w:val="40"/>
                <w:szCs w:val="40"/>
              </w:rPr>
            </w:pPr>
            <w:r w:rsidRPr="00524405">
              <w:rPr>
                <w:b/>
                <w:sz w:val="40"/>
                <w:szCs w:val="40"/>
              </w:rPr>
              <w:t>MaineDOT Locally Coordinated Transit Plan</w:t>
            </w:r>
          </w:p>
          <w:p w:rsidR="00524405" w:rsidRDefault="00524405" w:rsidP="00524405">
            <w:pPr>
              <w:jc w:val="center"/>
              <w:rPr>
                <w:b/>
                <w:sz w:val="40"/>
                <w:szCs w:val="40"/>
              </w:rPr>
            </w:pPr>
          </w:p>
          <w:p w:rsidR="00DD4386" w:rsidRDefault="00DD4386" w:rsidP="00524405">
            <w:pPr>
              <w:jc w:val="center"/>
              <w:rPr>
                <w:b/>
                <w:sz w:val="40"/>
                <w:szCs w:val="40"/>
              </w:rPr>
            </w:pPr>
            <w:r>
              <w:rPr>
                <w:b/>
                <w:sz w:val="40"/>
                <w:szCs w:val="40"/>
              </w:rPr>
              <w:t xml:space="preserve">Region </w:t>
            </w:r>
            <w:r w:rsidR="00CC43D1">
              <w:rPr>
                <w:b/>
                <w:sz w:val="40"/>
                <w:szCs w:val="40"/>
              </w:rPr>
              <w:t>7</w:t>
            </w:r>
          </w:p>
          <w:p w:rsidR="00DD4386" w:rsidRPr="00524405" w:rsidRDefault="00DD4386" w:rsidP="00524405">
            <w:pPr>
              <w:jc w:val="center"/>
              <w:rPr>
                <w:b/>
                <w:sz w:val="40"/>
                <w:szCs w:val="40"/>
              </w:rPr>
            </w:pPr>
          </w:p>
          <w:p w:rsidR="00A93BDC" w:rsidRDefault="006C655A" w:rsidP="00A93BDC">
            <w:pPr>
              <w:jc w:val="center"/>
              <w:rPr>
                <w:b/>
                <w:sz w:val="36"/>
                <w:szCs w:val="36"/>
              </w:rPr>
            </w:pPr>
            <w:r>
              <w:rPr>
                <w:b/>
                <w:sz w:val="36"/>
                <w:szCs w:val="36"/>
              </w:rPr>
              <w:t>Western Maine Transportation Services (WMTS)</w:t>
            </w:r>
          </w:p>
          <w:p w:rsidR="006665A8" w:rsidRDefault="006665A8" w:rsidP="00A93BDC">
            <w:pPr>
              <w:jc w:val="center"/>
              <w:rPr>
                <w:b/>
                <w:sz w:val="36"/>
                <w:szCs w:val="36"/>
              </w:rPr>
            </w:pPr>
          </w:p>
          <w:p w:rsidR="00524405" w:rsidRPr="006C655A" w:rsidRDefault="006C655A" w:rsidP="006C655A">
            <w:pPr>
              <w:jc w:val="center"/>
              <w:rPr>
                <w:sz w:val="36"/>
                <w:szCs w:val="36"/>
              </w:rPr>
            </w:pPr>
            <w:r w:rsidRPr="006C655A">
              <w:rPr>
                <w:b/>
                <w:sz w:val="36"/>
                <w:szCs w:val="36"/>
              </w:rPr>
              <w:t>Lewiston-Auburn Transit Committee</w:t>
            </w:r>
            <w:r>
              <w:rPr>
                <w:b/>
                <w:sz w:val="36"/>
                <w:szCs w:val="36"/>
              </w:rPr>
              <w:t xml:space="preserve"> (LATC)/</w:t>
            </w:r>
            <w:proofErr w:type="spellStart"/>
            <w:r>
              <w:rPr>
                <w:b/>
                <w:sz w:val="36"/>
                <w:szCs w:val="36"/>
              </w:rPr>
              <w:t>citylink</w:t>
            </w:r>
            <w:proofErr w:type="spellEnd"/>
          </w:p>
          <w:p w:rsidR="00524405" w:rsidRDefault="00524405" w:rsidP="008E29C0"/>
          <w:p w:rsidR="00524405" w:rsidRDefault="00524405" w:rsidP="008E29C0"/>
          <w:p w:rsidR="00524405" w:rsidRDefault="00524405" w:rsidP="008E29C0"/>
        </w:tc>
      </w:tr>
    </w:tbl>
    <w:p w:rsidR="00580E0E" w:rsidRDefault="00580E0E" w:rsidP="004D28B8">
      <w:pPr>
        <w:jc w:val="center"/>
        <w:rPr>
          <w:b/>
          <w:sz w:val="36"/>
          <w:szCs w:val="36"/>
        </w:rPr>
      </w:pPr>
    </w:p>
    <w:p w:rsidR="00580E0E" w:rsidRDefault="00580E0E" w:rsidP="00580E0E"/>
    <w:p w:rsidR="00580E0E" w:rsidRDefault="00580E0E" w:rsidP="004D28B8">
      <w:pPr>
        <w:jc w:val="center"/>
        <w:rPr>
          <w:b/>
          <w:sz w:val="36"/>
          <w:szCs w:val="36"/>
        </w:rPr>
      </w:pPr>
    </w:p>
    <w:p w:rsidR="004D28B8" w:rsidRDefault="00580E0E" w:rsidP="004D28B8">
      <w:pPr>
        <w:jc w:val="center"/>
        <w:rPr>
          <w:b/>
          <w:sz w:val="36"/>
          <w:szCs w:val="36"/>
        </w:rPr>
      </w:pPr>
      <w:r>
        <w:rPr>
          <w:b/>
          <w:sz w:val="36"/>
          <w:szCs w:val="36"/>
        </w:rPr>
        <w:t>F</w:t>
      </w:r>
      <w:r w:rsidR="004D28B8" w:rsidRPr="006C2947">
        <w:rPr>
          <w:b/>
          <w:sz w:val="36"/>
          <w:szCs w:val="36"/>
        </w:rPr>
        <w:t>Y 2013 – FY 201</w:t>
      </w:r>
      <w:r w:rsidR="00DD4386">
        <w:rPr>
          <w:b/>
          <w:sz w:val="36"/>
          <w:szCs w:val="36"/>
        </w:rPr>
        <w:t>7</w:t>
      </w:r>
      <w:r w:rsidR="004D28B8" w:rsidRPr="006C2947">
        <w:rPr>
          <w:b/>
          <w:sz w:val="36"/>
          <w:szCs w:val="36"/>
        </w:rPr>
        <w:t xml:space="preserve"> </w:t>
      </w:r>
    </w:p>
    <w:p w:rsidR="004D28B8" w:rsidRPr="006C2947" w:rsidRDefault="004D28B8" w:rsidP="004D28B8">
      <w:pPr>
        <w:jc w:val="center"/>
        <w:rPr>
          <w:b/>
          <w:sz w:val="36"/>
          <w:szCs w:val="36"/>
        </w:rPr>
      </w:pPr>
      <w:r>
        <w:rPr>
          <w:b/>
          <w:sz w:val="36"/>
          <w:szCs w:val="36"/>
        </w:rPr>
        <w:t xml:space="preserve">Locally Coordinated Plan </w:t>
      </w:r>
      <w:r w:rsidRPr="006C2947">
        <w:rPr>
          <w:b/>
          <w:sz w:val="36"/>
          <w:szCs w:val="36"/>
        </w:rPr>
        <w:t>Update</w:t>
      </w:r>
    </w:p>
    <w:p w:rsidR="000D0708" w:rsidRDefault="000D0708" w:rsidP="0078190B">
      <w:pPr>
        <w:jc w:val="center"/>
        <w:rPr>
          <w:b/>
          <w:color w:val="000000"/>
          <w:sz w:val="28"/>
          <w:szCs w:val="28"/>
        </w:rPr>
      </w:pPr>
    </w:p>
    <w:p w:rsidR="000D0708" w:rsidRPr="00380CDE" w:rsidRDefault="00A81FA6" w:rsidP="0078190B">
      <w:pPr>
        <w:jc w:val="center"/>
        <w:rPr>
          <w:b/>
          <w:color w:val="000000" w:themeColor="text1"/>
          <w:sz w:val="36"/>
          <w:szCs w:val="36"/>
        </w:rPr>
      </w:pPr>
      <w:r w:rsidRPr="00380CDE">
        <w:rPr>
          <w:b/>
          <w:color w:val="000000" w:themeColor="text1"/>
          <w:sz w:val="36"/>
          <w:szCs w:val="36"/>
        </w:rPr>
        <w:t xml:space="preserve">Updated </w:t>
      </w:r>
      <w:r w:rsidR="00DB6137">
        <w:rPr>
          <w:b/>
          <w:color w:val="000000" w:themeColor="text1"/>
          <w:sz w:val="36"/>
          <w:szCs w:val="36"/>
        </w:rPr>
        <w:t>May</w:t>
      </w:r>
      <w:r w:rsidR="00ED5BBA">
        <w:rPr>
          <w:b/>
          <w:color w:val="000000" w:themeColor="text1"/>
          <w:sz w:val="36"/>
          <w:szCs w:val="36"/>
        </w:rPr>
        <w:t>,</w:t>
      </w:r>
      <w:r w:rsidRPr="00380CDE">
        <w:rPr>
          <w:b/>
          <w:color w:val="000000" w:themeColor="text1"/>
          <w:sz w:val="36"/>
          <w:szCs w:val="36"/>
        </w:rPr>
        <w:t xml:space="preserve"> 2017</w:t>
      </w:r>
    </w:p>
    <w:p w:rsidR="000D0708" w:rsidRPr="00380CDE" w:rsidRDefault="000D0708" w:rsidP="0078190B">
      <w:pPr>
        <w:jc w:val="center"/>
        <w:rPr>
          <w:b/>
          <w:color w:val="000000" w:themeColor="text1"/>
          <w:sz w:val="36"/>
          <w:szCs w:val="36"/>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7B3EC6" w:rsidRDefault="007B3EC6" w:rsidP="0078190B">
      <w:pPr>
        <w:jc w:val="center"/>
        <w:rPr>
          <w:b/>
          <w:color w:val="000000"/>
          <w:sz w:val="28"/>
          <w:szCs w:val="28"/>
        </w:rPr>
      </w:pPr>
    </w:p>
    <w:p w:rsidR="007B3EC6" w:rsidRDefault="007B3EC6" w:rsidP="0078190B">
      <w:pPr>
        <w:jc w:val="center"/>
        <w:rPr>
          <w:b/>
          <w:color w:val="000000"/>
          <w:sz w:val="28"/>
          <w:szCs w:val="28"/>
        </w:rPr>
      </w:pPr>
    </w:p>
    <w:p w:rsidR="007B3EC6" w:rsidRDefault="007B3EC6" w:rsidP="0078190B">
      <w:pPr>
        <w:jc w:val="center"/>
        <w:rPr>
          <w:b/>
          <w:color w:val="000000"/>
          <w:sz w:val="28"/>
          <w:szCs w:val="28"/>
        </w:rPr>
      </w:pPr>
    </w:p>
    <w:p w:rsidR="007B3EC6" w:rsidRDefault="007B3EC6" w:rsidP="0078190B">
      <w:pPr>
        <w:jc w:val="center"/>
        <w:rPr>
          <w:b/>
          <w:color w:val="000000"/>
          <w:sz w:val="28"/>
          <w:szCs w:val="28"/>
        </w:rPr>
      </w:pPr>
    </w:p>
    <w:p w:rsidR="000D0708" w:rsidRDefault="000D0708" w:rsidP="0078190B">
      <w:pPr>
        <w:jc w:val="center"/>
        <w:rPr>
          <w:b/>
          <w:color w:val="000000"/>
          <w:sz w:val="28"/>
          <w:szCs w:val="28"/>
        </w:rPr>
      </w:pPr>
    </w:p>
    <w:p w:rsidR="0078190B" w:rsidRDefault="000D0708" w:rsidP="0078190B">
      <w:pPr>
        <w:jc w:val="center"/>
        <w:rPr>
          <w:b/>
          <w:color w:val="000000"/>
          <w:sz w:val="28"/>
          <w:szCs w:val="28"/>
        </w:rPr>
      </w:pPr>
      <w:r>
        <w:rPr>
          <w:b/>
          <w:color w:val="000000"/>
          <w:sz w:val="28"/>
          <w:szCs w:val="28"/>
        </w:rPr>
        <w:t>Ta</w:t>
      </w:r>
      <w:r w:rsidR="0078190B">
        <w:rPr>
          <w:b/>
          <w:color w:val="000000"/>
          <w:sz w:val="28"/>
          <w:szCs w:val="28"/>
        </w:rPr>
        <w:t>ble of Contents</w:t>
      </w:r>
    </w:p>
    <w:p w:rsidR="007C2969" w:rsidRDefault="007C2969" w:rsidP="0078190B">
      <w:pPr>
        <w:jc w:val="center"/>
        <w:rPr>
          <w:b/>
          <w:color w:val="000000"/>
          <w:sz w:val="28"/>
          <w:szCs w:val="28"/>
        </w:rPr>
      </w:pPr>
    </w:p>
    <w:p w:rsidR="000D0708" w:rsidRPr="00B51686" w:rsidRDefault="000D0708" w:rsidP="000D0708">
      <w:pPr>
        <w:tabs>
          <w:tab w:val="left" w:pos="1440"/>
          <w:tab w:val="right" w:leader="dot" w:pos="9360"/>
        </w:tabs>
        <w:rPr>
          <w:b/>
          <w:color w:val="000000" w:themeColor="text1"/>
        </w:rPr>
      </w:pPr>
      <w:r w:rsidRPr="00B51686">
        <w:rPr>
          <w:b/>
          <w:color w:val="000000" w:themeColor="text1"/>
        </w:rPr>
        <w:t>Summary of Service Changes since FY 2012</w:t>
      </w:r>
      <w:r w:rsidRPr="00B51686">
        <w:rPr>
          <w:b/>
          <w:color w:val="000000" w:themeColor="text1"/>
        </w:rPr>
        <w:tab/>
        <w:t>1</w:t>
      </w:r>
    </w:p>
    <w:p w:rsidR="000D0708" w:rsidRPr="00B51686" w:rsidRDefault="000D0708" w:rsidP="000D0708">
      <w:pPr>
        <w:tabs>
          <w:tab w:val="left" w:pos="1440"/>
          <w:tab w:val="right" w:leader="dot" w:pos="9360"/>
        </w:tabs>
        <w:rPr>
          <w:b/>
          <w:color w:val="000000" w:themeColor="text1"/>
        </w:rPr>
      </w:pPr>
    </w:p>
    <w:p w:rsidR="000D0708" w:rsidRPr="00B51686" w:rsidRDefault="000D0708" w:rsidP="000D0708">
      <w:pPr>
        <w:tabs>
          <w:tab w:val="left" w:pos="1440"/>
          <w:tab w:val="right" w:leader="dot" w:pos="9360"/>
        </w:tabs>
        <w:rPr>
          <w:b/>
          <w:color w:val="000000" w:themeColor="text1"/>
        </w:rPr>
      </w:pPr>
      <w:r w:rsidRPr="00B51686">
        <w:rPr>
          <w:b/>
          <w:color w:val="000000" w:themeColor="text1"/>
        </w:rPr>
        <w:t>Accomplishments since FY 2012</w:t>
      </w:r>
      <w:r w:rsidRPr="00B51686">
        <w:rPr>
          <w:b/>
          <w:color w:val="000000" w:themeColor="text1"/>
        </w:rPr>
        <w:tab/>
        <w:t>1</w:t>
      </w:r>
    </w:p>
    <w:p w:rsidR="000D0708" w:rsidRPr="00B51686" w:rsidRDefault="000D0708" w:rsidP="000D0708">
      <w:pPr>
        <w:tabs>
          <w:tab w:val="left" w:pos="1440"/>
          <w:tab w:val="right" w:leader="dot" w:pos="9360"/>
        </w:tabs>
        <w:rPr>
          <w:b/>
          <w:color w:val="000000" w:themeColor="text1"/>
        </w:rPr>
      </w:pPr>
    </w:p>
    <w:p w:rsidR="000D0708" w:rsidRPr="00B51686" w:rsidRDefault="000D0708" w:rsidP="00B51686">
      <w:pPr>
        <w:tabs>
          <w:tab w:val="left" w:pos="1440"/>
          <w:tab w:val="right" w:leader="dot" w:pos="9360"/>
        </w:tabs>
        <w:rPr>
          <w:b/>
          <w:color w:val="000000" w:themeColor="text1"/>
        </w:rPr>
      </w:pPr>
      <w:r w:rsidRPr="00B51686">
        <w:rPr>
          <w:b/>
          <w:color w:val="000000" w:themeColor="text1"/>
        </w:rPr>
        <w:t>Report on Projects and Priorities in the FY 2013 – 2017 LCP</w:t>
      </w:r>
      <w:r w:rsidRPr="00B51686">
        <w:rPr>
          <w:b/>
          <w:color w:val="000000" w:themeColor="text1"/>
        </w:rPr>
        <w:tab/>
      </w:r>
      <w:r w:rsidR="00B51686">
        <w:rPr>
          <w:b/>
          <w:color w:val="000000" w:themeColor="text1"/>
        </w:rPr>
        <w:t>2</w:t>
      </w:r>
    </w:p>
    <w:p w:rsidR="000D0708" w:rsidRPr="00B51686" w:rsidRDefault="000D0708" w:rsidP="000D0708">
      <w:pPr>
        <w:tabs>
          <w:tab w:val="left" w:pos="1440"/>
          <w:tab w:val="right" w:leader="dot" w:pos="9360"/>
        </w:tabs>
        <w:ind w:left="720"/>
        <w:rPr>
          <w:b/>
          <w:color w:val="000000" w:themeColor="text1"/>
        </w:rPr>
      </w:pPr>
    </w:p>
    <w:p w:rsidR="000D0708" w:rsidRPr="00B51686" w:rsidRDefault="000D0708" w:rsidP="009C56DB">
      <w:pPr>
        <w:tabs>
          <w:tab w:val="left" w:pos="1440"/>
          <w:tab w:val="right" w:leader="dot" w:pos="9360"/>
        </w:tabs>
        <w:rPr>
          <w:b/>
          <w:color w:val="000000" w:themeColor="text1"/>
        </w:rPr>
      </w:pPr>
      <w:r w:rsidRPr="00B51686">
        <w:rPr>
          <w:b/>
          <w:color w:val="000000" w:themeColor="text1"/>
        </w:rPr>
        <w:t xml:space="preserve">New </w:t>
      </w:r>
      <w:r w:rsidR="00E611F2" w:rsidRPr="00B51686">
        <w:rPr>
          <w:b/>
          <w:color w:val="000000" w:themeColor="text1"/>
        </w:rPr>
        <w:t>Topics of Interest</w:t>
      </w:r>
      <w:r w:rsidRPr="00B51686">
        <w:rPr>
          <w:b/>
          <w:color w:val="000000" w:themeColor="text1"/>
        </w:rPr>
        <w:tab/>
      </w:r>
      <w:r w:rsidR="00B51686">
        <w:rPr>
          <w:b/>
          <w:color w:val="000000" w:themeColor="text1"/>
        </w:rPr>
        <w:t>3</w:t>
      </w:r>
    </w:p>
    <w:p w:rsidR="000D0708" w:rsidRPr="00B51686" w:rsidRDefault="000D0708" w:rsidP="000D0708">
      <w:pPr>
        <w:tabs>
          <w:tab w:val="left" w:pos="1440"/>
          <w:tab w:val="right" w:leader="dot" w:pos="9360"/>
        </w:tabs>
        <w:ind w:left="720"/>
        <w:rPr>
          <w:b/>
          <w:color w:val="000000" w:themeColor="text1"/>
        </w:rPr>
      </w:pPr>
    </w:p>
    <w:p w:rsidR="000D0708" w:rsidRPr="00B51686" w:rsidRDefault="000D0708" w:rsidP="000D0708">
      <w:pPr>
        <w:tabs>
          <w:tab w:val="left" w:pos="1440"/>
          <w:tab w:val="right" w:leader="dot" w:pos="9360"/>
        </w:tabs>
        <w:rPr>
          <w:b/>
          <w:color w:val="000000" w:themeColor="text1"/>
        </w:rPr>
      </w:pPr>
      <w:r w:rsidRPr="00B51686">
        <w:rPr>
          <w:b/>
          <w:color w:val="000000" w:themeColor="text1"/>
        </w:rPr>
        <w:t>One-way Trips FY 2013 – FY 2017</w:t>
      </w:r>
      <w:r w:rsidRPr="00B51686">
        <w:rPr>
          <w:b/>
          <w:color w:val="000000" w:themeColor="text1"/>
        </w:rPr>
        <w:tab/>
      </w:r>
      <w:r w:rsidR="009C56DB">
        <w:rPr>
          <w:b/>
          <w:color w:val="000000" w:themeColor="text1"/>
        </w:rPr>
        <w:t>10</w:t>
      </w:r>
    </w:p>
    <w:p w:rsidR="008C47D8" w:rsidRPr="00B51686" w:rsidRDefault="008C47D8" w:rsidP="000D0708">
      <w:pPr>
        <w:tabs>
          <w:tab w:val="left" w:pos="1440"/>
          <w:tab w:val="right" w:leader="dot" w:pos="9360"/>
        </w:tabs>
        <w:rPr>
          <w:b/>
          <w:color w:val="000000" w:themeColor="text1"/>
        </w:rPr>
      </w:pPr>
    </w:p>
    <w:p w:rsidR="008C47D8" w:rsidRPr="00B51686" w:rsidRDefault="008C47D8" w:rsidP="000D0708">
      <w:pPr>
        <w:tabs>
          <w:tab w:val="left" w:pos="1440"/>
          <w:tab w:val="right" w:leader="dot" w:pos="9360"/>
        </w:tabs>
        <w:rPr>
          <w:b/>
          <w:color w:val="000000" w:themeColor="text1"/>
        </w:rPr>
      </w:pPr>
      <w:r w:rsidRPr="00B51686">
        <w:rPr>
          <w:b/>
          <w:color w:val="000000" w:themeColor="text1"/>
        </w:rPr>
        <w:t>Public Participation Summary</w:t>
      </w:r>
      <w:r w:rsidRPr="00B51686">
        <w:rPr>
          <w:b/>
          <w:color w:val="000000" w:themeColor="text1"/>
        </w:rPr>
        <w:tab/>
      </w:r>
      <w:r w:rsidR="009C56DB">
        <w:rPr>
          <w:b/>
          <w:color w:val="000000" w:themeColor="text1"/>
        </w:rPr>
        <w:t>11</w:t>
      </w:r>
    </w:p>
    <w:p w:rsidR="000D0708" w:rsidRPr="00B51686" w:rsidRDefault="000D0708" w:rsidP="000D0708">
      <w:pPr>
        <w:tabs>
          <w:tab w:val="left" w:pos="1440"/>
          <w:tab w:val="right" w:leader="dot" w:pos="9360"/>
        </w:tabs>
        <w:rPr>
          <w:b/>
          <w:color w:val="000000" w:themeColor="text1"/>
        </w:rPr>
      </w:pPr>
    </w:p>
    <w:p w:rsidR="007C2969" w:rsidRPr="00B51686" w:rsidRDefault="007C2969" w:rsidP="007C2969">
      <w:pPr>
        <w:tabs>
          <w:tab w:val="left" w:pos="1440"/>
          <w:tab w:val="left" w:pos="2160"/>
          <w:tab w:val="right" w:leader="dot" w:pos="9360"/>
        </w:tabs>
        <w:rPr>
          <w:color w:val="000000" w:themeColor="text1"/>
        </w:rPr>
      </w:pPr>
      <w:r w:rsidRPr="00B51686">
        <w:rPr>
          <w:color w:val="000000" w:themeColor="text1"/>
        </w:rPr>
        <w:tab/>
      </w:r>
    </w:p>
    <w:p w:rsidR="007C2969" w:rsidRPr="00031315" w:rsidRDefault="007C2969" w:rsidP="007C2969">
      <w:pPr>
        <w:jc w:val="both"/>
        <w:rPr>
          <w:b/>
          <w:color w:val="000000"/>
        </w:rPr>
        <w:sectPr w:rsidR="007C2969" w:rsidRPr="00031315" w:rsidSect="00C336F4">
          <w:headerReference w:type="default" r:id="rId9"/>
          <w:footerReference w:type="even" r:id="rId10"/>
          <w:footerReference w:type="default" r:id="rId11"/>
          <w:pgSz w:w="12240" w:h="15840"/>
          <w:pgMar w:top="1152" w:right="1152" w:bottom="1152" w:left="1152" w:header="720" w:footer="720" w:gutter="0"/>
          <w:pgNumType w:start="0"/>
          <w:cols w:space="720"/>
          <w:titlePg/>
          <w:docGrid w:linePitch="326"/>
        </w:sectPr>
      </w:pPr>
    </w:p>
    <w:p w:rsidR="00A93BDC" w:rsidRDefault="00A93BDC" w:rsidP="00A93BDC">
      <w:pPr>
        <w:tabs>
          <w:tab w:val="left" w:pos="696"/>
        </w:tabs>
        <w:jc w:val="center"/>
        <w:rPr>
          <w:b/>
          <w:color w:val="000000"/>
          <w:sz w:val="28"/>
          <w:szCs w:val="28"/>
        </w:rPr>
      </w:pPr>
      <w:r>
        <w:rPr>
          <w:b/>
          <w:color w:val="000000"/>
          <w:sz w:val="28"/>
          <w:szCs w:val="28"/>
        </w:rPr>
        <w:lastRenderedPageBreak/>
        <w:t xml:space="preserve">Region </w:t>
      </w:r>
      <w:r w:rsidR="006C655A">
        <w:rPr>
          <w:b/>
          <w:color w:val="000000"/>
          <w:sz w:val="28"/>
          <w:szCs w:val="28"/>
        </w:rPr>
        <w:t>7</w:t>
      </w:r>
    </w:p>
    <w:p w:rsidR="00A93BDC" w:rsidRDefault="006C655A" w:rsidP="00A93BDC">
      <w:pPr>
        <w:tabs>
          <w:tab w:val="left" w:pos="696"/>
        </w:tabs>
        <w:jc w:val="center"/>
        <w:rPr>
          <w:b/>
          <w:color w:val="000000"/>
          <w:sz w:val="28"/>
          <w:szCs w:val="28"/>
        </w:rPr>
      </w:pPr>
      <w:r>
        <w:rPr>
          <w:b/>
          <w:color w:val="000000"/>
          <w:sz w:val="28"/>
          <w:szCs w:val="28"/>
        </w:rPr>
        <w:t>Androscoggin, Franklin and Oxford</w:t>
      </w:r>
      <w:r w:rsidR="00A93BDC">
        <w:rPr>
          <w:b/>
          <w:color w:val="000000"/>
          <w:sz w:val="28"/>
          <w:szCs w:val="28"/>
        </w:rPr>
        <w:t xml:space="preserve"> Counties</w:t>
      </w:r>
      <w:r w:rsidR="007B3EC6">
        <w:rPr>
          <w:b/>
          <w:color w:val="000000"/>
          <w:sz w:val="28"/>
          <w:szCs w:val="28"/>
        </w:rPr>
        <w:t xml:space="preserve"> and</w:t>
      </w:r>
    </w:p>
    <w:p w:rsidR="006C655A" w:rsidRDefault="006C655A" w:rsidP="00A93BDC">
      <w:pPr>
        <w:tabs>
          <w:tab w:val="left" w:pos="696"/>
        </w:tabs>
        <w:jc w:val="center"/>
        <w:rPr>
          <w:b/>
          <w:color w:val="000000"/>
          <w:sz w:val="28"/>
          <w:szCs w:val="28"/>
        </w:rPr>
      </w:pPr>
    </w:p>
    <w:p w:rsidR="006C655A" w:rsidRDefault="006C655A" w:rsidP="00A93BDC">
      <w:pPr>
        <w:tabs>
          <w:tab w:val="left" w:pos="696"/>
        </w:tabs>
        <w:jc w:val="center"/>
        <w:rPr>
          <w:b/>
          <w:color w:val="000000"/>
          <w:sz w:val="28"/>
          <w:szCs w:val="28"/>
        </w:rPr>
      </w:pPr>
      <w:proofErr w:type="gramStart"/>
      <w:r>
        <w:rPr>
          <w:b/>
          <w:color w:val="000000"/>
          <w:sz w:val="28"/>
          <w:szCs w:val="28"/>
        </w:rPr>
        <w:t>and</w:t>
      </w:r>
      <w:proofErr w:type="gramEnd"/>
    </w:p>
    <w:p w:rsidR="00A93BDC" w:rsidRDefault="006C655A" w:rsidP="00A93BDC">
      <w:pPr>
        <w:tabs>
          <w:tab w:val="left" w:pos="696"/>
        </w:tabs>
        <w:jc w:val="center"/>
        <w:rPr>
          <w:b/>
          <w:color w:val="000000"/>
          <w:sz w:val="28"/>
          <w:szCs w:val="28"/>
        </w:rPr>
      </w:pPr>
      <w:r>
        <w:rPr>
          <w:b/>
          <w:color w:val="000000"/>
          <w:sz w:val="28"/>
          <w:szCs w:val="28"/>
        </w:rPr>
        <w:t>The Town</w:t>
      </w:r>
      <w:r w:rsidR="007B3EC6">
        <w:rPr>
          <w:b/>
          <w:color w:val="000000"/>
          <w:sz w:val="28"/>
          <w:szCs w:val="28"/>
        </w:rPr>
        <w:t xml:space="preserve"> of Brunswick </w:t>
      </w:r>
      <w:r>
        <w:rPr>
          <w:b/>
          <w:color w:val="000000"/>
          <w:sz w:val="28"/>
          <w:szCs w:val="28"/>
        </w:rPr>
        <w:t xml:space="preserve">in </w:t>
      </w:r>
      <w:r w:rsidR="007B3EC6">
        <w:rPr>
          <w:b/>
          <w:color w:val="000000"/>
          <w:sz w:val="28"/>
          <w:szCs w:val="28"/>
        </w:rPr>
        <w:t>Cumberland County</w:t>
      </w:r>
      <w:r>
        <w:rPr>
          <w:b/>
          <w:color w:val="000000"/>
          <w:sz w:val="28"/>
          <w:szCs w:val="28"/>
        </w:rPr>
        <w:t xml:space="preserve"> </w:t>
      </w:r>
      <w:r w:rsidR="00F77429">
        <w:rPr>
          <w:b/>
          <w:color w:val="000000"/>
          <w:sz w:val="28"/>
          <w:szCs w:val="28"/>
        </w:rPr>
        <w:t>(Flex Route Brunswick Explorer)</w:t>
      </w:r>
    </w:p>
    <w:p w:rsidR="006C655A" w:rsidRDefault="006C655A" w:rsidP="00A93BDC">
      <w:pPr>
        <w:jc w:val="both"/>
        <w:rPr>
          <w:b/>
          <w:color w:val="000000" w:themeColor="text1"/>
          <w:sz w:val="28"/>
        </w:rPr>
      </w:pPr>
    </w:p>
    <w:p w:rsidR="006C655A" w:rsidRDefault="006C655A" w:rsidP="00A93BDC">
      <w:pPr>
        <w:jc w:val="both"/>
        <w:rPr>
          <w:b/>
          <w:color w:val="000000" w:themeColor="text1"/>
          <w:sz w:val="28"/>
        </w:rPr>
      </w:pPr>
    </w:p>
    <w:p w:rsidR="00A93BDC" w:rsidRPr="00DC7DC5" w:rsidRDefault="00A93BDC" w:rsidP="00A93BDC">
      <w:pPr>
        <w:jc w:val="both"/>
        <w:rPr>
          <w:color w:val="000000" w:themeColor="text1"/>
          <w:sz w:val="28"/>
        </w:rPr>
      </w:pPr>
      <w:r w:rsidRPr="00DC7DC5">
        <w:rPr>
          <w:b/>
          <w:color w:val="000000" w:themeColor="text1"/>
          <w:sz w:val="28"/>
        </w:rPr>
        <w:t>Summary of Service Changes since FY 2012</w:t>
      </w:r>
    </w:p>
    <w:p w:rsidR="00A93BDC" w:rsidRDefault="00A93BDC" w:rsidP="00A93BDC">
      <w:pPr>
        <w:tabs>
          <w:tab w:val="left" w:pos="696"/>
        </w:tabs>
        <w:rPr>
          <w:b/>
          <w:color w:val="000000"/>
          <w:sz w:val="28"/>
          <w:szCs w:val="28"/>
        </w:rPr>
      </w:pPr>
    </w:p>
    <w:p w:rsidR="007B3EC6" w:rsidRPr="007B3EC6" w:rsidRDefault="00A93BDC" w:rsidP="006C655A">
      <w:pPr>
        <w:ind w:left="630"/>
        <w:rPr>
          <w:b/>
          <w:i/>
          <w:color w:val="000000" w:themeColor="text1"/>
        </w:rPr>
      </w:pPr>
      <w:r>
        <w:rPr>
          <w:b/>
          <w:color w:val="000000"/>
          <w:sz w:val="28"/>
          <w:szCs w:val="28"/>
        </w:rPr>
        <w:tab/>
      </w:r>
      <w:r w:rsidR="006C655A">
        <w:rPr>
          <w:b/>
          <w:color w:val="000000" w:themeColor="text1"/>
          <w:sz w:val="28"/>
          <w:szCs w:val="28"/>
        </w:rPr>
        <w:t>Western Maine Transportation Services</w:t>
      </w:r>
    </w:p>
    <w:p w:rsidR="007B3EC6" w:rsidRDefault="007B3EC6" w:rsidP="00DC7DC5">
      <w:pPr>
        <w:tabs>
          <w:tab w:val="left" w:pos="720"/>
        </w:tabs>
        <w:rPr>
          <w:b/>
          <w:color w:val="000000" w:themeColor="text1"/>
          <w:sz w:val="28"/>
          <w:szCs w:val="28"/>
        </w:rPr>
      </w:pPr>
    </w:p>
    <w:p w:rsidR="006C655A" w:rsidRPr="008A7D72" w:rsidRDefault="008B5CE0" w:rsidP="008B5CE0">
      <w:pPr>
        <w:pStyle w:val="ListParagraph"/>
        <w:numPr>
          <w:ilvl w:val="0"/>
          <w:numId w:val="42"/>
        </w:numPr>
        <w:ind w:left="1260"/>
        <w:rPr>
          <w:szCs w:val="24"/>
        </w:rPr>
      </w:pPr>
      <w:r w:rsidRPr="008B5CE0">
        <w:rPr>
          <w:b/>
          <w:szCs w:val="24"/>
        </w:rPr>
        <w:t>Brunswick Explorer.</w:t>
      </w:r>
      <w:r>
        <w:rPr>
          <w:szCs w:val="24"/>
        </w:rPr>
        <w:t xml:space="preserve"> </w:t>
      </w:r>
      <w:r w:rsidR="006C655A" w:rsidRPr="008A7D72">
        <w:rPr>
          <w:szCs w:val="24"/>
        </w:rPr>
        <w:t>WMTS assumed operation of Brunswick Explorer on April 25, 2016.  In less than a year of operation WMTS has increased ridership by approximately 35%, increased fleet dependability, expanded the operating schedule and increased the overall reliability of the service.</w:t>
      </w:r>
    </w:p>
    <w:p w:rsidR="006C655A" w:rsidRPr="008A7D72" w:rsidRDefault="006C655A" w:rsidP="008B5CE0">
      <w:pPr>
        <w:pStyle w:val="ListParagraph"/>
        <w:ind w:left="1260"/>
        <w:rPr>
          <w:szCs w:val="24"/>
        </w:rPr>
      </w:pPr>
    </w:p>
    <w:p w:rsidR="006C655A" w:rsidRPr="006C655A" w:rsidRDefault="008B5CE0" w:rsidP="008B5CE0">
      <w:pPr>
        <w:pStyle w:val="ListParagraph"/>
        <w:numPr>
          <w:ilvl w:val="0"/>
          <w:numId w:val="42"/>
        </w:numPr>
        <w:ind w:left="1260"/>
        <w:rPr>
          <w:color w:val="000000" w:themeColor="text1"/>
          <w:szCs w:val="24"/>
        </w:rPr>
      </w:pPr>
      <w:r>
        <w:rPr>
          <w:b/>
          <w:color w:val="000000" w:themeColor="text1"/>
          <w:szCs w:val="24"/>
        </w:rPr>
        <w:t xml:space="preserve">Ridership increase. </w:t>
      </w:r>
      <w:r w:rsidR="006C655A" w:rsidRPr="006C655A">
        <w:rPr>
          <w:color w:val="000000" w:themeColor="text1"/>
          <w:szCs w:val="24"/>
        </w:rPr>
        <w:t>WMTS saw a 20% increase in ridership for the Mtn. Explorer from FY 2015 to FY 2016.</w:t>
      </w:r>
    </w:p>
    <w:p w:rsidR="00D00BCB" w:rsidRDefault="00D00BCB" w:rsidP="00D46EE0">
      <w:pPr>
        <w:ind w:left="720"/>
        <w:rPr>
          <w:b/>
          <w:color w:val="000000" w:themeColor="text1"/>
          <w:sz w:val="28"/>
          <w:szCs w:val="28"/>
        </w:rPr>
      </w:pPr>
    </w:p>
    <w:p w:rsidR="00EE61A6" w:rsidRPr="006C655A" w:rsidRDefault="006C655A" w:rsidP="00D46EE0">
      <w:pPr>
        <w:ind w:left="720"/>
        <w:rPr>
          <w:b/>
          <w:color w:val="FF0000"/>
          <w:sz w:val="28"/>
          <w:szCs w:val="28"/>
        </w:rPr>
      </w:pPr>
      <w:r>
        <w:rPr>
          <w:b/>
          <w:color w:val="000000" w:themeColor="text1"/>
          <w:sz w:val="28"/>
          <w:szCs w:val="28"/>
        </w:rPr>
        <w:t>LATC/</w:t>
      </w:r>
      <w:proofErr w:type="spellStart"/>
      <w:r>
        <w:rPr>
          <w:b/>
          <w:color w:val="000000" w:themeColor="text1"/>
          <w:sz w:val="28"/>
          <w:szCs w:val="28"/>
        </w:rPr>
        <w:t>citylink</w:t>
      </w:r>
      <w:proofErr w:type="spellEnd"/>
    </w:p>
    <w:p w:rsidR="006C655A" w:rsidRPr="00D00BCB" w:rsidRDefault="006C655A" w:rsidP="00DC7DC5">
      <w:pPr>
        <w:rPr>
          <w:b/>
          <w:color w:val="FF0000"/>
        </w:rPr>
      </w:pPr>
    </w:p>
    <w:p w:rsidR="006C655A" w:rsidRDefault="008B5CE0" w:rsidP="008B5CE0">
      <w:pPr>
        <w:pStyle w:val="ListParagraph"/>
        <w:numPr>
          <w:ilvl w:val="0"/>
          <w:numId w:val="43"/>
        </w:numPr>
        <w:ind w:left="1170"/>
      </w:pPr>
      <w:r>
        <w:rPr>
          <w:b/>
        </w:rPr>
        <w:t xml:space="preserve">Service reduction. </w:t>
      </w:r>
      <w:r w:rsidR="006C655A">
        <w:t>LATC/</w:t>
      </w:r>
      <w:proofErr w:type="spellStart"/>
      <w:r w:rsidR="006C655A">
        <w:t>citylink</w:t>
      </w:r>
      <w:proofErr w:type="spellEnd"/>
      <w:r w:rsidR="006C655A">
        <w:t xml:space="preserve"> did not experience any major changes in service during FY 2013-2016. October 1, 2016 (FY 2017), local funding supporting </w:t>
      </w:r>
      <w:proofErr w:type="spellStart"/>
      <w:r w:rsidR="006C655A">
        <w:t>citylink</w:t>
      </w:r>
      <w:proofErr w:type="spellEnd"/>
      <w:r w:rsidR="006C655A">
        <w:t xml:space="preserve"> was reduced and LATC had to eliminate one bus from service, approximately 12.5 hours of service per week day. </w:t>
      </w:r>
    </w:p>
    <w:p w:rsidR="006C655A" w:rsidRDefault="006C655A" w:rsidP="006C655A">
      <w:pPr>
        <w:ind w:left="720"/>
        <w:rPr>
          <w:b/>
          <w:color w:val="FF0000"/>
          <w:sz w:val="28"/>
          <w:szCs w:val="28"/>
        </w:rPr>
      </w:pPr>
    </w:p>
    <w:p w:rsidR="00A93BDC" w:rsidRPr="006C655A" w:rsidRDefault="00A93BDC" w:rsidP="00DC7DC5">
      <w:pPr>
        <w:rPr>
          <w:b/>
          <w:color w:val="000000" w:themeColor="text1"/>
          <w:sz w:val="28"/>
          <w:szCs w:val="28"/>
        </w:rPr>
      </w:pPr>
      <w:r w:rsidRPr="006C655A">
        <w:rPr>
          <w:b/>
          <w:color w:val="000000" w:themeColor="text1"/>
          <w:sz w:val="28"/>
          <w:szCs w:val="28"/>
        </w:rPr>
        <w:t>Accomplishments since FY 2012</w:t>
      </w:r>
    </w:p>
    <w:p w:rsidR="00A93BDC" w:rsidRPr="006C655A" w:rsidRDefault="00A93BDC" w:rsidP="00A93BDC">
      <w:pPr>
        <w:ind w:left="696" w:firstLine="720"/>
        <w:rPr>
          <w:b/>
          <w:color w:val="000000" w:themeColor="text1"/>
          <w:sz w:val="28"/>
          <w:szCs w:val="28"/>
        </w:rPr>
      </w:pPr>
    </w:p>
    <w:p w:rsidR="006C655A" w:rsidRPr="007B3EC6" w:rsidRDefault="006C655A" w:rsidP="00B62111">
      <w:pPr>
        <w:ind w:left="720"/>
        <w:rPr>
          <w:b/>
          <w:i/>
          <w:color w:val="000000" w:themeColor="text1"/>
        </w:rPr>
      </w:pPr>
      <w:r>
        <w:rPr>
          <w:b/>
          <w:color w:val="000000" w:themeColor="text1"/>
          <w:sz w:val="28"/>
          <w:szCs w:val="28"/>
        </w:rPr>
        <w:t>Western Maine Transportation Services</w:t>
      </w:r>
    </w:p>
    <w:p w:rsidR="006C655A" w:rsidRDefault="006C655A" w:rsidP="006C655A">
      <w:pPr>
        <w:tabs>
          <w:tab w:val="left" w:pos="720"/>
        </w:tabs>
        <w:rPr>
          <w:b/>
          <w:color w:val="000000" w:themeColor="text1"/>
          <w:sz w:val="28"/>
          <w:szCs w:val="28"/>
        </w:rPr>
      </w:pPr>
    </w:p>
    <w:p w:rsidR="006C655A" w:rsidRDefault="008B5CE0" w:rsidP="008B5CE0">
      <w:pPr>
        <w:pStyle w:val="ListParagraph"/>
        <w:numPr>
          <w:ilvl w:val="0"/>
          <w:numId w:val="44"/>
        </w:numPr>
        <w:ind w:left="1170"/>
        <w:jc w:val="both"/>
        <w:rPr>
          <w:szCs w:val="24"/>
        </w:rPr>
      </w:pPr>
      <w:r>
        <w:rPr>
          <w:b/>
          <w:szCs w:val="24"/>
        </w:rPr>
        <w:t xml:space="preserve">Mobile data terminals and tablets. </w:t>
      </w:r>
      <w:r w:rsidR="006C655A" w:rsidRPr="00B62111">
        <w:rPr>
          <w:szCs w:val="24"/>
        </w:rPr>
        <w:t>Implementation of Mobile Data Terminals and Tablets to increase efficiency, improve data collection accuracy, reduce redundancy in data entry, improve communications between dispatch and drivers by providing drivers with electronic manifests for our demand response services.</w:t>
      </w:r>
    </w:p>
    <w:p w:rsidR="003B497A" w:rsidRDefault="003B497A" w:rsidP="008B5CE0">
      <w:pPr>
        <w:pStyle w:val="ListParagraph"/>
        <w:ind w:left="1170"/>
        <w:jc w:val="both"/>
        <w:rPr>
          <w:szCs w:val="24"/>
        </w:rPr>
      </w:pPr>
    </w:p>
    <w:p w:rsidR="006C655A" w:rsidRDefault="008B5CE0" w:rsidP="008B5CE0">
      <w:pPr>
        <w:pStyle w:val="ListParagraph"/>
        <w:numPr>
          <w:ilvl w:val="0"/>
          <w:numId w:val="44"/>
        </w:numPr>
        <w:ind w:left="1170"/>
        <w:jc w:val="both"/>
        <w:rPr>
          <w:szCs w:val="24"/>
        </w:rPr>
      </w:pPr>
      <w:r>
        <w:rPr>
          <w:b/>
          <w:szCs w:val="24"/>
        </w:rPr>
        <w:t xml:space="preserve">Tablet use. </w:t>
      </w:r>
      <w:r w:rsidR="006C655A" w:rsidRPr="00B62111">
        <w:rPr>
          <w:szCs w:val="24"/>
        </w:rPr>
        <w:t>Working with dispatching and scheduling vendor to develop and implement use of tablets in fixed, flex and future commuter services operated by WMTS.  WMTS expects to begin implementation of electronic data collection for these services during FY 2017.</w:t>
      </w:r>
    </w:p>
    <w:p w:rsidR="003B497A" w:rsidRPr="003B497A" w:rsidRDefault="003B497A" w:rsidP="008B5CE0">
      <w:pPr>
        <w:pStyle w:val="ListParagraph"/>
        <w:ind w:left="1170"/>
        <w:rPr>
          <w:szCs w:val="24"/>
        </w:rPr>
      </w:pPr>
    </w:p>
    <w:p w:rsidR="006C655A" w:rsidRDefault="008B5CE0" w:rsidP="008B5CE0">
      <w:pPr>
        <w:pStyle w:val="ListParagraph"/>
        <w:numPr>
          <w:ilvl w:val="0"/>
          <w:numId w:val="44"/>
        </w:numPr>
        <w:ind w:left="1170"/>
        <w:jc w:val="both"/>
        <w:rPr>
          <w:szCs w:val="24"/>
        </w:rPr>
      </w:pPr>
      <w:r>
        <w:rPr>
          <w:b/>
          <w:szCs w:val="24"/>
        </w:rPr>
        <w:t xml:space="preserve">Maintenance. </w:t>
      </w:r>
      <w:r w:rsidR="006C655A" w:rsidRPr="00B62111">
        <w:rPr>
          <w:szCs w:val="24"/>
        </w:rPr>
        <w:t>Invest</w:t>
      </w:r>
      <w:r w:rsidR="005831F2">
        <w:rPr>
          <w:szCs w:val="24"/>
        </w:rPr>
        <w:t>ed</w:t>
      </w:r>
      <w:r w:rsidR="006C655A" w:rsidRPr="00B62111">
        <w:rPr>
          <w:szCs w:val="24"/>
        </w:rPr>
        <w:t xml:space="preserve"> in maintenance staff training, vehicle maintenance equipment and overhauled procedures and protocols to extend useful life of most transit equipment by approximately 30%</w:t>
      </w:r>
      <w:r w:rsidR="00B62111" w:rsidRPr="00B62111">
        <w:rPr>
          <w:szCs w:val="24"/>
        </w:rPr>
        <w:t>.</w:t>
      </w:r>
    </w:p>
    <w:p w:rsidR="003B497A" w:rsidRPr="003B497A" w:rsidRDefault="003B497A" w:rsidP="008B5CE0">
      <w:pPr>
        <w:pStyle w:val="ListParagraph"/>
        <w:ind w:left="1170"/>
        <w:rPr>
          <w:szCs w:val="24"/>
        </w:rPr>
      </w:pPr>
    </w:p>
    <w:p w:rsidR="003B497A" w:rsidRPr="00B62111" w:rsidRDefault="003B497A" w:rsidP="008B5CE0">
      <w:pPr>
        <w:pStyle w:val="ListParagraph"/>
        <w:ind w:left="1170"/>
        <w:jc w:val="both"/>
        <w:rPr>
          <w:szCs w:val="24"/>
        </w:rPr>
      </w:pPr>
    </w:p>
    <w:p w:rsidR="006C655A" w:rsidRDefault="008B5CE0" w:rsidP="008B5CE0">
      <w:pPr>
        <w:pStyle w:val="ListParagraph"/>
        <w:numPr>
          <w:ilvl w:val="0"/>
          <w:numId w:val="44"/>
        </w:numPr>
        <w:ind w:left="1170"/>
        <w:jc w:val="both"/>
        <w:rPr>
          <w:szCs w:val="24"/>
        </w:rPr>
      </w:pPr>
      <w:r w:rsidRPr="008B5CE0">
        <w:rPr>
          <w:b/>
          <w:szCs w:val="24"/>
        </w:rPr>
        <w:lastRenderedPageBreak/>
        <w:t>Transit feasibility study.</w:t>
      </w:r>
      <w:r>
        <w:rPr>
          <w:szCs w:val="24"/>
        </w:rPr>
        <w:t xml:space="preserve"> </w:t>
      </w:r>
      <w:r w:rsidR="006C655A" w:rsidRPr="00B62111">
        <w:rPr>
          <w:szCs w:val="24"/>
        </w:rPr>
        <w:t>Secured funding through M</w:t>
      </w:r>
      <w:r w:rsidR="005831F2">
        <w:rPr>
          <w:szCs w:val="24"/>
        </w:rPr>
        <w:t>aine</w:t>
      </w:r>
      <w:r w:rsidR="006C655A" w:rsidRPr="00B62111">
        <w:rPr>
          <w:szCs w:val="24"/>
        </w:rPr>
        <w:t>DOT to undergo a feasibility study and planning process to begin March 2017 that will focus on providing public transit to support employment and continuing education.</w:t>
      </w:r>
    </w:p>
    <w:p w:rsidR="003B497A" w:rsidRPr="00B62111" w:rsidRDefault="003B497A" w:rsidP="008B5CE0">
      <w:pPr>
        <w:pStyle w:val="ListParagraph"/>
        <w:ind w:left="1170"/>
        <w:jc w:val="both"/>
        <w:rPr>
          <w:szCs w:val="24"/>
        </w:rPr>
      </w:pPr>
    </w:p>
    <w:p w:rsidR="006C655A" w:rsidRDefault="008B5CE0" w:rsidP="008B5CE0">
      <w:pPr>
        <w:pStyle w:val="ListParagraph"/>
        <w:numPr>
          <w:ilvl w:val="0"/>
          <w:numId w:val="44"/>
        </w:numPr>
        <w:ind w:left="1170"/>
        <w:jc w:val="both"/>
        <w:rPr>
          <w:szCs w:val="24"/>
        </w:rPr>
      </w:pPr>
      <w:r>
        <w:rPr>
          <w:b/>
          <w:szCs w:val="24"/>
        </w:rPr>
        <w:t xml:space="preserve">Transit forum. </w:t>
      </w:r>
      <w:r w:rsidR="006C655A" w:rsidRPr="00B62111">
        <w:rPr>
          <w:szCs w:val="24"/>
        </w:rPr>
        <w:t xml:space="preserve">Hosted a transit forum in July 2016 that was well attended by economic development and municipal officials throughout the WMTS service area.  The demand for meaningful public transit access for all was reaffirmed. </w:t>
      </w:r>
    </w:p>
    <w:p w:rsidR="003B497A" w:rsidRPr="003B497A" w:rsidRDefault="003B497A" w:rsidP="008B5CE0">
      <w:pPr>
        <w:pStyle w:val="ListParagraph"/>
        <w:ind w:left="1170"/>
        <w:rPr>
          <w:szCs w:val="24"/>
        </w:rPr>
      </w:pPr>
    </w:p>
    <w:p w:rsidR="006C655A" w:rsidRDefault="008B5CE0" w:rsidP="008B5CE0">
      <w:pPr>
        <w:pStyle w:val="ListParagraph"/>
        <w:numPr>
          <w:ilvl w:val="0"/>
          <w:numId w:val="44"/>
        </w:numPr>
        <w:ind w:left="1170"/>
        <w:jc w:val="both"/>
        <w:rPr>
          <w:szCs w:val="24"/>
        </w:rPr>
      </w:pPr>
      <w:r w:rsidRPr="008B5CE0">
        <w:rPr>
          <w:b/>
          <w:szCs w:val="24"/>
        </w:rPr>
        <w:t>LATC contract.</w:t>
      </w:r>
      <w:r>
        <w:rPr>
          <w:szCs w:val="24"/>
        </w:rPr>
        <w:t xml:space="preserve"> </w:t>
      </w:r>
      <w:r w:rsidR="006C655A" w:rsidRPr="008A7D72">
        <w:rPr>
          <w:szCs w:val="24"/>
        </w:rPr>
        <w:t xml:space="preserve">Awarded new </w:t>
      </w:r>
      <w:r w:rsidR="00B62111">
        <w:rPr>
          <w:szCs w:val="24"/>
        </w:rPr>
        <w:t>three-</w:t>
      </w:r>
      <w:r w:rsidR="006C655A" w:rsidRPr="008A7D72">
        <w:rPr>
          <w:szCs w:val="24"/>
        </w:rPr>
        <w:t xml:space="preserve">year contract for operation of LATC’s </w:t>
      </w:r>
      <w:proofErr w:type="spellStart"/>
      <w:r w:rsidR="00B62111">
        <w:rPr>
          <w:szCs w:val="24"/>
        </w:rPr>
        <w:t>c</w:t>
      </w:r>
      <w:r w:rsidR="006C655A" w:rsidRPr="008A7D72">
        <w:rPr>
          <w:szCs w:val="24"/>
        </w:rPr>
        <w:t>itylink</w:t>
      </w:r>
      <w:proofErr w:type="spellEnd"/>
      <w:r w:rsidR="006C655A" w:rsidRPr="008A7D72">
        <w:rPr>
          <w:szCs w:val="24"/>
        </w:rPr>
        <w:t xml:space="preserve"> service and provision of ADA service for Lewiston &amp; Auburn</w:t>
      </w:r>
      <w:r w:rsidR="00B62111">
        <w:rPr>
          <w:szCs w:val="24"/>
        </w:rPr>
        <w:t>.</w:t>
      </w:r>
    </w:p>
    <w:p w:rsidR="00B62111" w:rsidRDefault="00B62111" w:rsidP="008B5CE0">
      <w:pPr>
        <w:ind w:left="1170"/>
        <w:rPr>
          <w:b/>
          <w:color w:val="000000" w:themeColor="text1"/>
          <w:sz w:val="28"/>
          <w:szCs w:val="28"/>
        </w:rPr>
      </w:pPr>
    </w:p>
    <w:p w:rsidR="00B62111" w:rsidRDefault="00B62111" w:rsidP="00B62111">
      <w:pPr>
        <w:ind w:left="720"/>
        <w:rPr>
          <w:b/>
          <w:color w:val="000000" w:themeColor="text1"/>
          <w:sz w:val="28"/>
          <w:szCs w:val="28"/>
        </w:rPr>
      </w:pPr>
      <w:r>
        <w:rPr>
          <w:b/>
          <w:color w:val="000000" w:themeColor="text1"/>
          <w:sz w:val="28"/>
          <w:szCs w:val="28"/>
        </w:rPr>
        <w:t>LATC/</w:t>
      </w:r>
      <w:proofErr w:type="spellStart"/>
      <w:r>
        <w:rPr>
          <w:b/>
          <w:color w:val="000000" w:themeColor="text1"/>
          <w:sz w:val="28"/>
          <w:szCs w:val="28"/>
        </w:rPr>
        <w:t>citylink</w:t>
      </w:r>
      <w:proofErr w:type="spellEnd"/>
    </w:p>
    <w:p w:rsidR="00B62111" w:rsidRDefault="00B62111" w:rsidP="00B62111">
      <w:pPr>
        <w:ind w:left="720"/>
      </w:pPr>
    </w:p>
    <w:p w:rsidR="00B62111" w:rsidRDefault="00DC20F8" w:rsidP="008F5C79">
      <w:pPr>
        <w:pStyle w:val="ListParagraph"/>
        <w:numPr>
          <w:ilvl w:val="0"/>
          <w:numId w:val="45"/>
        </w:numPr>
        <w:ind w:left="1170"/>
        <w:jc w:val="both"/>
      </w:pPr>
      <w:r>
        <w:rPr>
          <w:b/>
        </w:rPr>
        <w:t xml:space="preserve">Ridership increase. </w:t>
      </w:r>
      <w:r w:rsidR="00B62111">
        <w:t>LATC saw a steady increase in ridership through 2013 and 2014, peaking in 2015. Ridership in 2016 experienced a slight decline which has continued into 2017. The ridership decline in 2017 is attributed to the reduction in service.</w:t>
      </w:r>
    </w:p>
    <w:p w:rsidR="00B62111" w:rsidRDefault="00B62111" w:rsidP="008F5C79">
      <w:pPr>
        <w:ind w:left="1170" w:hanging="720"/>
        <w:jc w:val="both"/>
      </w:pPr>
    </w:p>
    <w:p w:rsidR="00B62111" w:rsidRDefault="00DC20F8" w:rsidP="008F5C79">
      <w:pPr>
        <w:pStyle w:val="ListParagraph"/>
        <w:numPr>
          <w:ilvl w:val="0"/>
          <w:numId w:val="45"/>
        </w:numPr>
        <w:ind w:left="1170"/>
        <w:jc w:val="both"/>
      </w:pPr>
      <w:r w:rsidRPr="00DC20F8">
        <w:rPr>
          <w:b/>
        </w:rPr>
        <w:t>WMTS contract.</w:t>
      </w:r>
      <w:r>
        <w:t xml:space="preserve"> </w:t>
      </w:r>
      <w:r w:rsidR="00B62111">
        <w:t>LATC entered into a new three-year contract with Western Maine Transportation Services, Inc., for operation and maintenance of fixed route and ADA service, FY 2017-2019.</w:t>
      </w:r>
    </w:p>
    <w:p w:rsidR="00B62111" w:rsidRDefault="00B62111" w:rsidP="008F5C79">
      <w:pPr>
        <w:ind w:left="1170" w:hanging="720"/>
        <w:jc w:val="both"/>
      </w:pPr>
    </w:p>
    <w:p w:rsidR="00B62111" w:rsidRDefault="00DC20F8" w:rsidP="008F5C79">
      <w:pPr>
        <w:pStyle w:val="ListParagraph"/>
        <w:numPr>
          <w:ilvl w:val="0"/>
          <w:numId w:val="45"/>
        </w:numPr>
        <w:ind w:left="1170"/>
        <w:jc w:val="both"/>
      </w:pPr>
      <w:r>
        <w:rPr>
          <w:b/>
        </w:rPr>
        <w:t xml:space="preserve">Bus shelters. </w:t>
      </w:r>
      <w:r w:rsidR="00B62111">
        <w:t>LATC installed four new bus shelters in Auburn in 2016. The new shelters provide an opportunity for advertising. The shelters were purchased by the City of Auburn.</w:t>
      </w:r>
    </w:p>
    <w:p w:rsidR="00B62111" w:rsidRDefault="00B62111" w:rsidP="008F5C79">
      <w:pPr>
        <w:ind w:left="1170" w:hanging="720"/>
        <w:jc w:val="both"/>
      </w:pPr>
    </w:p>
    <w:p w:rsidR="00B62111" w:rsidRPr="00B62111" w:rsidRDefault="00DC20F8" w:rsidP="008F5C79">
      <w:pPr>
        <w:pStyle w:val="BodyTextIndent"/>
        <w:numPr>
          <w:ilvl w:val="0"/>
          <w:numId w:val="45"/>
        </w:numPr>
        <w:ind w:left="1170"/>
        <w:rPr>
          <w14:shadow w14:blurRad="0" w14:dist="0" w14:dir="0" w14:sx="0" w14:sy="0" w14:kx="0" w14:ky="0" w14:algn="none">
            <w14:srgbClr w14:val="000000"/>
          </w14:shadow>
        </w:rPr>
      </w:pPr>
      <w:r>
        <w:rPr>
          <w:b/>
          <w14:shadow w14:blurRad="0" w14:dist="0" w14:dir="0" w14:sx="0" w14:sy="0" w14:kx="0" w14:ky="0" w14:algn="none">
            <w14:srgbClr w14:val="000000"/>
          </w14:shadow>
        </w:rPr>
        <w:t xml:space="preserve">Bus station. </w:t>
      </w:r>
      <w:r w:rsidR="00B62111" w:rsidRPr="00B62111">
        <w:rPr>
          <w14:shadow w14:blurRad="0" w14:dist="0" w14:dir="0" w14:sx="0" w14:sy="0" w14:kx="0" w14:ky="0" w14:algn="none">
            <w14:srgbClr w14:val="000000"/>
          </w14:shadow>
        </w:rPr>
        <w:t xml:space="preserve">In October 2016, LATC opened a new bus station in Great Falls Plaza, Auburn. LATC </w:t>
      </w:r>
      <w:r w:rsidR="00B62111">
        <w:rPr>
          <w14:shadow w14:blurRad="0" w14:dist="0" w14:dir="0" w14:sx="0" w14:sy="0" w14:kx="0" w14:ky="0" w14:algn="none">
            <w14:srgbClr w14:val="000000"/>
          </w14:shadow>
        </w:rPr>
        <w:t>worked</w:t>
      </w:r>
      <w:r w:rsidR="00B62111" w:rsidRPr="00B62111">
        <w:rPr>
          <w14:shadow w14:blurRad="0" w14:dist="0" w14:dir="0" w14:sx="0" w14:sy="0" w14:kx="0" w14:ky="0" w14:algn="none">
            <w14:srgbClr w14:val="000000"/>
          </w14:shadow>
        </w:rPr>
        <w:t xml:space="preserve"> with MaineDOT and the Federal Transit Administration for several years to complete construction of the station. The station is approximately 1,500 sq. ft., provides amenities for passengers, and a breakroom and restroom facilities for the drivers.</w:t>
      </w:r>
    </w:p>
    <w:p w:rsidR="00B62111" w:rsidRDefault="00B62111" w:rsidP="008F5C79">
      <w:pPr>
        <w:ind w:left="1170" w:hanging="720"/>
        <w:jc w:val="both"/>
      </w:pPr>
    </w:p>
    <w:p w:rsidR="00B62111" w:rsidRDefault="00DC20F8" w:rsidP="008F5C79">
      <w:pPr>
        <w:pStyle w:val="ListParagraph"/>
        <w:numPr>
          <w:ilvl w:val="0"/>
          <w:numId w:val="45"/>
        </w:numPr>
        <w:ind w:left="1170"/>
        <w:jc w:val="both"/>
      </w:pPr>
      <w:r>
        <w:rPr>
          <w:b/>
        </w:rPr>
        <w:t xml:space="preserve">Short range transit study. </w:t>
      </w:r>
      <w:r w:rsidR="00B62111">
        <w:t>LATC, with consultant Main Street Connections, completed a short range transit study in March 2016. LATC has been able to institute some of the study recommendations.</w:t>
      </w:r>
    </w:p>
    <w:p w:rsidR="00B62111" w:rsidRDefault="00B62111" w:rsidP="008F5C79">
      <w:pPr>
        <w:ind w:left="1170" w:hanging="720"/>
        <w:jc w:val="both"/>
      </w:pPr>
    </w:p>
    <w:p w:rsidR="00B62111" w:rsidRDefault="00DC20F8" w:rsidP="008F5C79">
      <w:pPr>
        <w:pStyle w:val="ListParagraph"/>
        <w:numPr>
          <w:ilvl w:val="0"/>
          <w:numId w:val="45"/>
        </w:numPr>
        <w:ind w:left="1170"/>
        <w:jc w:val="both"/>
      </w:pPr>
      <w:r>
        <w:rPr>
          <w:b/>
        </w:rPr>
        <w:t xml:space="preserve">FTA Direct Recipient. </w:t>
      </w:r>
      <w:r w:rsidR="00B62111">
        <w:t>AVCOG, LATC’s fiscal agent, became a direct recipient for Federal Transit Administration funding. As a direct recipient, AVCOG/LATC is responsible for additional areas of compliance.</w:t>
      </w:r>
    </w:p>
    <w:p w:rsidR="00EE61A6" w:rsidRPr="006C655A" w:rsidRDefault="00EE61A6" w:rsidP="00EE61A6">
      <w:pPr>
        <w:ind w:left="720"/>
        <w:rPr>
          <w:b/>
          <w:color w:val="FF0000"/>
          <w:sz w:val="28"/>
          <w:szCs w:val="28"/>
        </w:rPr>
      </w:pPr>
    </w:p>
    <w:p w:rsidR="00A93BDC" w:rsidRPr="00D00BCB" w:rsidRDefault="00097211" w:rsidP="00A93BDC">
      <w:pPr>
        <w:rPr>
          <w:b/>
          <w:color w:val="000000" w:themeColor="text1"/>
          <w:sz w:val="28"/>
          <w:szCs w:val="28"/>
        </w:rPr>
      </w:pPr>
      <w:r w:rsidRPr="00D00BCB">
        <w:rPr>
          <w:b/>
          <w:color w:val="000000" w:themeColor="text1"/>
          <w:sz w:val="28"/>
          <w:szCs w:val="28"/>
        </w:rPr>
        <w:t xml:space="preserve">Report on Projects and Priorities in the FY 2013-2017 Locally Coordinated Plan   </w:t>
      </w:r>
    </w:p>
    <w:p w:rsidR="00A93BDC" w:rsidRDefault="00A93BDC" w:rsidP="00A93BDC">
      <w:pPr>
        <w:ind w:left="1080"/>
        <w:jc w:val="both"/>
        <w:rPr>
          <w:b/>
          <w:color w:val="FF0000"/>
          <w:sz w:val="28"/>
          <w:szCs w:val="28"/>
        </w:rPr>
      </w:pPr>
    </w:p>
    <w:p w:rsidR="003B497A" w:rsidRPr="007B3EC6" w:rsidRDefault="003B497A" w:rsidP="003B497A">
      <w:pPr>
        <w:ind w:left="720"/>
        <w:rPr>
          <w:b/>
          <w:i/>
          <w:color w:val="000000" w:themeColor="text1"/>
        </w:rPr>
      </w:pPr>
      <w:r>
        <w:rPr>
          <w:b/>
          <w:color w:val="000000" w:themeColor="text1"/>
          <w:sz w:val="28"/>
          <w:szCs w:val="28"/>
        </w:rPr>
        <w:t>Western Maine Transportation Services</w:t>
      </w:r>
    </w:p>
    <w:p w:rsidR="003B497A" w:rsidRDefault="003B497A" w:rsidP="003B497A">
      <w:pPr>
        <w:tabs>
          <w:tab w:val="left" w:pos="720"/>
        </w:tabs>
        <w:rPr>
          <w:b/>
          <w:color w:val="000000" w:themeColor="text1"/>
          <w:sz w:val="28"/>
          <w:szCs w:val="28"/>
        </w:rPr>
      </w:pPr>
    </w:p>
    <w:p w:rsidR="003B497A" w:rsidRDefault="00DC20F8" w:rsidP="00DC20F8">
      <w:pPr>
        <w:pStyle w:val="ListParagraph"/>
        <w:numPr>
          <w:ilvl w:val="0"/>
          <w:numId w:val="46"/>
        </w:numPr>
        <w:ind w:left="1170"/>
        <w:jc w:val="both"/>
        <w:rPr>
          <w:szCs w:val="24"/>
        </w:rPr>
      </w:pPr>
      <w:r w:rsidRPr="00DC20F8">
        <w:rPr>
          <w:b/>
          <w:szCs w:val="24"/>
        </w:rPr>
        <w:t>Flex route service restoration.</w:t>
      </w:r>
      <w:r>
        <w:rPr>
          <w:szCs w:val="24"/>
        </w:rPr>
        <w:t xml:space="preserve"> </w:t>
      </w:r>
      <w:r w:rsidR="003B497A" w:rsidRPr="008A7D72">
        <w:rPr>
          <w:szCs w:val="24"/>
        </w:rPr>
        <w:t>WMTS stepped back from the “loop transit service” in the rural areas, but expect</w:t>
      </w:r>
      <w:r w:rsidR="003B497A">
        <w:rPr>
          <w:szCs w:val="24"/>
        </w:rPr>
        <w:t>s</w:t>
      </w:r>
      <w:r w:rsidR="003B497A" w:rsidRPr="008A7D72">
        <w:rPr>
          <w:szCs w:val="24"/>
        </w:rPr>
        <w:t xml:space="preserve"> to have flex route operations return to the Norway/Oxford/South Paris area and the Farmington/Wilton area during 2017 and anticipate</w:t>
      </w:r>
      <w:r w:rsidR="003B497A">
        <w:rPr>
          <w:szCs w:val="24"/>
        </w:rPr>
        <w:t>s</w:t>
      </w:r>
      <w:r w:rsidR="003B497A" w:rsidRPr="008A7D72">
        <w:rPr>
          <w:szCs w:val="24"/>
        </w:rPr>
        <w:t xml:space="preserve"> additional flex route services for the Rumford/Mexico and Jay/Livermore Falls areas soon after.  (This </w:t>
      </w:r>
      <w:r w:rsidR="003B497A" w:rsidRPr="008A7D72">
        <w:rPr>
          <w:szCs w:val="24"/>
        </w:rPr>
        <w:lastRenderedPageBreak/>
        <w:t>change in service was necessary to re-evaluate public transit needs and changing funding model.)</w:t>
      </w:r>
    </w:p>
    <w:p w:rsidR="003B497A" w:rsidRPr="008A7D72" w:rsidRDefault="003B497A" w:rsidP="00DC20F8">
      <w:pPr>
        <w:pStyle w:val="ListParagraph"/>
        <w:ind w:left="1170"/>
        <w:jc w:val="both"/>
        <w:rPr>
          <w:szCs w:val="24"/>
        </w:rPr>
      </w:pPr>
    </w:p>
    <w:p w:rsidR="003B497A" w:rsidRDefault="00DC20F8" w:rsidP="00DC20F8">
      <w:pPr>
        <w:pStyle w:val="ListParagraph"/>
        <w:numPr>
          <w:ilvl w:val="0"/>
          <w:numId w:val="46"/>
        </w:numPr>
        <w:ind w:left="1170"/>
        <w:jc w:val="both"/>
        <w:rPr>
          <w:szCs w:val="24"/>
        </w:rPr>
      </w:pPr>
      <w:r>
        <w:rPr>
          <w:b/>
          <w:szCs w:val="24"/>
        </w:rPr>
        <w:t xml:space="preserve">Explorer services. </w:t>
      </w:r>
      <w:r w:rsidR="003B497A" w:rsidRPr="008A7D72">
        <w:rPr>
          <w:szCs w:val="24"/>
        </w:rPr>
        <w:t>WMTS is moving forward with expansion of services and connecting services across our service areas.  WMTS assumed operation of the Brunswick Explorer in April 2016 and adding this service to WMTS’ other services allows WMTS to provide service from the western mountains to the eastern coastline.</w:t>
      </w:r>
    </w:p>
    <w:p w:rsidR="003B497A" w:rsidRPr="003B497A" w:rsidRDefault="003B497A" w:rsidP="00DC20F8">
      <w:pPr>
        <w:pStyle w:val="ListParagraph"/>
        <w:ind w:left="1170"/>
        <w:rPr>
          <w:szCs w:val="24"/>
        </w:rPr>
      </w:pPr>
    </w:p>
    <w:p w:rsidR="003B497A" w:rsidRDefault="00DC20F8" w:rsidP="00DC20F8">
      <w:pPr>
        <w:pStyle w:val="ListParagraph"/>
        <w:numPr>
          <w:ilvl w:val="0"/>
          <w:numId w:val="46"/>
        </w:numPr>
        <w:ind w:left="1170"/>
        <w:jc w:val="both"/>
        <w:rPr>
          <w:szCs w:val="24"/>
        </w:rPr>
      </w:pPr>
      <w:r>
        <w:rPr>
          <w:b/>
          <w:szCs w:val="24"/>
        </w:rPr>
        <w:t xml:space="preserve">Feasibility study and transit plan. </w:t>
      </w:r>
      <w:r w:rsidR="003B497A" w:rsidRPr="008A7D72">
        <w:rPr>
          <w:szCs w:val="24"/>
        </w:rPr>
        <w:t>The feasibility study and transit plan will allow WMTS to address a number of the priorities and projects in the locally coordinated plan. WMTS is presently planning to implement commuter service that will provide connections from the rural areas to the urban hub, allow passengers to access train (in Brunswick) and Greyhound in Lewiston and Concorde bus services in Auburn and Brunswick.  WMTS will implement services as resource</w:t>
      </w:r>
      <w:r w:rsidR="005831F2">
        <w:rPr>
          <w:szCs w:val="24"/>
        </w:rPr>
        <w:t>s</w:t>
      </w:r>
      <w:r w:rsidR="003B497A" w:rsidRPr="008A7D72">
        <w:rPr>
          <w:szCs w:val="24"/>
        </w:rPr>
        <w:t xml:space="preserve"> permit and expect to have commuter services fully implemented by FY 2021.</w:t>
      </w:r>
    </w:p>
    <w:p w:rsidR="003B497A" w:rsidRPr="003B497A" w:rsidRDefault="003B497A" w:rsidP="00DC20F8">
      <w:pPr>
        <w:pStyle w:val="ListParagraph"/>
        <w:ind w:left="1170"/>
        <w:rPr>
          <w:szCs w:val="24"/>
        </w:rPr>
      </w:pPr>
    </w:p>
    <w:p w:rsidR="003B497A" w:rsidRPr="008A7D72" w:rsidRDefault="00C57A33" w:rsidP="00DC20F8">
      <w:pPr>
        <w:pStyle w:val="ListParagraph"/>
        <w:numPr>
          <w:ilvl w:val="0"/>
          <w:numId w:val="46"/>
        </w:numPr>
        <w:ind w:left="1170"/>
        <w:jc w:val="both"/>
        <w:rPr>
          <w:szCs w:val="24"/>
        </w:rPr>
      </w:pPr>
      <w:r>
        <w:rPr>
          <w:b/>
          <w:szCs w:val="24"/>
        </w:rPr>
        <w:t xml:space="preserve">Extension of vehicle life. </w:t>
      </w:r>
      <w:r w:rsidR="003B497A" w:rsidRPr="008A7D72">
        <w:rPr>
          <w:szCs w:val="24"/>
        </w:rPr>
        <w:t>Although it has not been able to replace vehicles that are beyond the</w:t>
      </w:r>
      <w:r w:rsidR="005831F2">
        <w:rPr>
          <w:szCs w:val="24"/>
        </w:rPr>
        <w:t>ir</w:t>
      </w:r>
      <w:r w:rsidR="003B497A" w:rsidRPr="008A7D72">
        <w:rPr>
          <w:szCs w:val="24"/>
        </w:rPr>
        <w:t xml:space="preserve"> useful li</w:t>
      </w:r>
      <w:r w:rsidR="005831F2">
        <w:rPr>
          <w:szCs w:val="24"/>
        </w:rPr>
        <w:t>ves</w:t>
      </w:r>
      <w:r w:rsidR="003B497A" w:rsidRPr="008A7D72">
        <w:rPr>
          <w:szCs w:val="24"/>
        </w:rPr>
        <w:t xml:space="preserve"> as define</w:t>
      </w:r>
      <w:r w:rsidR="003B497A">
        <w:rPr>
          <w:szCs w:val="24"/>
        </w:rPr>
        <w:t xml:space="preserve">d by FTA, </w:t>
      </w:r>
      <w:r w:rsidR="003B497A" w:rsidRPr="008A7D72">
        <w:rPr>
          <w:szCs w:val="24"/>
        </w:rPr>
        <w:t>improved maintenance and care procedures</w:t>
      </w:r>
      <w:r w:rsidR="003B497A">
        <w:rPr>
          <w:szCs w:val="24"/>
        </w:rPr>
        <w:t xml:space="preserve"> has allowed these vehicles to remain in service.</w:t>
      </w:r>
    </w:p>
    <w:p w:rsidR="003B497A" w:rsidRPr="008A7D72" w:rsidRDefault="003B497A" w:rsidP="00DC20F8">
      <w:pPr>
        <w:pStyle w:val="ListParagraph"/>
        <w:ind w:left="1170" w:firstLine="60"/>
        <w:jc w:val="both"/>
        <w:rPr>
          <w:szCs w:val="24"/>
        </w:rPr>
      </w:pPr>
    </w:p>
    <w:p w:rsidR="003B497A" w:rsidRDefault="003B497A" w:rsidP="003B497A">
      <w:pPr>
        <w:ind w:left="720"/>
        <w:rPr>
          <w:b/>
          <w:color w:val="000000" w:themeColor="text1"/>
          <w:sz w:val="28"/>
          <w:szCs w:val="28"/>
        </w:rPr>
      </w:pPr>
      <w:r>
        <w:rPr>
          <w:b/>
          <w:color w:val="000000" w:themeColor="text1"/>
          <w:sz w:val="28"/>
          <w:szCs w:val="28"/>
        </w:rPr>
        <w:t>LATC/</w:t>
      </w:r>
      <w:proofErr w:type="spellStart"/>
      <w:r>
        <w:rPr>
          <w:b/>
          <w:color w:val="000000" w:themeColor="text1"/>
          <w:sz w:val="28"/>
          <w:szCs w:val="28"/>
        </w:rPr>
        <w:t>citylink</w:t>
      </w:r>
      <w:proofErr w:type="spellEnd"/>
    </w:p>
    <w:p w:rsidR="003B497A" w:rsidRDefault="003B497A" w:rsidP="00A93BDC">
      <w:pPr>
        <w:ind w:left="1080"/>
        <w:jc w:val="both"/>
        <w:rPr>
          <w:b/>
          <w:color w:val="FF0000"/>
          <w:sz w:val="28"/>
          <w:szCs w:val="28"/>
        </w:rPr>
      </w:pPr>
    </w:p>
    <w:p w:rsidR="003B497A" w:rsidRDefault="00C57A33" w:rsidP="00C57A33">
      <w:pPr>
        <w:pStyle w:val="ListParagraph"/>
        <w:numPr>
          <w:ilvl w:val="0"/>
          <w:numId w:val="47"/>
        </w:numPr>
        <w:ind w:left="1170"/>
        <w:jc w:val="both"/>
      </w:pPr>
      <w:r>
        <w:rPr>
          <w:b/>
        </w:rPr>
        <w:t xml:space="preserve">Full service. </w:t>
      </w:r>
      <w:r w:rsidR="003B497A">
        <w:t>As funding permits, LATC’s goals are to reinstitute FY</w:t>
      </w:r>
      <w:r w:rsidR="005831F2">
        <w:t xml:space="preserve"> </w:t>
      </w:r>
      <w:r w:rsidR="003B497A">
        <w:t>2016 service levels, provide additional weekday hours of service and provide full service on Saturday.</w:t>
      </w:r>
    </w:p>
    <w:p w:rsidR="003B497A" w:rsidRDefault="003B497A" w:rsidP="00C57A33">
      <w:pPr>
        <w:ind w:left="1170" w:hanging="720"/>
        <w:jc w:val="both"/>
      </w:pPr>
    </w:p>
    <w:p w:rsidR="003B497A" w:rsidRDefault="00C57A33" w:rsidP="00C57A33">
      <w:pPr>
        <w:pStyle w:val="ListParagraph"/>
        <w:numPr>
          <w:ilvl w:val="0"/>
          <w:numId w:val="47"/>
        </w:numPr>
        <w:ind w:left="1170"/>
        <w:jc w:val="both"/>
      </w:pPr>
      <w:r>
        <w:rPr>
          <w:b/>
        </w:rPr>
        <w:t xml:space="preserve">Tablets. </w:t>
      </w:r>
      <w:r w:rsidR="003B497A">
        <w:t>LATC is planning on installing tablets on its buses in FY</w:t>
      </w:r>
      <w:r w:rsidR="005831F2">
        <w:t xml:space="preserve"> </w:t>
      </w:r>
      <w:r w:rsidR="003B497A">
        <w:t>2017. The tablets will have real time GPS, have the ability to track on-off data, provide more accurate ridership data, and provide automated stop announcements.</w:t>
      </w:r>
    </w:p>
    <w:p w:rsidR="003B497A" w:rsidRDefault="003B497A" w:rsidP="00C57A33">
      <w:pPr>
        <w:ind w:left="1170" w:hanging="720"/>
        <w:jc w:val="both"/>
      </w:pPr>
    </w:p>
    <w:p w:rsidR="003B497A" w:rsidRDefault="00C57A33" w:rsidP="00C57A33">
      <w:pPr>
        <w:pStyle w:val="BodyTextIndent2"/>
        <w:numPr>
          <w:ilvl w:val="0"/>
          <w:numId w:val="47"/>
        </w:numPr>
        <w:spacing w:after="0" w:line="240" w:lineRule="auto"/>
        <w:ind w:left="1170"/>
        <w:jc w:val="both"/>
      </w:pPr>
      <w:r>
        <w:rPr>
          <w:b/>
        </w:rPr>
        <w:t xml:space="preserve">Portland service. </w:t>
      </w:r>
      <w:r w:rsidR="003B497A">
        <w:t>LATC will continue to work with partnering agencies to expand service to Portland, as well as assisting in making connections from other towns along the Route 4 corridor to towns along Route 196.</w:t>
      </w:r>
    </w:p>
    <w:p w:rsidR="003B497A" w:rsidRDefault="003B497A" w:rsidP="00C57A33">
      <w:pPr>
        <w:ind w:left="1170" w:hanging="720"/>
        <w:jc w:val="both"/>
      </w:pPr>
    </w:p>
    <w:p w:rsidR="003B497A" w:rsidRDefault="00C57A33" w:rsidP="00C57A33">
      <w:pPr>
        <w:pStyle w:val="ListParagraph"/>
        <w:numPr>
          <w:ilvl w:val="0"/>
          <w:numId w:val="47"/>
        </w:numPr>
        <w:ind w:left="1170"/>
        <w:jc w:val="both"/>
      </w:pPr>
      <w:r w:rsidRPr="00C57A33">
        <w:rPr>
          <w:b/>
        </w:rPr>
        <w:t>Industrial park service.</w:t>
      </w:r>
      <w:r>
        <w:t xml:space="preserve"> </w:t>
      </w:r>
      <w:r w:rsidR="003B497A">
        <w:t>LATC’s Main Street Connections Study addresses the potential for future service to the Auburn Industrial Park.</w:t>
      </w:r>
    </w:p>
    <w:p w:rsidR="003B497A" w:rsidRDefault="003B497A" w:rsidP="00C57A33">
      <w:pPr>
        <w:ind w:left="1170"/>
        <w:jc w:val="both"/>
      </w:pPr>
    </w:p>
    <w:p w:rsidR="003B497A" w:rsidRDefault="00C57A33" w:rsidP="00C57A33">
      <w:pPr>
        <w:pStyle w:val="ListParagraph"/>
        <w:numPr>
          <w:ilvl w:val="0"/>
          <w:numId w:val="47"/>
        </w:numPr>
        <w:ind w:left="1170"/>
        <w:jc w:val="both"/>
      </w:pPr>
      <w:r w:rsidRPr="00C57A33">
        <w:rPr>
          <w:b/>
        </w:rPr>
        <w:t xml:space="preserve">Concord Coach </w:t>
      </w:r>
      <w:proofErr w:type="gramStart"/>
      <w:r w:rsidRPr="00C57A33">
        <w:rPr>
          <w:b/>
        </w:rPr>
        <w:t>connection</w:t>
      </w:r>
      <w:proofErr w:type="gramEnd"/>
      <w:r w:rsidRPr="00C57A33">
        <w:rPr>
          <w:b/>
        </w:rPr>
        <w:t>.</w:t>
      </w:r>
      <w:r>
        <w:t xml:space="preserve"> </w:t>
      </w:r>
      <w:r w:rsidR="003B497A">
        <w:t>Other future service expansions would be to connect with Concord Coach at the Auburn Turnpike Exit to provide connections for intercity travel.</w:t>
      </w:r>
    </w:p>
    <w:p w:rsidR="003B497A" w:rsidRPr="006C655A" w:rsidRDefault="003B497A" w:rsidP="00C57A33">
      <w:pPr>
        <w:ind w:left="1170"/>
        <w:jc w:val="both"/>
        <w:rPr>
          <w:b/>
          <w:color w:val="FF0000"/>
          <w:sz w:val="28"/>
          <w:szCs w:val="28"/>
        </w:rPr>
      </w:pPr>
    </w:p>
    <w:p w:rsidR="00DD6B76" w:rsidRPr="00EE1C59" w:rsidRDefault="00DD6B76" w:rsidP="00DD6B76">
      <w:pPr>
        <w:pStyle w:val="ListParagraph"/>
        <w:ind w:left="0"/>
        <w:rPr>
          <w:b/>
          <w:color w:val="000000" w:themeColor="text1"/>
          <w:sz w:val="28"/>
          <w:szCs w:val="28"/>
        </w:rPr>
      </w:pPr>
      <w:r w:rsidRPr="00EE1C59">
        <w:rPr>
          <w:b/>
          <w:color w:val="000000" w:themeColor="text1"/>
          <w:sz w:val="28"/>
          <w:szCs w:val="28"/>
        </w:rPr>
        <w:t xml:space="preserve">New </w:t>
      </w:r>
      <w:r w:rsidR="00941019" w:rsidRPr="00EE1C59">
        <w:rPr>
          <w:b/>
          <w:color w:val="000000" w:themeColor="text1"/>
          <w:sz w:val="28"/>
          <w:szCs w:val="28"/>
        </w:rPr>
        <w:t>Topics of Interest</w:t>
      </w:r>
    </w:p>
    <w:p w:rsidR="002452A8" w:rsidRPr="00EE1C59" w:rsidRDefault="002452A8" w:rsidP="00DD6B76">
      <w:pPr>
        <w:pStyle w:val="ListParagraph"/>
        <w:ind w:left="0"/>
        <w:rPr>
          <w:b/>
          <w:color w:val="000000" w:themeColor="text1"/>
          <w:szCs w:val="24"/>
        </w:rPr>
      </w:pPr>
    </w:p>
    <w:p w:rsidR="002452A8" w:rsidRPr="00EE1C59" w:rsidRDefault="002452A8" w:rsidP="002452A8">
      <w:pPr>
        <w:pStyle w:val="ListParagraph"/>
        <w:ind w:left="0"/>
        <w:jc w:val="both"/>
        <w:rPr>
          <w:color w:val="000000" w:themeColor="text1"/>
          <w:szCs w:val="24"/>
        </w:rPr>
      </w:pPr>
      <w:r w:rsidRPr="00EE1C59">
        <w:rPr>
          <w:color w:val="000000" w:themeColor="text1"/>
          <w:szCs w:val="24"/>
        </w:rPr>
        <w:t xml:space="preserve">The following ideas were identified and prioritized at a public transit workshop held at </w:t>
      </w:r>
      <w:r w:rsidR="006665A8" w:rsidRPr="00EE1C59">
        <w:rPr>
          <w:color w:val="000000" w:themeColor="text1"/>
          <w:szCs w:val="24"/>
        </w:rPr>
        <w:t xml:space="preserve">the </w:t>
      </w:r>
      <w:r w:rsidR="00EE1C59" w:rsidRPr="00EE1C59">
        <w:rPr>
          <w:color w:val="000000" w:themeColor="text1"/>
          <w:szCs w:val="24"/>
        </w:rPr>
        <w:t>offices of the Androscoggin Valley Council of Governments in Auburn</w:t>
      </w:r>
      <w:r w:rsidRPr="00EE1C59">
        <w:rPr>
          <w:color w:val="000000" w:themeColor="text1"/>
          <w:szCs w:val="24"/>
        </w:rPr>
        <w:t xml:space="preserve"> on </w:t>
      </w:r>
      <w:r w:rsidR="00EE1C59" w:rsidRPr="00EE1C59">
        <w:rPr>
          <w:color w:val="000000" w:themeColor="text1"/>
          <w:szCs w:val="24"/>
        </w:rPr>
        <w:t>October 25</w:t>
      </w:r>
      <w:r w:rsidRPr="00EE1C59">
        <w:rPr>
          <w:color w:val="000000" w:themeColor="text1"/>
          <w:szCs w:val="24"/>
        </w:rPr>
        <w:t xml:space="preserve">, 2016.  An anonymous polling system was used to determine instant digital ratings.  There were </w:t>
      </w:r>
      <w:r w:rsidR="00EE1C59" w:rsidRPr="00EE1C59">
        <w:rPr>
          <w:color w:val="000000" w:themeColor="text1"/>
          <w:szCs w:val="24"/>
        </w:rPr>
        <w:t>22</w:t>
      </w:r>
      <w:r w:rsidRPr="00EE1C59">
        <w:rPr>
          <w:color w:val="000000" w:themeColor="text1"/>
          <w:szCs w:val="24"/>
        </w:rPr>
        <w:t xml:space="preserve"> people who participated in the polling and a total of 2</w:t>
      </w:r>
      <w:r w:rsidR="00EE1C59" w:rsidRPr="00EE1C59">
        <w:rPr>
          <w:color w:val="000000" w:themeColor="text1"/>
          <w:szCs w:val="24"/>
        </w:rPr>
        <w:t>3</w:t>
      </w:r>
      <w:r w:rsidRPr="00EE1C59">
        <w:rPr>
          <w:color w:val="000000" w:themeColor="text1"/>
          <w:szCs w:val="24"/>
        </w:rPr>
        <w:t xml:space="preserve"> questions.  The polling results obtained at the workshop are summarized for each question.</w:t>
      </w:r>
    </w:p>
    <w:p w:rsidR="002452A8" w:rsidRPr="00EE1C59" w:rsidRDefault="002452A8" w:rsidP="004618E5">
      <w:pPr>
        <w:pStyle w:val="ListParagraph"/>
        <w:ind w:left="360"/>
        <w:jc w:val="both"/>
        <w:rPr>
          <w:color w:val="000000" w:themeColor="text1"/>
        </w:rPr>
      </w:pPr>
    </w:p>
    <w:p w:rsidR="008039CD" w:rsidRPr="00EE1C59" w:rsidRDefault="00B82C24" w:rsidP="002452A8">
      <w:pPr>
        <w:pStyle w:val="ListParagraph"/>
        <w:ind w:left="0"/>
        <w:jc w:val="both"/>
        <w:rPr>
          <w:color w:val="000000" w:themeColor="text1"/>
        </w:rPr>
      </w:pPr>
      <w:r w:rsidRPr="00EE1C59">
        <w:rPr>
          <w:color w:val="000000" w:themeColor="text1"/>
        </w:rPr>
        <w:lastRenderedPageBreak/>
        <w:t xml:space="preserve">It was explained to those in attendance </w:t>
      </w:r>
      <w:r w:rsidR="008039CD" w:rsidRPr="00EE1C59">
        <w:rPr>
          <w:color w:val="000000" w:themeColor="text1"/>
        </w:rPr>
        <w:t xml:space="preserve">that </w:t>
      </w:r>
      <w:r w:rsidRPr="00EE1C59">
        <w:rPr>
          <w:color w:val="000000" w:themeColor="text1"/>
        </w:rPr>
        <w:t xml:space="preserve">support for a topic of interest does not guarantee its implementation. Transit </w:t>
      </w:r>
      <w:proofErr w:type="gramStart"/>
      <w:r w:rsidRPr="00EE1C59">
        <w:rPr>
          <w:color w:val="000000" w:themeColor="text1"/>
        </w:rPr>
        <w:t>providers</w:t>
      </w:r>
      <w:proofErr w:type="gramEnd"/>
      <w:r w:rsidRPr="00EE1C59">
        <w:rPr>
          <w:color w:val="000000" w:themeColor="text1"/>
        </w:rPr>
        <w:t xml:space="preserve"> face many challenges, not least of which are budget considerations, as well as opportunities that may not be foreseen at this time.  </w:t>
      </w:r>
    </w:p>
    <w:p w:rsidR="008039CD" w:rsidRPr="00EE1C59" w:rsidRDefault="008039CD" w:rsidP="002452A8">
      <w:pPr>
        <w:pStyle w:val="ListParagraph"/>
        <w:ind w:left="0"/>
        <w:jc w:val="both"/>
        <w:rPr>
          <w:color w:val="000000" w:themeColor="text1"/>
        </w:rPr>
      </w:pPr>
    </w:p>
    <w:p w:rsidR="00B82C24" w:rsidRPr="00EE1C59" w:rsidRDefault="00B82C24" w:rsidP="002452A8">
      <w:pPr>
        <w:pStyle w:val="ListParagraph"/>
        <w:ind w:left="0"/>
        <w:jc w:val="both"/>
        <w:rPr>
          <w:color w:val="000000" w:themeColor="text1"/>
        </w:rPr>
      </w:pPr>
      <w:r w:rsidRPr="00EE1C59">
        <w:rPr>
          <w:color w:val="000000" w:themeColor="text1"/>
        </w:rPr>
        <w:t xml:space="preserve">In addition, MaineDOT reserves the right to </w:t>
      </w:r>
      <w:r w:rsidR="008D191C" w:rsidRPr="00EE1C59">
        <w:rPr>
          <w:color w:val="000000" w:themeColor="text1"/>
        </w:rPr>
        <w:t>address service gaps by re</w:t>
      </w:r>
      <w:r w:rsidRPr="00EE1C59">
        <w:rPr>
          <w:color w:val="000000" w:themeColor="text1"/>
        </w:rPr>
        <w:t>direct</w:t>
      </w:r>
      <w:r w:rsidR="008D191C" w:rsidRPr="00EE1C59">
        <w:rPr>
          <w:color w:val="000000" w:themeColor="text1"/>
        </w:rPr>
        <w:t>ing</w:t>
      </w:r>
      <w:r w:rsidRPr="00EE1C59">
        <w:rPr>
          <w:color w:val="000000" w:themeColor="text1"/>
        </w:rPr>
        <w:t xml:space="preserve"> funds to</w:t>
      </w:r>
      <w:r w:rsidR="008D191C" w:rsidRPr="00EE1C59">
        <w:rPr>
          <w:color w:val="000000" w:themeColor="text1"/>
        </w:rPr>
        <w:t xml:space="preserve"> other groups and organizations</w:t>
      </w:r>
      <w:r w:rsidR="008039CD" w:rsidRPr="00EE1C59">
        <w:rPr>
          <w:color w:val="000000" w:themeColor="text1"/>
        </w:rPr>
        <w:t>, even though such actions could negatively impact one or more of the identified areas of interest summarized and rated below.</w:t>
      </w:r>
    </w:p>
    <w:p w:rsidR="00884613" w:rsidRPr="006C655A" w:rsidRDefault="00884613" w:rsidP="00A93BDC">
      <w:pPr>
        <w:pStyle w:val="ListParagraph"/>
        <w:ind w:left="360"/>
        <w:jc w:val="center"/>
        <w:rPr>
          <w:rFonts w:ascii="Arial" w:hAnsi="Arial" w:cs="Arial"/>
          <w:b/>
          <w:color w:val="FF0000"/>
        </w:rPr>
      </w:pPr>
    </w:p>
    <w:p w:rsidR="00EE1C59" w:rsidRPr="00EE1C59" w:rsidRDefault="00EE1C59" w:rsidP="00EE1C59">
      <w:pPr>
        <w:pStyle w:val="ListParagraph"/>
        <w:ind w:left="360"/>
        <w:jc w:val="center"/>
        <w:rPr>
          <w:b/>
          <w:szCs w:val="24"/>
        </w:rPr>
      </w:pPr>
      <w:r w:rsidRPr="00EE1C59">
        <w:rPr>
          <w:b/>
          <w:szCs w:val="24"/>
        </w:rPr>
        <w:t>Region 7 Rating of New Topics of Interest</w:t>
      </w:r>
    </w:p>
    <w:p w:rsidR="00EE1C59" w:rsidRPr="00EE1C59" w:rsidRDefault="00EE1C59" w:rsidP="00EE1C59">
      <w:pPr>
        <w:pStyle w:val="ListParagraph"/>
        <w:rPr>
          <w:color w:val="000000" w:themeColor="text1"/>
          <w:szCs w:val="24"/>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How important is public transportation to you?</w:t>
      </w:r>
    </w:p>
    <w:tbl>
      <w:tblPr>
        <w:tblW w:w="5355" w:type="dxa"/>
        <w:tblInd w:w="-27" w:type="dxa"/>
        <w:tblLook w:val="04A0" w:firstRow="1" w:lastRow="0" w:firstColumn="1" w:lastColumn="0" w:noHBand="0" w:noVBand="1"/>
      </w:tblPr>
      <w:tblGrid>
        <w:gridCol w:w="120"/>
        <w:gridCol w:w="2880"/>
        <w:gridCol w:w="120"/>
        <w:gridCol w:w="950"/>
        <w:gridCol w:w="385"/>
        <w:gridCol w:w="825"/>
        <w:gridCol w:w="75"/>
      </w:tblGrid>
      <w:tr w:rsidR="00EE1C59" w:rsidRPr="00EE1C59" w:rsidTr="00EE1C59">
        <w:trPr>
          <w:gridBefore w:val="1"/>
          <w:gridAfter w:val="1"/>
          <w:wBefore w:w="120" w:type="dxa"/>
          <w:wAfter w:w="75" w:type="dxa"/>
          <w:trHeight w:val="300"/>
        </w:trPr>
        <w:tc>
          <w:tcPr>
            <w:tcW w:w="3000" w:type="dxa"/>
            <w:gridSpan w:val="2"/>
            <w:tcBorders>
              <w:top w:val="nil"/>
              <w:left w:val="nil"/>
              <w:bottom w:val="nil"/>
              <w:right w:val="nil"/>
            </w:tcBorders>
            <w:shd w:val="clear" w:color="auto" w:fill="auto"/>
            <w:noWrap/>
            <w:vAlign w:val="bottom"/>
            <w:hideMark/>
          </w:tcPr>
          <w:p w:rsidR="00EE1C59" w:rsidRPr="00EE1C59" w:rsidRDefault="00EE1C59" w:rsidP="00EE1C59">
            <w:pPr>
              <w:rPr>
                <w:color w:val="000000"/>
              </w:rPr>
            </w:pPr>
          </w:p>
        </w:tc>
        <w:tc>
          <w:tcPr>
            <w:tcW w:w="950" w:type="dxa"/>
            <w:tcBorders>
              <w:top w:val="nil"/>
              <w:left w:val="nil"/>
              <w:bottom w:val="nil"/>
              <w:right w:val="nil"/>
            </w:tcBorders>
            <w:shd w:val="clear" w:color="auto" w:fill="auto"/>
            <w:noWrap/>
            <w:vAlign w:val="bottom"/>
            <w:hideMark/>
          </w:tcPr>
          <w:p w:rsidR="00EE1C59" w:rsidRPr="00EE1C59" w:rsidRDefault="00EE1C59" w:rsidP="00EE1C59">
            <w:pPr>
              <w:rPr>
                <w:color w:val="000000"/>
              </w:rPr>
            </w:pPr>
          </w:p>
        </w:tc>
        <w:tc>
          <w:tcPr>
            <w:tcW w:w="1210" w:type="dxa"/>
            <w:gridSpan w:val="2"/>
            <w:tcBorders>
              <w:top w:val="nil"/>
              <w:left w:val="nil"/>
              <w:bottom w:val="nil"/>
              <w:right w:val="nil"/>
            </w:tcBorders>
            <w:shd w:val="clear" w:color="auto" w:fill="auto"/>
            <w:vAlign w:val="bottom"/>
            <w:hideMark/>
          </w:tcPr>
          <w:p w:rsidR="00EE1C59" w:rsidRPr="00EE1C59" w:rsidRDefault="00EE1C59" w:rsidP="00EE1C59">
            <w:pPr>
              <w:jc w:val="center"/>
              <w:rPr>
                <w:color w:val="000000"/>
              </w:rPr>
            </w:pPr>
          </w:p>
        </w:tc>
      </w:tr>
      <w:tr w:rsidR="00EE1C59" w:rsidRPr="00EE1C59" w:rsidTr="00EE1C59">
        <w:trPr>
          <w:trHeight w:val="288"/>
        </w:trPr>
        <w:tc>
          <w:tcPr>
            <w:tcW w:w="3000" w:type="dxa"/>
            <w:gridSpan w:val="2"/>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5"/>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gridSpan w:val="2"/>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gridSpan w:val="2"/>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gridSpan w:val="2"/>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1" w:name="RANGE!A18:B21"/>
            <w:r w:rsidRPr="00EE1C59">
              <w:t>Very Important</w:t>
            </w:r>
            <w:bookmarkEnd w:id="1"/>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76.19%</w:t>
            </w:r>
          </w:p>
        </w:tc>
        <w:tc>
          <w:tcPr>
            <w:tcW w:w="900" w:type="dxa"/>
            <w:gridSpan w:val="2"/>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16</w:t>
            </w:r>
          </w:p>
        </w:tc>
      </w:tr>
      <w:tr w:rsidR="00EE1C59" w:rsidRPr="00EE1C59" w:rsidTr="00EE1C59">
        <w:trPr>
          <w:trHeight w:val="288"/>
        </w:trPr>
        <w:tc>
          <w:tcPr>
            <w:tcW w:w="3000" w:type="dxa"/>
            <w:gridSpan w:val="2"/>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23.81%</w:t>
            </w:r>
          </w:p>
        </w:tc>
        <w:tc>
          <w:tcPr>
            <w:tcW w:w="900" w:type="dxa"/>
            <w:gridSpan w:val="2"/>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5</w:t>
            </w:r>
          </w:p>
        </w:tc>
      </w:tr>
      <w:tr w:rsidR="00EE1C59" w:rsidRPr="00EE1C59" w:rsidTr="00EE1C59">
        <w:trPr>
          <w:trHeight w:val="288"/>
        </w:trPr>
        <w:tc>
          <w:tcPr>
            <w:tcW w:w="3000" w:type="dxa"/>
            <w:gridSpan w:val="2"/>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0.00%</w:t>
            </w:r>
          </w:p>
        </w:tc>
        <w:tc>
          <w:tcPr>
            <w:tcW w:w="900" w:type="dxa"/>
            <w:gridSpan w:val="2"/>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w:t>
            </w:r>
          </w:p>
        </w:tc>
      </w:tr>
      <w:tr w:rsidR="00EE1C59" w:rsidRPr="00EE1C59" w:rsidTr="00EE1C59">
        <w:trPr>
          <w:trHeight w:val="288"/>
        </w:trPr>
        <w:tc>
          <w:tcPr>
            <w:tcW w:w="3000" w:type="dxa"/>
            <w:gridSpan w:val="2"/>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0.00%</w:t>
            </w:r>
          </w:p>
        </w:tc>
        <w:tc>
          <w:tcPr>
            <w:tcW w:w="900" w:type="dxa"/>
            <w:gridSpan w:val="2"/>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w:t>
            </w:r>
          </w:p>
        </w:tc>
      </w:tr>
      <w:tr w:rsidR="00EE1C59" w:rsidRPr="00EE1C59" w:rsidTr="00EE1C59">
        <w:trPr>
          <w:trHeight w:val="288"/>
        </w:trPr>
        <w:tc>
          <w:tcPr>
            <w:tcW w:w="3000" w:type="dxa"/>
            <w:gridSpan w:val="2"/>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gridSpan w:val="3"/>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gridSpan w:val="2"/>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21</w:t>
            </w:r>
          </w:p>
        </w:tc>
      </w:tr>
    </w:tbl>
    <w:p w:rsidR="00EE1C59" w:rsidRPr="00EE1C59" w:rsidRDefault="00EE1C59" w:rsidP="00EE1C59">
      <w:pPr>
        <w:ind w:leftChars="92" w:left="4692" w:hangingChars="1863" w:hanging="4471"/>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Have you or a member of your family used public transit?</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2" w:name="RANGE!A35:B36"/>
            <w:r w:rsidRPr="00EE1C59">
              <w:t>Yes</w:t>
            </w:r>
            <w:bookmarkEnd w:id="2"/>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14.29%</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85.71%</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18</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21</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Expand Mt. Explorer year-round; to go beyond recreation</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3" w:name="RANGE!A52:B55"/>
            <w:r w:rsidRPr="00EE1C59">
              <w:t>Very Important</w:t>
            </w:r>
            <w:bookmarkEnd w:id="3"/>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6</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7</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20</w:t>
            </w:r>
          </w:p>
        </w:tc>
      </w:tr>
    </w:tbl>
    <w:p w:rsidR="00EE1C59" w:rsidRDefault="00EE1C59"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Pr="00EE1C59" w:rsidRDefault="000E59D3"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Expand ¾ mile required for ADA to further distance</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4" w:name="RANGE!A69:B72"/>
            <w:r w:rsidRPr="00EE1C59">
              <w:t>Very Important</w:t>
            </w:r>
            <w:bookmarkEnd w:id="4"/>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7</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6</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20</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Expand L/A to Wilton employment</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5" w:name="RANGE!A86:B89"/>
            <w:r w:rsidRPr="00EE1C59">
              <w:t>Very Important</w:t>
            </w:r>
            <w:bookmarkEnd w:id="5"/>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5</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9</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20</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Student transportation between UMF/CMCC/USM-LA/Bates</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6" w:name="RANGE!A103:B106"/>
            <w:r w:rsidRPr="00EE1C59">
              <w:t>Very Important</w:t>
            </w:r>
            <w:bookmarkEnd w:id="6"/>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47.62%</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28.57%</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6</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14.29%</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9.52%</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w:t>
            </w:r>
          </w:p>
        </w:tc>
      </w:tr>
      <w:tr w:rsidR="00EE1C59" w:rsidRPr="00EE1C59" w:rsidTr="00EE1C59">
        <w:trPr>
          <w:trHeight w:val="390"/>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21</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Marketing/promotion information</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7" w:name="RANGE!A120:B123"/>
            <w:r w:rsidRPr="00EE1C59">
              <w:t>Very Important</w:t>
            </w:r>
            <w:bookmarkEnd w:id="7"/>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80.00%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16</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20</w:t>
            </w:r>
          </w:p>
        </w:tc>
      </w:tr>
    </w:tbl>
    <w:p w:rsidR="00EE1C59" w:rsidRDefault="00EE1C59"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Pr="00EE1C59" w:rsidRDefault="000E59D3"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Funding for transportation/transit planning for small communities</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8" w:name="RANGE!A137:B140"/>
            <w:r w:rsidRPr="00EE1C59">
              <w:t>Very Important</w:t>
            </w:r>
            <w:bookmarkEnd w:id="8"/>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75.00%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15</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20</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 xml:space="preserve">Flex route from </w:t>
      </w:r>
      <w:proofErr w:type="spellStart"/>
      <w:r w:rsidRPr="00EE1C59">
        <w:rPr>
          <w:color w:val="000000" w:themeColor="text1"/>
          <w:szCs w:val="24"/>
        </w:rPr>
        <w:t>Dixfield</w:t>
      </w:r>
      <w:proofErr w:type="spellEnd"/>
      <w:r w:rsidRPr="00EE1C59">
        <w:rPr>
          <w:color w:val="000000" w:themeColor="text1"/>
          <w:szCs w:val="24"/>
        </w:rPr>
        <w:t>/Rumford to Bethel area</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9" w:name="RANGE!A154:B157"/>
            <w:r w:rsidRPr="00EE1C59">
              <w:t>Very Important</w:t>
            </w:r>
            <w:bookmarkEnd w:id="9"/>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47.62%</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19.05%</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9.52%</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23.81%</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5</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21</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Increase options for low income</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10" w:name="RANGE!A171:B174"/>
            <w:r w:rsidRPr="00EE1C59">
              <w:t>Very Important</w:t>
            </w:r>
            <w:bookmarkEnd w:id="10"/>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71.43%</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15</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19.05%</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9.52%</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21</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Route 4 commuter corridor L/A to Farmington/Rumford</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11" w:name="RANGE!A188:B191"/>
            <w:r w:rsidRPr="00EE1C59">
              <w:t>Very Important</w:t>
            </w:r>
            <w:bookmarkEnd w:id="11"/>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47.62%</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19.05%</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14.29%</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19.05%</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21</w:t>
            </w:r>
          </w:p>
        </w:tc>
      </w:tr>
    </w:tbl>
    <w:p w:rsidR="00EE1C59" w:rsidRDefault="00EE1C59"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Pr="00EE1C59" w:rsidRDefault="000E59D3"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Transit to employment hubs</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12" w:name="RANGE!A205:B208"/>
            <w:r w:rsidRPr="00EE1C59">
              <w:t>Very Important</w:t>
            </w:r>
            <w:bookmarkEnd w:id="12"/>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65.00%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13</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7</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20</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Sunday service</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13" w:name="RANGE!A222:B225"/>
            <w:r w:rsidRPr="00EE1C59">
              <w:t>Very Important</w:t>
            </w:r>
            <w:bookmarkEnd w:id="13"/>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8</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20</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Evening service – L/A</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14" w:name="RANGE!A239:B242"/>
            <w:r w:rsidRPr="00EE1C59">
              <w:t>Very Important</w:t>
            </w:r>
            <w:bookmarkEnd w:id="14"/>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28.57%</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6</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38.10%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8</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19.05%</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14.29%</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21</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Expand Saturday service – L/A</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15" w:name="RANGE!A256:B259"/>
            <w:r w:rsidRPr="00EE1C59">
              <w:t>Very Important</w:t>
            </w:r>
            <w:bookmarkEnd w:id="15"/>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38.10%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8</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28.57%</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6</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14.29%</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19.05%</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21</w:t>
            </w:r>
          </w:p>
        </w:tc>
      </w:tr>
    </w:tbl>
    <w:p w:rsidR="00EE1C59" w:rsidRDefault="00EE1C59"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Pr="00EE1C59" w:rsidRDefault="000E59D3"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Service to Airport – L/A</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16" w:name="RANGE!A273:B276"/>
            <w:r w:rsidRPr="00EE1C59">
              <w:t>Very Important</w:t>
            </w:r>
            <w:bookmarkEnd w:id="16"/>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18.18%</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36.36%</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8</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22.73%</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5</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22.73%</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5</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22</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Expand service area</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17" w:name="RANGE!A290:B293"/>
            <w:r w:rsidRPr="00EE1C59">
              <w:t>Very Important</w:t>
            </w:r>
            <w:bookmarkEnd w:id="17"/>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42.86%</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9</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42.86%</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9</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14.29%</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21</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Healthcare transportation</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18" w:name="RANGE!A307:B310"/>
            <w:r w:rsidRPr="00EE1C59">
              <w:t>Very Important</w:t>
            </w:r>
            <w:bookmarkEnd w:id="18"/>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59.09%</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13</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36.36%</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8</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4.55%</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22</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Transportation to shopping</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19" w:name="RANGE!A324:B327"/>
            <w:r w:rsidRPr="00EE1C59">
              <w:t>Very Important</w:t>
            </w:r>
            <w:bookmarkEnd w:id="19"/>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45.45%</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45.45%</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4.55%</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4.55%</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22</w:t>
            </w:r>
          </w:p>
        </w:tc>
      </w:tr>
    </w:tbl>
    <w:p w:rsidR="00EE1C59" w:rsidRDefault="00EE1C59"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Default="000E59D3" w:rsidP="00EE1C59">
      <w:pPr>
        <w:rPr>
          <w:color w:val="000000" w:themeColor="text1"/>
        </w:rPr>
      </w:pPr>
    </w:p>
    <w:p w:rsidR="000E59D3" w:rsidRPr="00EE1C59" w:rsidRDefault="000E59D3"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Rideshare on-demand</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20" w:name="RANGE!A341:B344"/>
            <w:r w:rsidRPr="00EE1C59">
              <w:t>Very Important</w:t>
            </w:r>
            <w:bookmarkEnd w:id="20"/>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8</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7</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25.00%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5</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20</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Replace equipment</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21" w:name="RANGE!A358:B361"/>
            <w:r w:rsidRPr="00EE1C59">
              <w:t>Very Important</w:t>
            </w:r>
            <w:bookmarkEnd w:id="21"/>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71.43%</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15</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23.81%</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5</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4.76%</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21</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Connect to other modes</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22" w:name="RANGE!A375:B378"/>
            <w:r w:rsidRPr="00EE1C59">
              <w:t>Very Important</w:t>
            </w:r>
            <w:bookmarkEnd w:id="22"/>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61.90%</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13</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23.81%</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5</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4.76%</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9.52%</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21</w:t>
            </w:r>
          </w:p>
        </w:tc>
      </w:tr>
    </w:tbl>
    <w:p w:rsidR="00EE1C59" w:rsidRPr="00EE1C59" w:rsidRDefault="00EE1C59" w:rsidP="00EE1C59">
      <w:pPr>
        <w:rPr>
          <w:color w:val="000000" w:themeColor="text1"/>
        </w:rPr>
      </w:pPr>
    </w:p>
    <w:p w:rsidR="00EE1C59" w:rsidRPr="00EE1C59" w:rsidRDefault="00EE1C59" w:rsidP="00EE1C59">
      <w:pPr>
        <w:pStyle w:val="ListParagraph"/>
        <w:numPr>
          <w:ilvl w:val="0"/>
          <w:numId w:val="7"/>
        </w:numPr>
        <w:rPr>
          <w:color w:val="000000" w:themeColor="text1"/>
          <w:szCs w:val="24"/>
        </w:rPr>
      </w:pPr>
      <w:r w:rsidRPr="00EE1C59">
        <w:rPr>
          <w:color w:val="000000" w:themeColor="text1"/>
          <w:szCs w:val="24"/>
        </w:rPr>
        <w:t>Undercarriage bus wash</w:t>
      </w:r>
    </w:p>
    <w:p w:rsidR="00EE1C59" w:rsidRPr="00EE1C59" w:rsidRDefault="00EE1C59" w:rsidP="00EE1C59">
      <w:pPr>
        <w:rPr>
          <w:color w:val="000000" w:themeColor="text1"/>
        </w:rPr>
      </w:pPr>
    </w:p>
    <w:tbl>
      <w:tblPr>
        <w:tblW w:w="5355" w:type="dxa"/>
        <w:tblInd w:w="-27" w:type="dxa"/>
        <w:tblLook w:val="04A0" w:firstRow="1" w:lastRow="0" w:firstColumn="1" w:lastColumn="0" w:noHBand="0" w:noVBand="1"/>
      </w:tblPr>
      <w:tblGrid>
        <w:gridCol w:w="3000"/>
        <w:gridCol w:w="1455"/>
        <w:gridCol w:w="900"/>
      </w:tblGrid>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EE1C59" w:rsidRPr="00EE1C59" w:rsidRDefault="00EE1C59" w:rsidP="00EE1C59">
            <w:pPr>
              <w:jc w:val="center"/>
              <w:rPr>
                <w:b/>
                <w:bCs/>
                <w:color w:val="FFFFFF"/>
              </w:rPr>
            </w:pPr>
            <w:r w:rsidRPr="00EE1C59">
              <w:rPr>
                <w:b/>
                <w:bCs/>
                <w:color w:val="FFFFFF"/>
              </w:rPr>
              <w:t>Responses</w:t>
            </w:r>
          </w:p>
        </w:tc>
      </w:tr>
      <w:tr w:rsidR="00EE1C59" w:rsidRPr="00EE1C59" w:rsidTr="00EE1C59">
        <w:trPr>
          <w:trHeight w:val="288"/>
        </w:trPr>
        <w:tc>
          <w:tcPr>
            <w:tcW w:w="3000" w:type="dxa"/>
            <w:tcBorders>
              <w:top w:val="nil"/>
              <w:left w:val="nil"/>
              <w:bottom w:val="nil"/>
              <w:right w:val="nil"/>
            </w:tcBorders>
            <w:shd w:val="clear" w:color="FFFFFF" w:fill="FFFFFF"/>
            <w:noWrap/>
            <w:vAlign w:val="bottom"/>
            <w:hideMark/>
          </w:tcPr>
          <w:p w:rsidR="00EE1C59" w:rsidRPr="00EE1C59" w:rsidRDefault="00EE1C59" w:rsidP="00EE1C59">
            <w:pPr>
              <w:ind w:firstLineChars="100" w:firstLine="240"/>
              <w:rPr>
                <w:color w:val="000000"/>
              </w:rPr>
            </w:pPr>
            <w:r w:rsidRPr="00EE1C59">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jc w:val="center"/>
              <w:rPr>
                <w:b/>
                <w:bCs/>
              </w:rPr>
            </w:pPr>
            <w:r w:rsidRPr="00EE1C59">
              <w:rPr>
                <w:b/>
                <w:bCs/>
              </w:rPr>
              <w:t>Count</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bookmarkStart w:id="23" w:name="RANGE!A392:B395"/>
            <w:r w:rsidRPr="00EE1C59">
              <w:t>Very Important</w:t>
            </w:r>
            <w:bookmarkEnd w:id="23"/>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47.62%</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10</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14.29%</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3</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9.52%</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0"/>
              <w:jc w:val="right"/>
            </w:pPr>
            <w:r w:rsidRPr="00EE1C59">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28.57%</w:t>
            </w:r>
          </w:p>
        </w:tc>
        <w:tc>
          <w:tcPr>
            <w:tcW w:w="900" w:type="dxa"/>
            <w:tcBorders>
              <w:top w:val="nil"/>
              <w:left w:val="nil"/>
              <w:bottom w:val="single" w:sz="4" w:space="0" w:color="000000"/>
              <w:right w:val="single" w:sz="4" w:space="0" w:color="000000"/>
            </w:tcBorders>
            <w:shd w:val="clear" w:color="FFFFFF" w:fill="FFFFFF"/>
            <w:noWrap/>
            <w:vAlign w:val="center"/>
            <w:hideMark/>
          </w:tcPr>
          <w:p w:rsidR="00EE1C59" w:rsidRPr="00EE1C59" w:rsidRDefault="00EE1C59" w:rsidP="00EE1C59">
            <w:pPr>
              <w:ind w:firstLineChars="100" w:firstLine="240"/>
              <w:jc w:val="right"/>
            </w:pPr>
            <w:r w:rsidRPr="00EE1C59">
              <w:t>6</w:t>
            </w:r>
          </w:p>
        </w:tc>
      </w:tr>
      <w:tr w:rsidR="00EE1C59" w:rsidRPr="00EE1C59" w:rsidTr="00EE1C59">
        <w:trPr>
          <w:trHeight w:val="288"/>
        </w:trPr>
        <w:tc>
          <w:tcPr>
            <w:tcW w:w="3000" w:type="dxa"/>
            <w:tcBorders>
              <w:top w:val="nil"/>
              <w:left w:val="nil"/>
              <w:bottom w:val="nil"/>
              <w:right w:val="nil"/>
            </w:tcBorders>
            <w:shd w:val="clear" w:color="FFFFFF" w:fill="FFFFFF"/>
            <w:noWrap/>
            <w:vAlign w:val="center"/>
            <w:hideMark/>
          </w:tcPr>
          <w:p w:rsidR="00EE1C59" w:rsidRPr="00EE1C59" w:rsidRDefault="00EE1C59" w:rsidP="00EE1C59">
            <w:pPr>
              <w:ind w:firstLineChars="100" w:firstLine="241"/>
              <w:jc w:val="right"/>
              <w:rPr>
                <w:b/>
                <w:bCs/>
              </w:rPr>
            </w:pPr>
            <w:r w:rsidRPr="00EE1C59">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EE1C59" w:rsidRPr="00EE1C59" w:rsidRDefault="00EE1C59" w:rsidP="00EE1C59">
            <w:pPr>
              <w:ind w:firstLineChars="100" w:firstLine="241"/>
              <w:jc w:val="right"/>
              <w:rPr>
                <w:b/>
                <w:bCs/>
              </w:rPr>
            </w:pPr>
            <w:r w:rsidRPr="00EE1C59">
              <w:rPr>
                <w:b/>
                <w:bCs/>
              </w:rPr>
              <w:t>21</w:t>
            </w:r>
          </w:p>
        </w:tc>
      </w:tr>
    </w:tbl>
    <w:p w:rsidR="00EE1C59" w:rsidRPr="00EE1C59" w:rsidRDefault="00EE1C59" w:rsidP="00EE1C59">
      <w:pPr>
        <w:rPr>
          <w:color w:val="000000" w:themeColor="text1"/>
        </w:rPr>
      </w:pPr>
    </w:p>
    <w:p w:rsidR="00EE1C59" w:rsidRPr="00EE1C59" w:rsidRDefault="00EE1C59" w:rsidP="00EE1C59">
      <w:pPr>
        <w:rPr>
          <w:color w:val="000000" w:themeColor="text1"/>
        </w:rPr>
      </w:pPr>
    </w:p>
    <w:p w:rsidR="008F042F" w:rsidRPr="00EE1C59" w:rsidRDefault="008F042F" w:rsidP="00DD6B76">
      <w:pPr>
        <w:pStyle w:val="ListParagraph"/>
        <w:ind w:left="360"/>
        <w:rPr>
          <w:color w:val="FF0000"/>
          <w:szCs w:val="24"/>
        </w:rPr>
      </w:pPr>
    </w:p>
    <w:p w:rsidR="00E611F2" w:rsidRPr="00EE1C59" w:rsidRDefault="00E611F2" w:rsidP="00DD6B76">
      <w:pPr>
        <w:pStyle w:val="ListParagraph"/>
        <w:ind w:left="360"/>
        <w:rPr>
          <w:color w:val="FF0000"/>
          <w:szCs w:val="24"/>
        </w:rPr>
      </w:pPr>
    </w:p>
    <w:p w:rsidR="00E611F2" w:rsidRPr="006C655A" w:rsidRDefault="00E611F2" w:rsidP="00DD6B76">
      <w:pPr>
        <w:pStyle w:val="ListParagraph"/>
        <w:ind w:left="360"/>
        <w:rPr>
          <w:color w:val="FF0000"/>
        </w:rPr>
      </w:pPr>
    </w:p>
    <w:p w:rsidR="000E59D3" w:rsidRDefault="000E59D3" w:rsidP="00DD6B76">
      <w:pPr>
        <w:pStyle w:val="ListParagraph"/>
        <w:ind w:left="0"/>
        <w:rPr>
          <w:b/>
          <w:color w:val="000000" w:themeColor="text1"/>
          <w:sz w:val="28"/>
          <w:szCs w:val="28"/>
        </w:rPr>
      </w:pPr>
    </w:p>
    <w:p w:rsidR="00DD6B76" w:rsidRPr="00EE1C59" w:rsidRDefault="00DD6B76" w:rsidP="00DD6B76">
      <w:pPr>
        <w:pStyle w:val="ListParagraph"/>
        <w:ind w:left="0"/>
        <w:rPr>
          <w:b/>
          <w:color w:val="000000" w:themeColor="text1"/>
          <w:sz w:val="28"/>
          <w:szCs w:val="28"/>
        </w:rPr>
      </w:pPr>
      <w:r w:rsidRPr="00EE1C59">
        <w:rPr>
          <w:b/>
          <w:color w:val="000000" w:themeColor="text1"/>
          <w:sz w:val="28"/>
          <w:szCs w:val="28"/>
        </w:rPr>
        <w:t>One-Way Trips FY 2013 – 2016</w:t>
      </w:r>
    </w:p>
    <w:p w:rsidR="00DD6B76" w:rsidRPr="00EE1C59" w:rsidRDefault="00DD6B76" w:rsidP="00DD6B76">
      <w:pPr>
        <w:pStyle w:val="ListParagraph"/>
        <w:ind w:left="0"/>
        <w:rPr>
          <w:color w:val="000000" w:themeColor="text1"/>
        </w:rPr>
      </w:pPr>
    </w:p>
    <w:p w:rsidR="006665A8" w:rsidRDefault="00EE1C59" w:rsidP="004A60B3">
      <w:pPr>
        <w:ind w:left="540"/>
        <w:rPr>
          <w:b/>
          <w:color w:val="000000" w:themeColor="text1"/>
          <w:sz w:val="28"/>
          <w:szCs w:val="28"/>
        </w:rPr>
      </w:pPr>
      <w:r>
        <w:rPr>
          <w:b/>
          <w:color w:val="000000" w:themeColor="text1"/>
          <w:sz w:val="28"/>
          <w:szCs w:val="28"/>
        </w:rPr>
        <w:t>Western Maine Transportation Services</w:t>
      </w:r>
    </w:p>
    <w:p w:rsidR="00EE1C59" w:rsidRDefault="00EE1C59" w:rsidP="004A60B3">
      <w:pPr>
        <w:ind w:left="540"/>
        <w:rPr>
          <w:b/>
          <w:color w:val="000000" w:themeColor="text1"/>
          <w:sz w:val="28"/>
          <w:szCs w:val="28"/>
        </w:rPr>
      </w:pPr>
    </w:p>
    <w:tbl>
      <w:tblPr>
        <w:tblW w:w="8806" w:type="dxa"/>
        <w:jc w:val="center"/>
        <w:tblInd w:w="1850" w:type="dxa"/>
        <w:tblLayout w:type="fixed"/>
        <w:tblCellMar>
          <w:left w:w="120" w:type="dxa"/>
          <w:right w:w="120" w:type="dxa"/>
        </w:tblCellMar>
        <w:tblLook w:val="04A0" w:firstRow="1" w:lastRow="0" w:firstColumn="1" w:lastColumn="0" w:noHBand="0" w:noVBand="1"/>
      </w:tblPr>
      <w:tblGrid>
        <w:gridCol w:w="3240"/>
        <w:gridCol w:w="1391"/>
        <w:gridCol w:w="1392"/>
        <w:gridCol w:w="1391"/>
        <w:gridCol w:w="1392"/>
      </w:tblGrid>
      <w:tr w:rsidR="00EE1C59" w:rsidRPr="008A7D72" w:rsidTr="00EE1C59">
        <w:trPr>
          <w:cantSplit/>
          <w:trHeight w:val="402"/>
          <w:jc w:val="center"/>
        </w:trPr>
        <w:tc>
          <w:tcPr>
            <w:tcW w:w="8806" w:type="dxa"/>
            <w:gridSpan w:val="5"/>
            <w:tcBorders>
              <w:top w:val="single" w:sz="6" w:space="0" w:color="auto"/>
              <w:left w:val="single" w:sz="6" w:space="0" w:color="auto"/>
              <w:bottom w:val="nil"/>
              <w:right w:val="single" w:sz="6" w:space="0" w:color="auto"/>
            </w:tcBorders>
          </w:tcPr>
          <w:p w:rsidR="00EE1C59" w:rsidRPr="008A7D72" w:rsidRDefault="00EE1C59" w:rsidP="00EE1C59">
            <w:pPr>
              <w:jc w:val="center"/>
              <w:rPr>
                <w:b/>
              </w:rPr>
            </w:pPr>
          </w:p>
          <w:p w:rsidR="00EE1C59" w:rsidRPr="008A7D72" w:rsidRDefault="00480E1B" w:rsidP="00EE1C59">
            <w:pPr>
              <w:jc w:val="center"/>
              <w:rPr>
                <w:b/>
              </w:rPr>
            </w:pPr>
            <w:r>
              <w:rPr>
                <w:b/>
              </w:rPr>
              <w:t xml:space="preserve">WMTS </w:t>
            </w:r>
            <w:r w:rsidR="00EE1C59" w:rsidRPr="008A7D72">
              <w:rPr>
                <w:b/>
              </w:rPr>
              <w:t>Explorer Services</w:t>
            </w:r>
          </w:p>
          <w:p w:rsidR="00EE1C59" w:rsidRPr="008A7D72" w:rsidRDefault="00EE1C59" w:rsidP="00EE1C59">
            <w:pPr>
              <w:jc w:val="center"/>
              <w:rPr>
                <w:b/>
              </w:rPr>
            </w:pPr>
            <w:r w:rsidRPr="008A7D72">
              <w:rPr>
                <w:b/>
              </w:rPr>
              <w:t>General Public Flex Route Trips</w:t>
            </w:r>
          </w:p>
          <w:p w:rsidR="00EE1C59" w:rsidRPr="008A7D72" w:rsidRDefault="00EE1C59" w:rsidP="00EE1C59">
            <w:pPr>
              <w:jc w:val="center"/>
              <w:rPr>
                <w:b/>
              </w:rPr>
            </w:pPr>
          </w:p>
        </w:tc>
      </w:tr>
      <w:tr w:rsidR="00EE1C59" w:rsidRPr="008A7D72" w:rsidTr="00480E1B">
        <w:trPr>
          <w:cantSplit/>
          <w:trHeight w:val="288"/>
          <w:jc w:val="center"/>
        </w:trPr>
        <w:tc>
          <w:tcPr>
            <w:tcW w:w="3240" w:type="dxa"/>
            <w:tcBorders>
              <w:top w:val="single" w:sz="6" w:space="0" w:color="auto"/>
              <w:left w:val="single" w:sz="6" w:space="0" w:color="auto"/>
              <w:bottom w:val="nil"/>
              <w:right w:val="nil"/>
            </w:tcBorders>
          </w:tcPr>
          <w:p w:rsidR="00EE1C59" w:rsidRPr="008A7D72" w:rsidRDefault="00EE1C59" w:rsidP="00EE1C59"/>
        </w:tc>
        <w:tc>
          <w:tcPr>
            <w:tcW w:w="1391" w:type="dxa"/>
            <w:tcBorders>
              <w:top w:val="single" w:sz="6" w:space="0" w:color="auto"/>
              <w:left w:val="single" w:sz="6" w:space="0" w:color="auto"/>
              <w:bottom w:val="nil"/>
              <w:right w:val="nil"/>
            </w:tcBorders>
            <w:hideMark/>
          </w:tcPr>
          <w:p w:rsidR="00EE1C59" w:rsidRPr="008A7D72" w:rsidRDefault="00EE1C59" w:rsidP="00EE1C59">
            <w:pPr>
              <w:jc w:val="center"/>
              <w:rPr>
                <w:b/>
              </w:rPr>
            </w:pPr>
            <w:r w:rsidRPr="008A7D72">
              <w:rPr>
                <w:b/>
              </w:rPr>
              <w:t>FY 2013</w:t>
            </w:r>
          </w:p>
        </w:tc>
        <w:tc>
          <w:tcPr>
            <w:tcW w:w="1392" w:type="dxa"/>
            <w:tcBorders>
              <w:top w:val="single" w:sz="6" w:space="0" w:color="auto"/>
              <w:left w:val="single" w:sz="6" w:space="0" w:color="auto"/>
              <w:bottom w:val="nil"/>
              <w:right w:val="nil"/>
            </w:tcBorders>
            <w:hideMark/>
          </w:tcPr>
          <w:p w:rsidR="00EE1C59" w:rsidRPr="008A7D72" w:rsidRDefault="00EE1C59" w:rsidP="00EE1C59">
            <w:pPr>
              <w:jc w:val="center"/>
              <w:rPr>
                <w:b/>
              </w:rPr>
            </w:pPr>
            <w:r w:rsidRPr="008A7D72">
              <w:rPr>
                <w:b/>
              </w:rPr>
              <w:t>FY 2014</w:t>
            </w:r>
          </w:p>
        </w:tc>
        <w:tc>
          <w:tcPr>
            <w:tcW w:w="1391" w:type="dxa"/>
            <w:tcBorders>
              <w:top w:val="single" w:sz="6" w:space="0" w:color="auto"/>
              <w:left w:val="single" w:sz="6" w:space="0" w:color="auto"/>
              <w:bottom w:val="nil"/>
              <w:right w:val="nil"/>
            </w:tcBorders>
            <w:hideMark/>
          </w:tcPr>
          <w:p w:rsidR="00EE1C59" w:rsidRPr="008A7D72" w:rsidRDefault="00EE1C59" w:rsidP="00EE1C59">
            <w:pPr>
              <w:jc w:val="center"/>
              <w:rPr>
                <w:b/>
              </w:rPr>
            </w:pPr>
            <w:r w:rsidRPr="008A7D72">
              <w:rPr>
                <w:b/>
              </w:rPr>
              <w:t>FY 2015</w:t>
            </w:r>
          </w:p>
        </w:tc>
        <w:tc>
          <w:tcPr>
            <w:tcW w:w="1392" w:type="dxa"/>
            <w:tcBorders>
              <w:top w:val="single" w:sz="6" w:space="0" w:color="auto"/>
              <w:left w:val="single" w:sz="6" w:space="0" w:color="auto"/>
              <w:bottom w:val="nil"/>
              <w:right w:val="single" w:sz="6" w:space="0" w:color="auto"/>
            </w:tcBorders>
            <w:hideMark/>
          </w:tcPr>
          <w:p w:rsidR="00EE1C59" w:rsidRPr="008A7D72" w:rsidRDefault="00EE1C59" w:rsidP="00EE1C59">
            <w:pPr>
              <w:jc w:val="center"/>
              <w:rPr>
                <w:b/>
              </w:rPr>
            </w:pPr>
            <w:r w:rsidRPr="008A7D72">
              <w:rPr>
                <w:b/>
              </w:rPr>
              <w:t>FY 2016</w:t>
            </w:r>
          </w:p>
        </w:tc>
      </w:tr>
      <w:tr w:rsidR="00EE1C59" w:rsidRPr="008A7D72" w:rsidTr="00480E1B">
        <w:trPr>
          <w:cantSplit/>
          <w:trHeight w:val="288"/>
          <w:jc w:val="center"/>
        </w:trPr>
        <w:tc>
          <w:tcPr>
            <w:tcW w:w="3240" w:type="dxa"/>
            <w:tcBorders>
              <w:top w:val="single" w:sz="6" w:space="0" w:color="auto"/>
              <w:left w:val="single" w:sz="6" w:space="0" w:color="auto"/>
              <w:bottom w:val="nil"/>
              <w:right w:val="nil"/>
            </w:tcBorders>
            <w:hideMark/>
          </w:tcPr>
          <w:p w:rsidR="00EE1C59" w:rsidRPr="008A7D72" w:rsidRDefault="00EE1C59" w:rsidP="00EE1C59">
            <w:r w:rsidRPr="008A7D72">
              <w:t>Mountain Explorer (seasonal)</w:t>
            </w:r>
          </w:p>
        </w:tc>
        <w:tc>
          <w:tcPr>
            <w:tcW w:w="1391" w:type="dxa"/>
            <w:tcBorders>
              <w:top w:val="single" w:sz="6" w:space="0" w:color="auto"/>
              <w:left w:val="single" w:sz="6" w:space="0" w:color="auto"/>
              <w:bottom w:val="nil"/>
              <w:right w:val="nil"/>
            </w:tcBorders>
            <w:hideMark/>
          </w:tcPr>
          <w:p w:rsidR="00EE1C59" w:rsidRPr="008A7D72" w:rsidRDefault="00EE1C59" w:rsidP="00EE1C59">
            <w:pPr>
              <w:jc w:val="center"/>
            </w:pPr>
            <w:r w:rsidRPr="008A7D72">
              <w:t>23,725</w:t>
            </w:r>
          </w:p>
        </w:tc>
        <w:tc>
          <w:tcPr>
            <w:tcW w:w="1392" w:type="dxa"/>
            <w:tcBorders>
              <w:top w:val="single" w:sz="6" w:space="0" w:color="auto"/>
              <w:left w:val="single" w:sz="6" w:space="0" w:color="auto"/>
              <w:bottom w:val="nil"/>
              <w:right w:val="nil"/>
            </w:tcBorders>
            <w:hideMark/>
          </w:tcPr>
          <w:p w:rsidR="00EE1C59" w:rsidRPr="008A7D72" w:rsidRDefault="00EE1C59" w:rsidP="00EE1C59">
            <w:pPr>
              <w:jc w:val="center"/>
            </w:pPr>
            <w:r w:rsidRPr="008A7D72">
              <w:t>16,818</w:t>
            </w:r>
          </w:p>
        </w:tc>
        <w:tc>
          <w:tcPr>
            <w:tcW w:w="1391" w:type="dxa"/>
            <w:tcBorders>
              <w:top w:val="single" w:sz="6" w:space="0" w:color="auto"/>
              <w:left w:val="single" w:sz="6" w:space="0" w:color="auto"/>
              <w:bottom w:val="nil"/>
              <w:right w:val="nil"/>
            </w:tcBorders>
            <w:hideMark/>
          </w:tcPr>
          <w:p w:rsidR="00EE1C59" w:rsidRPr="008A7D72" w:rsidRDefault="00EE1C59" w:rsidP="00EE1C59">
            <w:pPr>
              <w:jc w:val="center"/>
            </w:pPr>
            <w:r w:rsidRPr="008A7D72">
              <w:t>15,570</w:t>
            </w:r>
          </w:p>
        </w:tc>
        <w:tc>
          <w:tcPr>
            <w:tcW w:w="1392" w:type="dxa"/>
            <w:tcBorders>
              <w:top w:val="single" w:sz="6" w:space="0" w:color="auto"/>
              <w:left w:val="single" w:sz="6" w:space="0" w:color="auto"/>
              <w:bottom w:val="nil"/>
              <w:right w:val="single" w:sz="6" w:space="0" w:color="auto"/>
            </w:tcBorders>
            <w:hideMark/>
          </w:tcPr>
          <w:p w:rsidR="00EE1C59" w:rsidRPr="008A7D72" w:rsidRDefault="00EE1C59" w:rsidP="00EE1C59">
            <w:pPr>
              <w:jc w:val="center"/>
            </w:pPr>
            <w:r w:rsidRPr="008A7D72">
              <w:t>19,219</w:t>
            </w:r>
          </w:p>
        </w:tc>
      </w:tr>
      <w:tr w:rsidR="00EE1C59" w:rsidRPr="008A7D72" w:rsidTr="00480E1B">
        <w:trPr>
          <w:cantSplit/>
          <w:trHeight w:val="288"/>
          <w:jc w:val="center"/>
        </w:trPr>
        <w:tc>
          <w:tcPr>
            <w:tcW w:w="3240" w:type="dxa"/>
            <w:tcBorders>
              <w:top w:val="single" w:sz="6" w:space="0" w:color="auto"/>
              <w:left w:val="single" w:sz="6" w:space="0" w:color="auto"/>
              <w:bottom w:val="nil"/>
              <w:right w:val="nil"/>
            </w:tcBorders>
            <w:hideMark/>
          </w:tcPr>
          <w:p w:rsidR="00EE1C59" w:rsidRPr="008A7D72" w:rsidRDefault="00EE1C59" w:rsidP="00EE1C59">
            <w:r w:rsidRPr="008A7D72">
              <w:t>Sugarloaf Explorer (seasonal)</w:t>
            </w:r>
          </w:p>
        </w:tc>
        <w:tc>
          <w:tcPr>
            <w:tcW w:w="1391" w:type="dxa"/>
            <w:tcBorders>
              <w:top w:val="single" w:sz="6" w:space="0" w:color="auto"/>
              <w:left w:val="single" w:sz="6" w:space="0" w:color="auto"/>
              <w:bottom w:val="nil"/>
              <w:right w:val="nil"/>
            </w:tcBorders>
            <w:hideMark/>
          </w:tcPr>
          <w:p w:rsidR="00EE1C59" w:rsidRPr="008A7D72" w:rsidRDefault="00EE1C59" w:rsidP="00EE1C59">
            <w:pPr>
              <w:jc w:val="center"/>
            </w:pPr>
            <w:r w:rsidRPr="008A7D72">
              <w:t>149,862</w:t>
            </w:r>
          </w:p>
        </w:tc>
        <w:tc>
          <w:tcPr>
            <w:tcW w:w="1392" w:type="dxa"/>
            <w:tcBorders>
              <w:top w:val="single" w:sz="6" w:space="0" w:color="auto"/>
              <w:left w:val="single" w:sz="6" w:space="0" w:color="auto"/>
              <w:bottom w:val="nil"/>
              <w:right w:val="nil"/>
            </w:tcBorders>
            <w:hideMark/>
          </w:tcPr>
          <w:p w:rsidR="00EE1C59" w:rsidRPr="008A7D72" w:rsidRDefault="00EE1C59" w:rsidP="00EE1C59">
            <w:pPr>
              <w:jc w:val="center"/>
            </w:pPr>
            <w:r w:rsidRPr="008A7D72">
              <w:t>134,989</w:t>
            </w:r>
          </w:p>
        </w:tc>
        <w:tc>
          <w:tcPr>
            <w:tcW w:w="1391" w:type="dxa"/>
            <w:tcBorders>
              <w:top w:val="single" w:sz="6" w:space="0" w:color="auto"/>
              <w:left w:val="single" w:sz="6" w:space="0" w:color="auto"/>
              <w:bottom w:val="nil"/>
              <w:right w:val="nil"/>
            </w:tcBorders>
            <w:hideMark/>
          </w:tcPr>
          <w:p w:rsidR="00EE1C59" w:rsidRPr="008A7D72" w:rsidRDefault="00EE1C59" w:rsidP="00EE1C59">
            <w:pPr>
              <w:jc w:val="center"/>
            </w:pPr>
            <w:r w:rsidRPr="008A7D72">
              <w:t>128,181</w:t>
            </w:r>
          </w:p>
        </w:tc>
        <w:tc>
          <w:tcPr>
            <w:tcW w:w="1392" w:type="dxa"/>
            <w:tcBorders>
              <w:top w:val="single" w:sz="6" w:space="0" w:color="auto"/>
              <w:left w:val="single" w:sz="6" w:space="0" w:color="auto"/>
              <w:bottom w:val="nil"/>
              <w:right w:val="single" w:sz="6" w:space="0" w:color="auto"/>
            </w:tcBorders>
            <w:hideMark/>
          </w:tcPr>
          <w:p w:rsidR="00EE1C59" w:rsidRPr="008A7D72" w:rsidRDefault="00EE1C59" w:rsidP="00EE1C59">
            <w:pPr>
              <w:jc w:val="center"/>
            </w:pPr>
            <w:r w:rsidRPr="008A7D72">
              <w:t>113,225</w:t>
            </w:r>
          </w:p>
        </w:tc>
      </w:tr>
      <w:tr w:rsidR="00EE1C59" w:rsidRPr="008A7D72" w:rsidTr="00480E1B">
        <w:trPr>
          <w:cantSplit/>
          <w:trHeight w:val="543"/>
          <w:jc w:val="center"/>
        </w:trPr>
        <w:tc>
          <w:tcPr>
            <w:tcW w:w="3240" w:type="dxa"/>
            <w:tcBorders>
              <w:top w:val="single" w:sz="6" w:space="0" w:color="auto"/>
              <w:left w:val="single" w:sz="6" w:space="0" w:color="auto"/>
              <w:bottom w:val="nil"/>
              <w:right w:val="nil"/>
            </w:tcBorders>
            <w:hideMark/>
          </w:tcPr>
          <w:p w:rsidR="00EE1C59" w:rsidRPr="008A7D72" w:rsidRDefault="00EE1C59" w:rsidP="00EE1C59">
            <w:r w:rsidRPr="008A7D72">
              <w:t>*Brunswick Explorer (assumed operation 4/25/2016)( year-round)</w:t>
            </w:r>
          </w:p>
        </w:tc>
        <w:tc>
          <w:tcPr>
            <w:tcW w:w="1391" w:type="dxa"/>
            <w:tcBorders>
              <w:top w:val="single" w:sz="6" w:space="0" w:color="auto"/>
              <w:left w:val="single" w:sz="6" w:space="0" w:color="auto"/>
              <w:bottom w:val="nil"/>
              <w:right w:val="nil"/>
            </w:tcBorders>
            <w:hideMark/>
          </w:tcPr>
          <w:p w:rsidR="00EE1C59" w:rsidRPr="008A7D72" w:rsidRDefault="00EE1C59" w:rsidP="00EE1C59">
            <w:pPr>
              <w:jc w:val="center"/>
            </w:pPr>
            <w:r w:rsidRPr="008A7D72">
              <w:t>N/A</w:t>
            </w:r>
          </w:p>
        </w:tc>
        <w:tc>
          <w:tcPr>
            <w:tcW w:w="1392" w:type="dxa"/>
            <w:tcBorders>
              <w:top w:val="single" w:sz="6" w:space="0" w:color="auto"/>
              <w:left w:val="single" w:sz="6" w:space="0" w:color="auto"/>
              <w:bottom w:val="nil"/>
              <w:right w:val="nil"/>
            </w:tcBorders>
            <w:hideMark/>
          </w:tcPr>
          <w:p w:rsidR="00EE1C59" w:rsidRPr="008A7D72" w:rsidRDefault="00EE1C59" w:rsidP="00EE1C59">
            <w:pPr>
              <w:jc w:val="center"/>
            </w:pPr>
            <w:r w:rsidRPr="008A7D72">
              <w:t>N/A</w:t>
            </w:r>
          </w:p>
        </w:tc>
        <w:tc>
          <w:tcPr>
            <w:tcW w:w="1391" w:type="dxa"/>
            <w:tcBorders>
              <w:top w:val="single" w:sz="6" w:space="0" w:color="auto"/>
              <w:left w:val="single" w:sz="6" w:space="0" w:color="auto"/>
              <w:bottom w:val="nil"/>
              <w:right w:val="nil"/>
            </w:tcBorders>
            <w:hideMark/>
          </w:tcPr>
          <w:p w:rsidR="00EE1C59" w:rsidRPr="008A7D72" w:rsidRDefault="00EE1C59" w:rsidP="00EE1C59">
            <w:pPr>
              <w:jc w:val="center"/>
            </w:pPr>
            <w:r w:rsidRPr="008A7D72">
              <w:t>N/A</w:t>
            </w:r>
          </w:p>
        </w:tc>
        <w:tc>
          <w:tcPr>
            <w:tcW w:w="1392" w:type="dxa"/>
            <w:tcBorders>
              <w:top w:val="single" w:sz="6" w:space="0" w:color="auto"/>
              <w:left w:val="single" w:sz="6" w:space="0" w:color="auto"/>
              <w:bottom w:val="nil"/>
              <w:right w:val="single" w:sz="6" w:space="0" w:color="auto"/>
            </w:tcBorders>
            <w:hideMark/>
          </w:tcPr>
          <w:p w:rsidR="00EE1C59" w:rsidRPr="008A7D72" w:rsidRDefault="00EE1C59" w:rsidP="00EE1C59">
            <w:pPr>
              <w:jc w:val="center"/>
            </w:pPr>
            <w:r w:rsidRPr="008A7D72">
              <w:t>7,540</w:t>
            </w:r>
          </w:p>
        </w:tc>
      </w:tr>
      <w:tr w:rsidR="00EE1C59" w:rsidRPr="008A7D72" w:rsidTr="00480E1B">
        <w:trPr>
          <w:cantSplit/>
          <w:trHeight w:val="402"/>
          <w:jc w:val="center"/>
        </w:trPr>
        <w:tc>
          <w:tcPr>
            <w:tcW w:w="3240" w:type="dxa"/>
            <w:tcBorders>
              <w:top w:val="single" w:sz="6" w:space="0" w:color="auto"/>
              <w:left w:val="single" w:sz="6" w:space="0" w:color="auto"/>
              <w:bottom w:val="single" w:sz="6" w:space="0" w:color="auto"/>
              <w:right w:val="nil"/>
            </w:tcBorders>
            <w:hideMark/>
          </w:tcPr>
          <w:p w:rsidR="00EE1C59" w:rsidRPr="008A7D72" w:rsidRDefault="00EE1C59" w:rsidP="00EE1C59">
            <w:pPr>
              <w:rPr>
                <w:b/>
              </w:rPr>
            </w:pPr>
            <w:r w:rsidRPr="008A7D72">
              <w:rPr>
                <w:b/>
              </w:rPr>
              <w:t>Total</w:t>
            </w:r>
          </w:p>
        </w:tc>
        <w:tc>
          <w:tcPr>
            <w:tcW w:w="1391" w:type="dxa"/>
            <w:tcBorders>
              <w:top w:val="single" w:sz="6" w:space="0" w:color="auto"/>
              <w:left w:val="single" w:sz="6" w:space="0" w:color="auto"/>
              <w:bottom w:val="single" w:sz="6" w:space="0" w:color="auto"/>
              <w:right w:val="nil"/>
            </w:tcBorders>
            <w:hideMark/>
          </w:tcPr>
          <w:p w:rsidR="00EE1C59" w:rsidRPr="008A7D72" w:rsidRDefault="00EE1C59" w:rsidP="00EE1C59">
            <w:pPr>
              <w:jc w:val="center"/>
              <w:rPr>
                <w:b/>
              </w:rPr>
            </w:pPr>
            <w:r w:rsidRPr="008A7D72">
              <w:rPr>
                <w:b/>
              </w:rPr>
              <w:t>173,587</w:t>
            </w:r>
          </w:p>
        </w:tc>
        <w:tc>
          <w:tcPr>
            <w:tcW w:w="1392" w:type="dxa"/>
            <w:tcBorders>
              <w:top w:val="single" w:sz="6" w:space="0" w:color="auto"/>
              <w:left w:val="single" w:sz="6" w:space="0" w:color="auto"/>
              <w:bottom w:val="single" w:sz="6" w:space="0" w:color="auto"/>
              <w:right w:val="nil"/>
            </w:tcBorders>
            <w:hideMark/>
          </w:tcPr>
          <w:p w:rsidR="00EE1C59" w:rsidRPr="008A7D72" w:rsidRDefault="00EE1C59" w:rsidP="00EE1C59">
            <w:pPr>
              <w:jc w:val="center"/>
              <w:rPr>
                <w:b/>
              </w:rPr>
            </w:pPr>
            <w:r w:rsidRPr="008A7D72">
              <w:rPr>
                <w:b/>
              </w:rPr>
              <w:t>151,807</w:t>
            </w:r>
          </w:p>
        </w:tc>
        <w:tc>
          <w:tcPr>
            <w:tcW w:w="1391" w:type="dxa"/>
            <w:tcBorders>
              <w:top w:val="single" w:sz="6" w:space="0" w:color="auto"/>
              <w:left w:val="single" w:sz="6" w:space="0" w:color="auto"/>
              <w:bottom w:val="single" w:sz="6" w:space="0" w:color="auto"/>
              <w:right w:val="nil"/>
            </w:tcBorders>
            <w:hideMark/>
          </w:tcPr>
          <w:p w:rsidR="00EE1C59" w:rsidRPr="008A7D72" w:rsidRDefault="00EE1C59" w:rsidP="00EE1C59">
            <w:pPr>
              <w:jc w:val="center"/>
              <w:rPr>
                <w:b/>
              </w:rPr>
            </w:pPr>
            <w:r w:rsidRPr="008A7D72">
              <w:rPr>
                <w:b/>
              </w:rPr>
              <w:t>143,751</w:t>
            </w:r>
          </w:p>
        </w:tc>
        <w:tc>
          <w:tcPr>
            <w:tcW w:w="1392" w:type="dxa"/>
            <w:tcBorders>
              <w:top w:val="single" w:sz="6" w:space="0" w:color="auto"/>
              <w:left w:val="single" w:sz="6" w:space="0" w:color="auto"/>
              <w:bottom w:val="single" w:sz="6" w:space="0" w:color="auto"/>
              <w:right w:val="single" w:sz="6" w:space="0" w:color="auto"/>
            </w:tcBorders>
            <w:hideMark/>
          </w:tcPr>
          <w:p w:rsidR="00EE1C59" w:rsidRPr="008A7D72" w:rsidRDefault="00EE1C59" w:rsidP="00EE1C59">
            <w:pPr>
              <w:jc w:val="center"/>
              <w:rPr>
                <w:b/>
              </w:rPr>
            </w:pPr>
            <w:r w:rsidRPr="008A7D72">
              <w:rPr>
                <w:b/>
              </w:rPr>
              <w:t>139,984</w:t>
            </w:r>
          </w:p>
        </w:tc>
      </w:tr>
    </w:tbl>
    <w:p w:rsidR="00EE1C59" w:rsidRPr="008A7D72" w:rsidRDefault="00EE1C59" w:rsidP="00EE1C59">
      <w:pPr>
        <w:pStyle w:val="ListParagraph"/>
        <w:ind w:left="0"/>
        <w:rPr>
          <w:color w:val="000000" w:themeColor="text1"/>
          <w:szCs w:val="24"/>
        </w:rPr>
      </w:pPr>
    </w:p>
    <w:p w:rsidR="00EE1C59" w:rsidRPr="008A7D72" w:rsidRDefault="00EE1C59" w:rsidP="00EE1C59">
      <w:pPr>
        <w:pStyle w:val="ListParagraph"/>
        <w:ind w:left="0"/>
        <w:rPr>
          <w:color w:val="000000" w:themeColor="text1"/>
          <w:szCs w:val="24"/>
        </w:rPr>
      </w:pPr>
    </w:p>
    <w:tbl>
      <w:tblPr>
        <w:tblW w:w="8891" w:type="dxa"/>
        <w:jc w:val="center"/>
        <w:tblInd w:w="423" w:type="dxa"/>
        <w:tblLayout w:type="fixed"/>
        <w:tblCellMar>
          <w:left w:w="120" w:type="dxa"/>
          <w:right w:w="120" w:type="dxa"/>
        </w:tblCellMar>
        <w:tblLook w:val="04A0" w:firstRow="1" w:lastRow="0" w:firstColumn="1" w:lastColumn="0" w:noHBand="0" w:noVBand="1"/>
      </w:tblPr>
      <w:tblGrid>
        <w:gridCol w:w="3258"/>
        <w:gridCol w:w="1408"/>
        <w:gridCol w:w="1408"/>
        <w:gridCol w:w="1408"/>
        <w:gridCol w:w="1409"/>
      </w:tblGrid>
      <w:tr w:rsidR="00EE1C59" w:rsidRPr="008A7D72" w:rsidTr="00480E1B">
        <w:trPr>
          <w:cantSplit/>
          <w:trHeight w:val="402"/>
          <w:jc w:val="center"/>
        </w:trPr>
        <w:tc>
          <w:tcPr>
            <w:tcW w:w="8891" w:type="dxa"/>
            <w:gridSpan w:val="5"/>
            <w:tcBorders>
              <w:top w:val="single" w:sz="6" w:space="0" w:color="auto"/>
              <w:left w:val="single" w:sz="6" w:space="0" w:color="auto"/>
              <w:bottom w:val="nil"/>
              <w:right w:val="single" w:sz="6" w:space="0" w:color="auto"/>
            </w:tcBorders>
            <w:tcMar>
              <w:top w:w="0" w:type="dxa"/>
              <w:left w:w="58" w:type="dxa"/>
              <w:bottom w:w="0" w:type="dxa"/>
              <w:right w:w="58" w:type="dxa"/>
            </w:tcMar>
          </w:tcPr>
          <w:p w:rsidR="00EE1C59" w:rsidRPr="008A7D72" w:rsidRDefault="00EE1C59" w:rsidP="00EE1C59">
            <w:pPr>
              <w:jc w:val="center"/>
              <w:rPr>
                <w:b/>
              </w:rPr>
            </w:pPr>
          </w:p>
          <w:p w:rsidR="00EE1C59" w:rsidRPr="008A7D72" w:rsidRDefault="00EE1C59" w:rsidP="00EE1C59">
            <w:pPr>
              <w:jc w:val="center"/>
              <w:rPr>
                <w:b/>
              </w:rPr>
            </w:pPr>
            <w:r w:rsidRPr="008A7D72">
              <w:rPr>
                <w:b/>
              </w:rPr>
              <w:t>WMTS</w:t>
            </w:r>
          </w:p>
          <w:p w:rsidR="00EE1C59" w:rsidRPr="008A7D72" w:rsidRDefault="00EE1C59" w:rsidP="00EE1C59">
            <w:pPr>
              <w:jc w:val="center"/>
              <w:rPr>
                <w:b/>
              </w:rPr>
            </w:pPr>
            <w:r w:rsidRPr="008A7D72">
              <w:rPr>
                <w:b/>
              </w:rPr>
              <w:t>Demand Response Trips</w:t>
            </w:r>
          </w:p>
          <w:p w:rsidR="00EE1C59" w:rsidRPr="008A7D72" w:rsidRDefault="00EE1C59" w:rsidP="00EE1C59">
            <w:pPr>
              <w:jc w:val="center"/>
              <w:rPr>
                <w:b/>
              </w:rPr>
            </w:pPr>
          </w:p>
        </w:tc>
      </w:tr>
      <w:tr w:rsidR="00EE1C59" w:rsidRPr="008A7D72" w:rsidTr="00480E1B">
        <w:trPr>
          <w:cantSplit/>
          <w:trHeight w:val="402"/>
          <w:jc w:val="center"/>
        </w:trPr>
        <w:tc>
          <w:tcPr>
            <w:tcW w:w="3258" w:type="dxa"/>
            <w:tcBorders>
              <w:top w:val="single" w:sz="6" w:space="0" w:color="auto"/>
              <w:left w:val="single" w:sz="6" w:space="0" w:color="auto"/>
              <w:bottom w:val="nil"/>
              <w:right w:val="nil"/>
            </w:tcBorders>
            <w:vAlign w:val="center"/>
          </w:tcPr>
          <w:p w:rsidR="00EE1C59" w:rsidRPr="008A7D72" w:rsidRDefault="00EE1C59" w:rsidP="00EE1C59">
            <w:pPr>
              <w:ind w:left="741"/>
            </w:pPr>
          </w:p>
        </w:tc>
        <w:tc>
          <w:tcPr>
            <w:tcW w:w="1408" w:type="dxa"/>
            <w:tcBorders>
              <w:top w:val="single" w:sz="6" w:space="0" w:color="auto"/>
              <w:left w:val="single" w:sz="6" w:space="0" w:color="auto"/>
              <w:bottom w:val="nil"/>
              <w:right w:val="nil"/>
            </w:tcBorders>
            <w:hideMark/>
          </w:tcPr>
          <w:p w:rsidR="00EE1C59" w:rsidRPr="008A7D72" w:rsidRDefault="00EE1C59" w:rsidP="00EE1C59">
            <w:pPr>
              <w:jc w:val="center"/>
              <w:rPr>
                <w:b/>
              </w:rPr>
            </w:pPr>
            <w:r w:rsidRPr="008A7D72">
              <w:rPr>
                <w:b/>
              </w:rPr>
              <w:t>FY 2013</w:t>
            </w:r>
          </w:p>
        </w:tc>
        <w:tc>
          <w:tcPr>
            <w:tcW w:w="1408" w:type="dxa"/>
            <w:tcBorders>
              <w:top w:val="single" w:sz="6" w:space="0" w:color="auto"/>
              <w:left w:val="single" w:sz="6" w:space="0" w:color="auto"/>
              <w:bottom w:val="nil"/>
              <w:right w:val="nil"/>
            </w:tcBorders>
            <w:hideMark/>
          </w:tcPr>
          <w:p w:rsidR="00EE1C59" w:rsidRPr="008A7D72" w:rsidRDefault="00EE1C59" w:rsidP="00EE1C59">
            <w:pPr>
              <w:jc w:val="center"/>
              <w:rPr>
                <w:b/>
              </w:rPr>
            </w:pPr>
            <w:r w:rsidRPr="008A7D72">
              <w:rPr>
                <w:b/>
              </w:rPr>
              <w:t>FY 2014</w:t>
            </w:r>
          </w:p>
        </w:tc>
        <w:tc>
          <w:tcPr>
            <w:tcW w:w="1408" w:type="dxa"/>
            <w:tcBorders>
              <w:top w:val="single" w:sz="6" w:space="0" w:color="auto"/>
              <w:left w:val="single" w:sz="6" w:space="0" w:color="auto"/>
              <w:bottom w:val="nil"/>
              <w:right w:val="nil"/>
            </w:tcBorders>
            <w:hideMark/>
          </w:tcPr>
          <w:p w:rsidR="00EE1C59" w:rsidRPr="008A7D72" w:rsidRDefault="00EE1C59" w:rsidP="00EE1C59">
            <w:pPr>
              <w:jc w:val="center"/>
              <w:rPr>
                <w:b/>
              </w:rPr>
            </w:pPr>
            <w:r w:rsidRPr="008A7D72">
              <w:rPr>
                <w:b/>
              </w:rPr>
              <w:t>FY 2015</w:t>
            </w:r>
          </w:p>
        </w:tc>
        <w:tc>
          <w:tcPr>
            <w:tcW w:w="1409" w:type="dxa"/>
            <w:tcBorders>
              <w:top w:val="single" w:sz="6" w:space="0" w:color="auto"/>
              <w:left w:val="single" w:sz="6" w:space="0" w:color="auto"/>
              <w:bottom w:val="nil"/>
              <w:right w:val="single" w:sz="6" w:space="0" w:color="auto"/>
            </w:tcBorders>
            <w:hideMark/>
          </w:tcPr>
          <w:p w:rsidR="00EE1C59" w:rsidRPr="008A7D72" w:rsidRDefault="00EE1C59" w:rsidP="00EE1C59">
            <w:pPr>
              <w:jc w:val="center"/>
              <w:rPr>
                <w:b/>
              </w:rPr>
            </w:pPr>
            <w:r w:rsidRPr="008A7D72">
              <w:rPr>
                <w:b/>
              </w:rPr>
              <w:t>FY 2016</w:t>
            </w:r>
          </w:p>
        </w:tc>
      </w:tr>
      <w:tr w:rsidR="00EE1C59" w:rsidRPr="008A7D72" w:rsidTr="00480E1B">
        <w:trPr>
          <w:cantSplit/>
          <w:trHeight w:val="20"/>
          <w:jc w:val="center"/>
        </w:trPr>
        <w:tc>
          <w:tcPr>
            <w:tcW w:w="3258" w:type="dxa"/>
            <w:tcBorders>
              <w:top w:val="single" w:sz="6" w:space="0" w:color="auto"/>
              <w:left w:val="single" w:sz="6" w:space="0" w:color="auto"/>
              <w:bottom w:val="nil"/>
              <w:right w:val="nil"/>
            </w:tcBorders>
            <w:vAlign w:val="center"/>
            <w:hideMark/>
          </w:tcPr>
          <w:p w:rsidR="00EE1C59" w:rsidRPr="008A7D72" w:rsidRDefault="00EE1C59" w:rsidP="00EE1C59">
            <w:r w:rsidRPr="008A7D72">
              <w:t>General Public</w:t>
            </w:r>
          </w:p>
        </w:tc>
        <w:tc>
          <w:tcPr>
            <w:tcW w:w="1408" w:type="dxa"/>
            <w:tcBorders>
              <w:top w:val="single" w:sz="6" w:space="0" w:color="auto"/>
              <w:left w:val="single" w:sz="6" w:space="0" w:color="auto"/>
              <w:bottom w:val="nil"/>
              <w:right w:val="nil"/>
            </w:tcBorders>
            <w:vAlign w:val="center"/>
            <w:hideMark/>
          </w:tcPr>
          <w:p w:rsidR="00EE1C59" w:rsidRPr="008A7D72" w:rsidRDefault="00EE1C59" w:rsidP="00EE1C59">
            <w:pPr>
              <w:jc w:val="center"/>
            </w:pPr>
            <w:r w:rsidRPr="008A7D72">
              <w:t>6,996</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8,800</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13,438</w:t>
            </w:r>
          </w:p>
        </w:tc>
        <w:tc>
          <w:tcPr>
            <w:tcW w:w="1409" w:type="dxa"/>
            <w:tcBorders>
              <w:top w:val="single" w:sz="6" w:space="0" w:color="auto"/>
              <w:left w:val="single" w:sz="6" w:space="0" w:color="auto"/>
              <w:bottom w:val="nil"/>
              <w:right w:val="single" w:sz="6" w:space="0" w:color="auto"/>
            </w:tcBorders>
            <w:vAlign w:val="center"/>
            <w:hideMark/>
          </w:tcPr>
          <w:p w:rsidR="00EE1C59" w:rsidRPr="008A7D72" w:rsidRDefault="00EE1C59" w:rsidP="00EE1C59">
            <w:pPr>
              <w:jc w:val="center"/>
            </w:pPr>
            <w:r w:rsidRPr="008A7D72">
              <w:t>15,845</w:t>
            </w:r>
          </w:p>
        </w:tc>
      </w:tr>
      <w:tr w:rsidR="00EE1C59" w:rsidRPr="008A7D72" w:rsidTr="00480E1B">
        <w:trPr>
          <w:cantSplit/>
          <w:trHeight w:val="20"/>
          <w:jc w:val="center"/>
        </w:trPr>
        <w:tc>
          <w:tcPr>
            <w:tcW w:w="3258" w:type="dxa"/>
            <w:tcBorders>
              <w:top w:val="single" w:sz="6" w:space="0" w:color="auto"/>
              <w:left w:val="single" w:sz="6" w:space="0" w:color="auto"/>
              <w:bottom w:val="nil"/>
              <w:right w:val="nil"/>
            </w:tcBorders>
            <w:vAlign w:val="center"/>
            <w:hideMark/>
          </w:tcPr>
          <w:p w:rsidR="00EE1C59" w:rsidRPr="008A7D72" w:rsidRDefault="00EE1C59" w:rsidP="00EE1C59">
            <w:r w:rsidRPr="008A7D72">
              <w:t>ADA (by contract with LATC using WMTS equipment)</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10,271</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10,316</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8,140</w:t>
            </w:r>
          </w:p>
        </w:tc>
        <w:tc>
          <w:tcPr>
            <w:tcW w:w="1409" w:type="dxa"/>
            <w:tcBorders>
              <w:top w:val="single" w:sz="6" w:space="0" w:color="auto"/>
              <w:left w:val="single" w:sz="6" w:space="0" w:color="auto"/>
              <w:bottom w:val="nil"/>
              <w:right w:val="single" w:sz="6" w:space="0" w:color="auto"/>
            </w:tcBorders>
            <w:vAlign w:val="center"/>
          </w:tcPr>
          <w:p w:rsidR="00EE1C59" w:rsidRPr="008A7D72" w:rsidRDefault="00EE1C59" w:rsidP="00EE1C59">
            <w:pPr>
              <w:jc w:val="center"/>
            </w:pPr>
            <w:r w:rsidRPr="008A7D72">
              <w:t>12,594</w:t>
            </w:r>
          </w:p>
        </w:tc>
      </w:tr>
      <w:tr w:rsidR="00EE1C59" w:rsidRPr="008A7D72" w:rsidTr="00480E1B">
        <w:trPr>
          <w:cantSplit/>
          <w:trHeight w:val="20"/>
          <w:jc w:val="center"/>
        </w:trPr>
        <w:tc>
          <w:tcPr>
            <w:tcW w:w="3258" w:type="dxa"/>
            <w:tcBorders>
              <w:top w:val="single" w:sz="6" w:space="0" w:color="auto"/>
              <w:left w:val="single" w:sz="6" w:space="0" w:color="auto"/>
              <w:bottom w:val="nil"/>
              <w:right w:val="nil"/>
            </w:tcBorders>
            <w:vAlign w:val="center"/>
            <w:hideMark/>
          </w:tcPr>
          <w:p w:rsidR="00EE1C59" w:rsidRPr="008A7D72" w:rsidRDefault="00EE1C59" w:rsidP="00EE1C59">
            <w:r w:rsidRPr="008A7D72">
              <w:t>MaineCare</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76,531</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101,426</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93,413</w:t>
            </w:r>
          </w:p>
        </w:tc>
        <w:tc>
          <w:tcPr>
            <w:tcW w:w="1409" w:type="dxa"/>
            <w:tcBorders>
              <w:top w:val="single" w:sz="6" w:space="0" w:color="auto"/>
              <w:left w:val="single" w:sz="6" w:space="0" w:color="auto"/>
              <w:bottom w:val="nil"/>
              <w:right w:val="single" w:sz="6" w:space="0" w:color="auto"/>
            </w:tcBorders>
            <w:vAlign w:val="center"/>
          </w:tcPr>
          <w:p w:rsidR="00EE1C59" w:rsidRPr="008A7D72" w:rsidRDefault="00EE1C59" w:rsidP="00EE1C59">
            <w:pPr>
              <w:jc w:val="center"/>
            </w:pPr>
            <w:r w:rsidRPr="008A7D72">
              <w:t>69,344</w:t>
            </w:r>
          </w:p>
        </w:tc>
      </w:tr>
      <w:tr w:rsidR="00EE1C59" w:rsidRPr="008A7D72" w:rsidTr="00480E1B">
        <w:trPr>
          <w:cantSplit/>
          <w:trHeight w:val="20"/>
          <w:jc w:val="center"/>
        </w:trPr>
        <w:tc>
          <w:tcPr>
            <w:tcW w:w="3258" w:type="dxa"/>
            <w:tcBorders>
              <w:top w:val="single" w:sz="6" w:space="0" w:color="auto"/>
              <w:left w:val="single" w:sz="6" w:space="0" w:color="auto"/>
              <w:bottom w:val="nil"/>
              <w:right w:val="nil"/>
            </w:tcBorders>
            <w:vAlign w:val="center"/>
            <w:hideMark/>
          </w:tcPr>
          <w:p w:rsidR="00EE1C59" w:rsidRPr="008A7D72" w:rsidRDefault="00EE1C59" w:rsidP="00EE1C59">
            <w:r w:rsidRPr="008A7D72">
              <w:t>DHHS Other</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4,398</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2,084</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1,290</w:t>
            </w:r>
          </w:p>
        </w:tc>
        <w:tc>
          <w:tcPr>
            <w:tcW w:w="1409" w:type="dxa"/>
            <w:tcBorders>
              <w:top w:val="single" w:sz="6" w:space="0" w:color="auto"/>
              <w:left w:val="single" w:sz="6" w:space="0" w:color="auto"/>
              <w:bottom w:val="nil"/>
              <w:right w:val="single" w:sz="6" w:space="0" w:color="auto"/>
            </w:tcBorders>
            <w:vAlign w:val="center"/>
          </w:tcPr>
          <w:p w:rsidR="00EE1C59" w:rsidRPr="008A7D72" w:rsidRDefault="00EE1C59" w:rsidP="00EE1C59">
            <w:pPr>
              <w:jc w:val="center"/>
            </w:pPr>
            <w:r w:rsidRPr="008A7D72">
              <w:t>1,538</w:t>
            </w:r>
          </w:p>
        </w:tc>
      </w:tr>
      <w:tr w:rsidR="00EE1C59" w:rsidRPr="008A7D72" w:rsidTr="00480E1B">
        <w:trPr>
          <w:cantSplit/>
          <w:trHeight w:val="20"/>
          <w:jc w:val="center"/>
        </w:trPr>
        <w:tc>
          <w:tcPr>
            <w:tcW w:w="3258" w:type="dxa"/>
            <w:tcBorders>
              <w:top w:val="single" w:sz="6" w:space="0" w:color="auto"/>
              <w:left w:val="single" w:sz="6" w:space="0" w:color="auto"/>
              <w:bottom w:val="nil"/>
              <w:right w:val="nil"/>
            </w:tcBorders>
            <w:vAlign w:val="center"/>
            <w:hideMark/>
          </w:tcPr>
          <w:p w:rsidR="00EE1C59" w:rsidRPr="008A7D72" w:rsidRDefault="00EE1C59" w:rsidP="00EE1C59">
            <w:r w:rsidRPr="008A7D72">
              <w:t>Other- CDS, Contracts, etc.</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3,227</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5,560</w:t>
            </w:r>
          </w:p>
        </w:tc>
        <w:tc>
          <w:tcPr>
            <w:tcW w:w="1408" w:type="dxa"/>
            <w:tcBorders>
              <w:top w:val="single" w:sz="6" w:space="0" w:color="auto"/>
              <w:left w:val="single" w:sz="6" w:space="0" w:color="auto"/>
              <w:bottom w:val="nil"/>
              <w:right w:val="nil"/>
            </w:tcBorders>
            <w:vAlign w:val="center"/>
          </w:tcPr>
          <w:p w:rsidR="00EE1C59" w:rsidRPr="008A7D72" w:rsidRDefault="00EE1C59" w:rsidP="00EE1C59">
            <w:pPr>
              <w:jc w:val="center"/>
            </w:pPr>
            <w:r w:rsidRPr="008A7D72">
              <w:t>5,004</w:t>
            </w:r>
          </w:p>
        </w:tc>
        <w:tc>
          <w:tcPr>
            <w:tcW w:w="1409" w:type="dxa"/>
            <w:tcBorders>
              <w:top w:val="single" w:sz="6" w:space="0" w:color="auto"/>
              <w:left w:val="single" w:sz="6" w:space="0" w:color="auto"/>
              <w:bottom w:val="nil"/>
              <w:right w:val="single" w:sz="6" w:space="0" w:color="auto"/>
            </w:tcBorders>
            <w:vAlign w:val="center"/>
          </w:tcPr>
          <w:p w:rsidR="00EE1C59" w:rsidRPr="008A7D72" w:rsidRDefault="00EE1C59" w:rsidP="00EE1C59">
            <w:pPr>
              <w:jc w:val="center"/>
            </w:pPr>
            <w:r w:rsidRPr="008A7D72">
              <w:t>6,187</w:t>
            </w:r>
          </w:p>
        </w:tc>
      </w:tr>
      <w:tr w:rsidR="00EE1C59" w:rsidRPr="008A7D72" w:rsidTr="00480E1B">
        <w:trPr>
          <w:cantSplit/>
          <w:trHeight w:val="20"/>
          <w:jc w:val="center"/>
        </w:trPr>
        <w:tc>
          <w:tcPr>
            <w:tcW w:w="3258" w:type="dxa"/>
            <w:tcBorders>
              <w:top w:val="single" w:sz="6" w:space="0" w:color="auto"/>
              <w:left w:val="single" w:sz="6" w:space="0" w:color="auto"/>
              <w:bottom w:val="single" w:sz="6" w:space="0" w:color="auto"/>
              <w:right w:val="nil"/>
            </w:tcBorders>
            <w:vAlign w:val="center"/>
            <w:hideMark/>
          </w:tcPr>
          <w:p w:rsidR="00EE1C59" w:rsidRPr="008A7D72" w:rsidRDefault="00EE1C59" w:rsidP="00EE1C59">
            <w:pPr>
              <w:rPr>
                <w:b/>
              </w:rPr>
            </w:pPr>
            <w:r w:rsidRPr="008A7D72">
              <w:rPr>
                <w:b/>
              </w:rPr>
              <w:t>Total</w:t>
            </w:r>
          </w:p>
        </w:tc>
        <w:tc>
          <w:tcPr>
            <w:tcW w:w="1408" w:type="dxa"/>
            <w:tcBorders>
              <w:top w:val="single" w:sz="6" w:space="0" w:color="auto"/>
              <w:left w:val="single" w:sz="6" w:space="0" w:color="auto"/>
              <w:bottom w:val="single" w:sz="6" w:space="0" w:color="auto"/>
              <w:right w:val="nil"/>
            </w:tcBorders>
            <w:vAlign w:val="center"/>
          </w:tcPr>
          <w:p w:rsidR="00EE1C59" w:rsidRPr="008A7D72" w:rsidRDefault="00EE1C59" w:rsidP="00EE1C59">
            <w:pPr>
              <w:jc w:val="center"/>
              <w:rPr>
                <w:b/>
              </w:rPr>
            </w:pPr>
            <w:r w:rsidRPr="008A7D72">
              <w:rPr>
                <w:b/>
              </w:rPr>
              <w:t>101,423</w:t>
            </w:r>
          </w:p>
        </w:tc>
        <w:tc>
          <w:tcPr>
            <w:tcW w:w="1408" w:type="dxa"/>
            <w:tcBorders>
              <w:top w:val="single" w:sz="6" w:space="0" w:color="auto"/>
              <w:left w:val="single" w:sz="6" w:space="0" w:color="auto"/>
              <w:bottom w:val="single" w:sz="6" w:space="0" w:color="auto"/>
              <w:right w:val="nil"/>
            </w:tcBorders>
            <w:vAlign w:val="center"/>
          </w:tcPr>
          <w:p w:rsidR="00EE1C59" w:rsidRPr="008A7D72" w:rsidRDefault="00EE1C59" w:rsidP="00EE1C59">
            <w:pPr>
              <w:jc w:val="center"/>
              <w:rPr>
                <w:b/>
              </w:rPr>
            </w:pPr>
            <w:r w:rsidRPr="008A7D72">
              <w:rPr>
                <w:b/>
              </w:rPr>
              <w:t>128,186</w:t>
            </w:r>
          </w:p>
        </w:tc>
        <w:tc>
          <w:tcPr>
            <w:tcW w:w="1408" w:type="dxa"/>
            <w:tcBorders>
              <w:top w:val="single" w:sz="6" w:space="0" w:color="auto"/>
              <w:left w:val="single" w:sz="6" w:space="0" w:color="auto"/>
              <w:bottom w:val="single" w:sz="6" w:space="0" w:color="auto"/>
              <w:right w:val="nil"/>
            </w:tcBorders>
            <w:vAlign w:val="center"/>
          </w:tcPr>
          <w:p w:rsidR="00EE1C59" w:rsidRPr="008A7D72" w:rsidRDefault="00EE1C59" w:rsidP="00EE1C59">
            <w:pPr>
              <w:jc w:val="center"/>
              <w:rPr>
                <w:b/>
              </w:rPr>
            </w:pPr>
            <w:r w:rsidRPr="008A7D72">
              <w:rPr>
                <w:b/>
              </w:rPr>
              <w:t>121,285</w:t>
            </w:r>
          </w:p>
        </w:tc>
        <w:tc>
          <w:tcPr>
            <w:tcW w:w="1409" w:type="dxa"/>
            <w:tcBorders>
              <w:top w:val="single" w:sz="6" w:space="0" w:color="auto"/>
              <w:left w:val="single" w:sz="6" w:space="0" w:color="auto"/>
              <w:bottom w:val="single" w:sz="6" w:space="0" w:color="auto"/>
              <w:right w:val="single" w:sz="6" w:space="0" w:color="auto"/>
            </w:tcBorders>
            <w:vAlign w:val="center"/>
          </w:tcPr>
          <w:p w:rsidR="00EE1C59" w:rsidRPr="008A7D72" w:rsidRDefault="00EE1C59" w:rsidP="00EE1C59">
            <w:pPr>
              <w:jc w:val="center"/>
              <w:rPr>
                <w:b/>
              </w:rPr>
            </w:pPr>
            <w:r w:rsidRPr="008A7D72">
              <w:rPr>
                <w:b/>
              </w:rPr>
              <w:t>105,508</w:t>
            </w:r>
          </w:p>
        </w:tc>
      </w:tr>
    </w:tbl>
    <w:p w:rsidR="00EE1C59" w:rsidRDefault="00EE1C59" w:rsidP="00EE1C59">
      <w:pPr>
        <w:ind w:left="720"/>
        <w:rPr>
          <w:b/>
          <w:color w:val="FF0000"/>
          <w:sz w:val="28"/>
          <w:szCs w:val="28"/>
        </w:rPr>
      </w:pPr>
    </w:p>
    <w:p w:rsidR="00480E1B" w:rsidRPr="006C655A" w:rsidRDefault="00480E1B" w:rsidP="00480E1B">
      <w:pPr>
        <w:ind w:left="540"/>
        <w:rPr>
          <w:b/>
          <w:color w:val="FF0000"/>
          <w:sz w:val="28"/>
          <w:szCs w:val="28"/>
        </w:rPr>
      </w:pPr>
      <w:r w:rsidRPr="00480E1B">
        <w:rPr>
          <w:b/>
          <w:color w:val="000000" w:themeColor="text1"/>
          <w:sz w:val="28"/>
          <w:szCs w:val="28"/>
        </w:rPr>
        <w:t>LATC/</w:t>
      </w:r>
      <w:proofErr w:type="spellStart"/>
      <w:r w:rsidR="004004D2">
        <w:rPr>
          <w:b/>
          <w:color w:val="000000" w:themeColor="text1"/>
          <w:sz w:val="28"/>
          <w:szCs w:val="28"/>
        </w:rPr>
        <w:t>city</w:t>
      </w:r>
      <w:r w:rsidRPr="00480E1B">
        <w:rPr>
          <w:b/>
          <w:color w:val="000000" w:themeColor="text1"/>
          <w:sz w:val="28"/>
          <w:szCs w:val="28"/>
        </w:rPr>
        <w:t>link</w:t>
      </w:r>
      <w:proofErr w:type="spellEnd"/>
    </w:p>
    <w:p w:rsidR="00455611" w:rsidRPr="006C655A" w:rsidRDefault="00455611" w:rsidP="00DD6B76">
      <w:pPr>
        <w:pStyle w:val="ListParagraph"/>
        <w:ind w:left="360"/>
        <w:rPr>
          <w:b/>
          <w:color w:val="FF0000"/>
        </w:rPr>
      </w:pPr>
    </w:p>
    <w:tbl>
      <w:tblPr>
        <w:tblW w:w="8973" w:type="dxa"/>
        <w:jc w:val="center"/>
        <w:tblInd w:w="306" w:type="dxa"/>
        <w:tblLayout w:type="fixed"/>
        <w:tblCellMar>
          <w:left w:w="120" w:type="dxa"/>
          <w:right w:w="120" w:type="dxa"/>
        </w:tblCellMar>
        <w:tblLook w:val="0000" w:firstRow="0" w:lastRow="0" w:firstColumn="0" w:lastColumn="0" w:noHBand="0" w:noVBand="0"/>
      </w:tblPr>
      <w:tblGrid>
        <w:gridCol w:w="3525"/>
        <w:gridCol w:w="1409"/>
        <w:gridCol w:w="1409"/>
        <w:gridCol w:w="1409"/>
        <w:gridCol w:w="1221"/>
      </w:tblGrid>
      <w:tr w:rsidR="006C655A" w:rsidRPr="006C655A" w:rsidTr="00455611">
        <w:trPr>
          <w:cantSplit/>
          <w:trHeight w:val="402"/>
          <w:jc w:val="center"/>
        </w:trPr>
        <w:tc>
          <w:tcPr>
            <w:tcW w:w="8973" w:type="dxa"/>
            <w:gridSpan w:val="5"/>
            <w:tcBorders>
              <w:top w:val="single" w:sz="6" w:space="0" w:color="auto"/>
              <w:left w:val="single" w:sz="6" w:space="0" w:color="auto"/>
              <w:right w:val="single" w:sz="6" w:space="0" w:color="auto"/>
            </w:tcBorders>
          </w:tcPr>
          <w:p w:rsidR="00455611" w:rsidRPr="004004D2" w:rsidRDefault="00455611" w:rsidP="000A7C76">
            <w:pPr>
              <w:jc w:val="center"/>
              <w:rPr>
                <w:b/>
                <w:color w:val="000000" w:themeColor="text1"/>
              </w:rPr>
            </w:pPr>
          </w:p>
          <w:p w:rsidR="00455611" w:rsidRPr="004004D2" w:rsidRDefault="004004D2" w:rsidP="000A7C76">
            <w:pPr>
              <w:jc w:val="center"/>
              <w:rPr>
                <w:b/>
                <w:color w:val="000000" w:themeColor="text1"/>
              </w:rPr>
            </w:pPr>
            <w:r w:rsidRPr="004004D2">
              <w:rPr>
                <w:b/>
                <w:color w:val="000000" w:themeColor="text1"/>
              </w:rPr>
              <w:t>LATC/</w:t>
            </w:r>
            <w:proofErr w:type="spellStart"/>
            <w:r w:rsidRPr="004004D2">
              <w:rPr>
                <w:b/>
                <w:color w:val="000000" w:themeColor="text1"/>
              </w:rPr>
              <w:t>citylink</w:t>
            </w:r>
            <w:proofErr w:type="spellEnd"/>
          </w:p>
          <w:p w:rsidR="00455611" w:rsidRPr="004004D2" w:rsidRDefault="004004D2" w:rsidP="000A7C76">
            <w:pPr>
              <w:jc w:val="center"/>
              <w:rPr>
                <w:b/>
                <w:color w:val="000000" w:themeColor="text1"/>
              </w:rPr>
            </w:pPr>
            <w:r w:rsidRPr="004004D2">
              <w:rPr>
                <w:b/>
                <w:color w:val="000000" w:themeColor="text1"/>
              </w:rPr>
              <w:t>Fixed</w:t>
            </w:r>
            <w:r w:rsidR="00455611" w:rsidRPr="004004D2">
              <w:rPr>
                <w:b/>
                <w:color w:val="000000" w:themeColor="text1"/>
              </w:rPr>
              <w:t xml:space="preserve"> Route Trips</w:t>
            </w:r>
          </w:p>
          <w:p w:rsidR="00455611" w:rsidRPr="004004D2" w:rsidRDefault="00455611" w:rsidP="000A7C76">
            <w:pPr>
              <w:jc w:val="center"/>
              <w:rPr>
                <w:b/>
                <w:color w:val="000000" w:themeColor="text1"/>
              </w:rPr>
            </w:pPr>
          </w:p>
        </w:tc>
      </w:tr>
      <w:tr w:rsidR="006C655A" w:rsidRPr="006C655A" w:rsidTr="002452A8">
        <w:trPr>
          <w:cantSplit/>
          <w:trHeight w:val="288"/>
          <w:jc w:val="center"/>
        </w:trPr>
        <w:tc>
          <w:tcPr>
            <w:tcW w:w="3525" w:type="dxa"/>
            <w:tcBorders>
              <w:top w:val="single" w:sz="6" w:space="0" w:color="auto"/>
              <w:left w:val="single" w:sz="6" w:space="0" w:color="auto"/>
              <w:bottom w:val="single" w:sz="6" w:space="0" w:color="auto"/>
            </w:tcBorders>
          </w:tcPr>
          <w:p w:rsidR="00455611" w:rsidRPr="004004D2" w:rsidRDefault="00455611" w:rsidP="000A7C76">
            <w:pPr>
              <w:rPr>
                <w:color w:val="000000" w:themeColor="text1"/>
              </w:rPr>
            </w:pPr>
          </w:p>
        </w:tc>
        <w:tc>
          <w:tcPr>
            <w:tcW w:w="1409" w:type="dxa"/>
            <w:tcBorders>
              <w:top w:val="single" w:sz="6" w:space="0" w:color="auto"/>
              <w:left w:val="single" w:sz="6" w:space="0" w:color="auto"/>
              <w:bottom w:val="single" w:sz="6" w:space="0" w:color="auto"/>
            </w:tcBorders>
          </w:tcPr>
          <w:p w:rsidR="00455611" w:rsidRPr="004004D2" w:rsidRDefault="00455611" w:rsidP="000A7C76">
            <w:pPr>
              <w:jc w:val="center"/>
              <w:rPr>
                <w:b/>
                <w:color w:val="000000" w:themeColor="text1"/>
              </w:rPr>
            </w:pPr>
            <w:r w:rsidRPr="004004D2">
              <w:rPr>
                <w:b/>
                <w:color w:val="000000" w:themeColor="text1"/>
              </w:rPr>
              <w:t>FY 2013</w:t>
            </w:r>
          </w:p>
        </w:tc>
        <w:tc>
          <w:tcPr>
            <w:tcW w:w="1409" w:type="dxa"/>
            <w:tcBorders>
              <w:top w:val="single" w:sz="6" w:space="0" w:color="auto"/>
              <w:left w:val="single" w:sz="6" w:space="0" w:color="auto"/>
              <w:bottom w:val="single" w:sz="6" w:space="0" w:color="auto"/>
            </w:tcBorders>
          </w:tcPr>
          <w:p w:rsidR="00455611" w:rsidRPr="004004D2" w:rsidRDefault="00455611" w:rsidP="000A7C76">
            <w:pPr>
              <w:jc w:val="center"/>
              <w:rPr>
                <w:b/>
                <w:color w:val="000000" w:themeColor="text1"/>
              </w:rPr>
            </w:pPr>
            <w:r w:rsidRPr="004004D2">
              <w:rPr>
                <w:b/>
                <w:color w:val="000000" w:themeColor="text1"/>
              </w:rPr>
              <w:t>FY 2014</w:t>
            </w:r>
          </w:p>
        </w:tc>
        <w:tc>
          <w:tcPr>
            <w:tcW w:w="1409" w:type="dxa"/>
            <w:tcBorders>
              <w:top w:val="single" w:sz="6" w:space="0" w:color="auto"/>
              <w:left w:val="single" w:sz="6" w:space="0" w:color="auto"/>
              <w:bottom w:val="single" w:sz="6" w:space="0" w:color="auto"/>
            </w:tcBorders>
          </w:tcPr>
          <w:p w:rsidR="00455611" w:rsidRPr="004004D2" w:rsidRDefault="00455611" w:rsidP="000A7C76">
            <w:pPr>
              <w:jc w:val="center"/>
              <w:rPr>
                <w:b/>
                <w:color w:val="000000" w:themeColor="text1"/>
              </w:rPr>
            </w:pPr>
            <w:r w:rsidRPr="004004D2">
              <w:rPr>
                <w:b/>
                <w:color w:val="000000" w:themeColor="text1"/>
              </w:rPr>
              <w:t>FY 2015</w:t>
            </w:r>
          </w:p>
        </w:tc>
        <w:tc>
          <w:tcPr>
            <w:tcW w:w="1221" w:type="dxa"/>
            <w:tcBorders>
              <w:top w:val="single" w:sz="6" w:space="0" w:color="auto"/>
              <w:left w:val="single" w:sz="6" w:space="0" w:color="auto"/>
              <w:bottom w:val="single" w:sz="6" w:space="0" w:color="auto"/>
              <w:right w:val="single" w:sz="6" w:space="0" w:color="auto"/>
            </w:tcBorders>
          </w:tcPr>
          <w:p w:rsidR="00455611" w:rsidRPr="004004D2" w:rsidRDefault="00455611" w:rsidP="000A7C76">
            <w:pPr>
              <w:jc w:val="center"/>
              <w:rPr>
                <w:b/>
                <w:color w:val="000000" w:themeColor="text1"/>
              </w:rPr>
            </w:pPr>
            <w:r w:rsidRPr="004004D2">
              <w:rPr>
                <w:b/>
                <w:color w:val="000000" w:themeColor="text1"/>
              </w:rPr>
              <w:t>FY 2016</w:t>
            </w:r>
          </w:p>
        </w:tc>
      </w:tr>
      <w:tr w:rsidR="00455611" w:rsidRPr="006C655A" w:rsidTr="004004D2">
        <w:trPr>
          <w:cantSplit/>
          <w:trHeight w:val="288"/>
          <w:jc w:val="center"/>
        </w:trPr>
        <w:tc>
          <w:tcPr>
            <w:tcW w:w="3525" w:type="dxa"/>
            <w:tcBorders>
              <w:top w:val="single" w:sz="6" w:space="0" w:color="auto"/>
              <w:left w:val="single" w:sz="6" w:space="0" w:color="auto"/>
              <w:bottom w:val="single" w:sz="6" w:space="0" w:color="auto"/>
            </w:tcBorders>
          </w:tcPr>
          <w:p w:rsidR="00455611" w:rsidRPr="004004D2" w:rsidRDefault="00455611" w:rsidP="000A7C76">
            <w:pPr>
              <w:rPr>
                <w:color w:val="000000" w:themeColor="text1"/>
              </w:rPr>
            </w:pPr>
            <w:r w:rsidRPr="004004D2">
              <w:rPr>
                <w:color w:val="000000" w:themeColor="text1"/>
              </w:rPr>
              <w:t>General Public</w:t>
            </w:r>
          </w:p>
        </w:tc>
        <w:tc>
          <w:tcPr>
            <w:tcW w:w="1409" w:type="dxa"/>
            <w:tcBorders>
              <w:top w:val="single" w:sz="6" w:space="0" w:color="auto"/>
              <w:left w:val="single" w:sz="6" w:space="0" w:color="auto"/>
              <w:bottom w:val="single" w:sz="6" w:space="0" w:color="auto"/>
            </w:tcBorders>
          </w:tcPr>
          <w:p w:rsidR="00455611" w:rsidRPr="004004D2" w:rsidRDefault="004004D2" w:rsidP="000A7C76">
            <w:pPr>
              <w:jc w:val="center"/>
              <w:rPr>
                <w:color w:val="000000" w:themeColor="text1"/>
              </w:rPr>
            </w:pPr>
            <w:r>
              <w:rPr>
                <w:color w:val="000000" w:themeColor="text1"/>
              </w:rPr>
              <w:t>352,923</w:t>
            </w:r>
          </w:p>
        </w:tc>
        <w:tc>
          <w:tcPr>
            <w:tcW w:w="1409" w:type="dxa"/>
            <w:tcBorders>
              <w:top w:val="single" w:sz="6" w:space="0" w:color="auto"/>
              <w:left w:val="single" w:sz="6" w:space="0" w:color="auto"/>
              <w:bottom w:val="single" w:sz="6" w:space="0" w:color="auto"/>
            </w:tcBorders>
          </w:tcPr>
          <w:p w:rsidR="00455611" w:rsidRPr="004004D2" w:rsidRDefault="004004D2" w:rsidP="000A7C76">
            <w:pPr>
              <w:jc w:val="center"/>
              <w:rPr>
                <w:color w:val="000000" w:themeColor="text1"/>
              </w:rPr>
            </w:pPr>
            <w:r>
              <w:rPr>
                <w:color w:val="000000" w:themeColor="text1"/>
              </w:rPr>
              <w:t>372,864</w:t>
            </w:r>
          </w:p>
        </w:tc>
        <w:tc>
          <w:tcPr>
            <w:tcW w:w="1409" w:type="dxa"/>
            <w:tcBorders>
              <w:top w:val="single" w:sz="6" w:space="0" w:color="auto"/>
              <w:left w:val="single" w:sz="6" w:space="0" w:color="auto"/>
              <w:bottom w:val="single" w:sz="6" w:space="0" w:color="auto"/>
            </w:tcBorders>
          </w:tcPr>
          <w:p w:rsidR="00455611" w:rsidRPr="004004D2" w:rsidRDefault="004004D2" w:rsidP="000A7C76">
            <w:pPr>
              <w:jc w:val="center"/>
              <w:rPr>
                <w:color w:val="000000" w:themeColor="text1"/>
              </w:rPr>
            </w:pPr>
            <w:r>
              <w:rPr>
                <w:color w:val="000000" w:themeColor="text1"/>
              </w:rPr>
              <w:t>424,652</w:t>
            </w:r>
          </w:p>
        </w:tc>
        <w:tc>
          <w:tcPr>
            <w:tcW w:w="1221" w:type="dxa"/>
            <w:tcBorders>
              <w:top w:val="single" w:sz="6" w:space="0" w:color="auto"/>
              <w:left w:val="single" w:sz="6" w:space="0" w:color="auto"/>
              <w:bottom w:val="single" w:sz="6" w:space="0" w:color="auto"/>
              <w:right w:val="single" w:sz="6" w:space="0" w:color="auto"/>
            </w:tcBorders>
          </w:tcPr>
          <w:p w:rsidR="00455611" w:rsidRPr="004004D2" w:rsidRDefault="004004D2" w:rsidP="000A7C76">
            <w:pPr>
              <w:jc w:val="center"/>
              <w:rPr>
                <w:color w:val="000000" w:themeColor="text1"/>
              </w:rPr>
            </w:pPr>
            <w:r>
              <w:rPr>
                <w:color w:val="000000" w:themeColor="text1"/>
              </w:rPr>
              <w:t>381,080</w:t>
            </w:r>
          </w:p>
        </w:tc>
      </w:tr>
    </w:tbl>
    <w:p w:rsidR="00884613" w:rsidRDefault="00884613" w:rsidP="003C57D3">
      <w:pPr>
        <w:ind w:left="720"/>
        <w:rPr>
          <w:b/>
          <w:color w:val="FF0000"/>
          <w:sz w:val="28"/>
          <w:szCs w:val="28"/>
        </w:rPr>
      </w:pPr>
    </w:p>
    <w:p w:rsidR="004004D2" w:rsidRDefault="004004D2" w:rsidP="003C57D3">
      <w:pPr>
        <w:ind w:left="720"/>
        <w:rPr>
          <w:b/>
          <w:color w:val="FF0000"/>
          <w:sz w:val="28"/>
          <w:szCs w:val="28"/>
        </w:rPr>
      </w:pPr>
    </w:p>
    <w:p w:rsidR="004004D2" w:rsidRDefault="004004D2" w:rsidP="003C57D3">
      <w:pPr>
        <w:ind w:left="720"/>
        <w:rPr>
          <w:b/>
          <w:color w:val="FF0000"/>
          <w:sz w:val="28"/>
          <w:szCs w:val="28"/>
        </w:rPr>
      </w:pPr>
    </w:p>
    <w:p w:rsidR="004004D2" w:rsidRDefault="004004D2" w:rsidP="003C57D3">
      <w:pPr>
        <w:ind w:left="720"/>
        <w:rPr>
          <w:b/>
          <w:color w:val="FF0000"/>
          <w:sz w:val="28"/>
          <w:szCs w:val="28"/>
        </w:rPr>
      </w:pPr>
    </w:p>
    <w:p w:rsidR="004004D2" w:rsidRPr="006C655A" w:rsidRDefault="004004D2" w:rsidP="003C57D3">
      <w:pPr>
        <w:ind w:left="720"/>
        <w:rPr>
          <w:b/>
          <w:color w:val="FF0000"/>
          <w:sz w:val="28"/>
          <w:szCs w:val="28"/>
        </w:rPr>
      </w:pPr>
    </w:p>
    <w:p w:rsidR="00DD6B76" w:rsidRPr="004004D2" w:rsidRDefault="00DD6B76" w:rsidP="00DD6B76">
      <w:pPr>
        <w:pStyle w:val="ListParagraph"/>
        <w:ind w:left="0"/>
        <w:rPr>
          <w:b/>
          <w:color w:val="000000" w:themeColor="text1"/>
          <w:sz w:val="28"/>
          <w:szCs w:val="28"/>
        </w:rPr>
      </w:pPr>
      <w:r w:rsidRPr="004004D2">
        <w:rPr>
          <w:b/>
          <w:color w:val="000000" w:themeColor="text1"/>
          <w:sz w:val="28"/>
          <w:szCs w:val="28"/>
        </w:rPr>
        <w:lastRenderedPageBreak/>
        <w:t>Public Participation Summary</w:t>
      </w:r>
    </w:p>
    <w:p w:rsidR="00DD6B76" w:rsidRPr="004004D2" w:rsidRDefault="00DD6B76" w:rsidP="00DD6B76">
      <w:pPr>
        <w:pStyle w:val="ListParagraph"/>
        <w:ind w:left="0"/>
        <w:rPr>
          <w:color w:val="000000" w:themeColor="text1"/>
        </w:rPr>
      </w:pPr>
    </w:p>
    <w:p w:rsidR="00DD6B76" w:rsidRPr="001945C1" w:rsidRDefault="00DD6B76" w:rsidP="00DD6B76">
      <w:pPr>
        <w:pStyle w:val="ListParagraph"/>
        <w:ind w:left="0"/>
        <w:jc w:val="both"/>
        <w:rPr>
          <w:color w:val="000000" w:themeColor="text1"/>
        </w:rPr>
      </w:pPr>
      <w:r w:rsidRPr="001945C1">
        <w:rPr>
          <w:color w:val="000000" w:themeColor="text1"/>
        </w:rPr>
        <w:t xml:space="preserve">Public participation has played a central role in planning and providing general public transit services in </w:t>
      </w:r>
      <w:r w:rsidR="004A60B3" w:rsidRPr="001945C1">
        <w:rPr>
          <w:color w:val="000000" w:themeColor="text1"/>
        </w:rPr>
        <w:t xml:space="preserve">Region </w:t>
      </w:r>
      <w:r w:rsidR="004004D2" w:rsidRPr="001945C1">
        <w:rPr>
          <w:color w:val="000000" w:themeColor="text1"/>
        </w:rPr>
        <w:t>7</w:t>
      </w:r>
      <w:r w:rsidRPr="001945C1">
        <w:rPr>
          <w:color w:val="000000" w:themeColor="text1"/>
        </w:rPr>
        <w:t xml:space="preserve">. </w:t>
      </w:r>
      <w:r w:rsidR="004004D2" w:rsidRPr="001945C1">
        <w:rPr>
          <w:color w:val="000000" w:themeColor="text1"/>
        </w:rPr>
        <w:t>WMTS and LATC/</w:t>
      </w:r>
      <w:proofErr w:type="spellStart"/>
      <w:r w:rsidR="004004D2" w:rsidRPr="001945C1">
        <w:rPr>
          <w:color w:val="000000" w:themeColor="text1"/>
        </w:rPr>
        <w:t>citylink</w:t>
      </w:r>
      <w:proofErr w:type="spellEnd"/>
      <w:r w:rsidRPr="001945C1">
        <w:rPr>
          <w:color w:val="000000" w:themeColor="text1"/>
        </w:rPr>
        <w:t xml:space="preserve"> value the important role that the public plays in ensuring that general public transit services continue to support the economic and social fabric of the communities </w:t>
      </w:r>
      <w:r w:rsidR="004A60B3" w:rsidRPr="001945C1">
        <w:rPr>
          <w:color w:val="000000" w:themeColor="text1"/>
        </w:rPr>
        <w:t>they</w:t>
      </w:r>
      <w:r w:rsidRPr="001945C1">
        <w:rPr>
          <w:color w:val="000000" w:themeColor="text1"/>
        </w:rPr>
        <w:t xml:space="preserve"> serve. The following highlights major public participation milestones.</w:t>
      </w:r>
    </w:p>
    <w:p w:rsidR="00DD6B76" w:rsidRPr="001945C1" w:rsidRDefault="00DD6B76" w:rsidP="00DD6B76">
      <w:pPr>
        <w:pStyle w:val="ListParagraph"/>
        <w:ind w:left="0"/>
        <w:jc w:val="both"/>
        <w:rPr>
          <w:color w:val="000000" w:themeColor="text1"/>
        </w:rPr>
      </w:pPr>
    </w:p>
    <w:p w:rsidR="00884613" w:rsidRDefault="004004D2" w:rsidP="004A60B3">
      <w:pPr>
        <w:pStyle w:val="ListParagraph"/>
        <w:jc w:val="both"/>
        <w:rPr>
          <w:b/>
          <w:color w:val="000000" w:themeColor="text1"/>
          <w:sz w:val="28"/>
          <w:szCs w:val="28"/>
        </w:rPr>
      </w:pPr>
      <w:r>
        <w:rPr>
          <w:b/>
          <w:color w:val="000000" w:themeColor="text1"/>
          <w:sz w:val="28"/>
          <w:szCs w:val="28"/>
        </w:rPr>
        <w:t>WMTS</w:t>
      </w:r>
    </w:p>
    <w:p w:rsidR="004004D2" w:rsidRDefault="004004D2" w:rsidP="004A60B3">
      <w:pPr>
        <w:pStyle w:val="ListParagraph"/>
        <w:jc w:val="both"/>
        <w:rPr>
          <w:b/>
          <w:color w:val="000000" w:themeColor="text1"/>
          <w:sz w:val="28"/>
          <w:szCs w:val="28"/>
        </w:rPr>
      </w:pPr>
    </w:p>
    <w:p w:rsidR="004004D2" w:rsidRDefault="004004D2" w:rsidP="00C57A33">
      <w:pPr>
        <w:pStyle w:val="ListParagraph"/>
        <w:numPr>
          <w:ilvl w:val="0"/>
          <w:numId w:val="48"/>
        </w:numPr>
        <w:ind w:left="1170"/>
        <w:jc w:val="both"/>
        <w:rPr>
          <w:szCs w:val="24"/>
        </w:rPr>
      </w:pPr>
      <w:r w:rsidRPr="008A7D72">
        <w:rPr>
          <w:szCs w:val="24"/>
        </w:rPr>
        <w:t>11/5/2015 Bethel Regional Airport meeting to discuss resuming seasonal service to be provided by the Mountain Explorer</w:t>
      </w:r>
      <w:r w:rsidR="00C57A33">
        <w:rPr>
          <w:szCs w:val="24"/>
        </w:rPr>
        <w:t>.</w:t>
      </w:r>
    </w:p>
    <w:p w:rsidR="00C57A33" w:rsidRPr="008A7D72" w:rsidRDefault="00C57A33" w:rsidP="00C57A33">
      <w:pPr>
        <w:pStyle w:val="ListParagraph"/>
        <w:ind w:left="1170"/>
        <w:jc w:val="both"/>
        <w:rPr>
          <w:szCs w:val="24"/>
        </w:rPr>
      </w:pPr>
    </w:p>
    <w:p w:rsidR="004004D2" w:rsidRDefault="004004D2" w:rsidP="00C57A33">
      <w:pPr>
        <w:pStyle w:val="ListParagraph"/>
        <w:numPr>
          <w:ilvl w:val="0"/>
          <w:numId w:val="48"/>
        </w:numPr>
        <w:ind w:left="1170"/>
        <w:jc w:val="both"/>
        <w:rPr>
          <w:szCs w:val="24"/>
        </w:rPr>
      </w:pPr>
      <w:r w:rsidRPr="008A7D72">
        <w:rPr>
          <w:szCs w:val="24"/>
        </w:rPr>
        <w:t>1/14/2016 Bethel Age Friendly Communities area transportation public meeting</w:t>
      </w:r>
      <w:r w:rsidR="0061053D">
        <w:rPr>
          <w:szCs w:val="24"/>
        </w:rPr>
        <w:t>.</w:t>
      </w:r>
      <w:r w:rsidRPr="008A7D72">
        <w:rPr>
          <w:szCs w:val="24"/>
        </w:rPr>
        <w:t xml:space="preserve"> WMTS served as consultant to the AARP Age Friendly Community initiative in the Bethel area as it determined the need for transportation and modes by which it could be provided</w:t>
      </w:r>
      <w:r w:rsidR="0061053D">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 xml:space="preserve">3/2/16 </w:t>
      </w:r>
      <w:proofErr w:type="spellStart"/>
      <w:r w:rsidRPr="008A7D72">
        <w:rPr>
          <w:szCs w:val="24"/>
        </w:rPr>
        <w:t>Otisfield</w:t>
      </w:r>
      <w:proofErr w:type="spellEnd"/>
      <w:r w:rsidRPr="008A7D72">
        <w:rPr>
          <w:szCs w:val="24"/>
        </w:rPr>
        <w:t xml:space="preserve"> Select Board Public meeting on transportation needs of the community</w:t>
      </w:r>
      <w:r w:rsidR="0061053D">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3/10/2016 Bethel Age Friendly Communities area transportation public meeting, WMTS served as consultant to the AARP Age Friendly Community initiative in the Bethel area as it determined the need for transportation and modes by which it could be provided</w:t>
      </w:r>
      <w:r w:rsidR="0061053D">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61053D">
        <w:rPr>
          <w:szCs w:val="24"/>
        </w:rPr>
        <w:t>4/4/2016 Brunswick Explorer Advisory Committee meeting to receive community input on the service and how it can be improved</w:t>
      </w:r>
      <w:r w:rsidR="0061053D">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4/24/16 Sumner/Hartford Select Boards combined public meeting on transportation needs of the two communities</w:t>
      </w:r>
      <w:r w:rsidR="0061053D">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6/8/2016</w:t>
      </w:r>
      <w:r w:rsidR="0061053D">
        <w:rPr>
          <w:szCs w:val="24"/>
        </w:rPr>
        <w:t xml:space="preserve"> </w:t>
      </w:r>
      <w:r w:rsidRPr="008A7D72">
        <w:rPr>
          <w:szCs w:val="24"/>
        </w:rPr>
        <w:t>Brunswick Explorer Advisory Committee meeting to receive community input on the service and how it can be improved</w:t>
      </w:r>
      <w:r w:rsidR="0061053D">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6/9/2016 Mountain Explorer Advisory Committee meeting to receive community input on the service and how it can be improved</w:t>
      </w:r>
      <w:r w:rsidR="0061053D">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7/27/2016 Mountain Explorer Advisory Committee meeting to receive community input on the service and how it can be improved</w:t>
      </w:r>
      <w:r w:rsidR="0061053D">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8/23/2016 Mountain Explorer Advisory Committee meeting to receive community input on the service and how it can be improved</w:t>
      </w:r>
      <w:r w:rsidR="0061053D">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9/28/2016Brunswick Explorer Advisory Committee meeting to receive community input on the service and how it can be improved</w:t>
      </w:r>
      <w:r w:rsidR="0061053D">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 xml:space="preserve">10/25/2016 MaineDOT </w:t>
      </w:r>
      <w:r w:rsidR="0061053D">
        <w:rPr>
          <w:szCs w:val="24"/>
        </w:rPr>
        <w:t>Region</w:t>
      </w:r>
      <w:r w:rsidRPr="008A7D72">
        <w:rPr>
          <w:szCs w:val="24"/>
        </w:rPr>
        <w:t xml:space="preserve"> 7 Transportation Workshop regional meeting to discuss public transportation priorities in Androscoggin, Franklin and much of Oxford Counties</w:t>
      </w:r>
      <w:r w:rsidR="0061053D">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lastRenderedPageBreak/>
        <w:t xml:space="preserve">11/14/2016 MaineDOT </w:t>
      </w:r>
      <w:r w:rsidR="00827399">
        <w:rPr>
          <w:szCs w:val="24"/>
        </w:rPr>
        <w:t>Region</w:t>
      </w:r>
      <w:r w:rsidRPr="008A7D72">
        <w:rPr>
          <w:szCs w:val="24"/>
        </w:rPr>
        <w:t xml:space="preserve"> 5 Transportation Workshop regional meeting to discuss public transportation priorities in part of Cumberland, Sagadahoc, Lincoln, Knox and Waldo Counties</w:t>
      </w:r>
      <w:r w:rsidR="00827399">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11/18/2016 Mountain Explorer Advisory Committee meeting to receive community input on the service and how it can be improved</w:t>
      </w:r>
      <w:r w:rsidR="00827399">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12/8/2016 Mountain Explorer Advisory Committee meeting to receive community input on the service and how it can be improved</w:t>
      </w:r>
      <w:r w:rsidR="00827399">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12/21/2016 Brunswick Explorer Advisory Committee meeting to receive community input on the service and how it can be improved</w:t>
      </w:r>
      <w:r w:rsidR="00827399">
        <w:rPr>
          <w:szCs w:val="24"/>
        </w:rPr>
        <w:t>.</w:t>
      </w:r>
    </w:p>
    <w:p w:rsidR="00C57A33" w:rsidRPr="00C57A33" w:rsidRDefault="00C57A33" w:rsidP="00C57A33">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1/20/2017 Brunswick Transportation Roundtable Sponsored by the Town of Brunswick to discuss all modes of transportation available and the future of transportation in Brunswick.</w:t>
      </w:r>
    </w:p>
    <w:p w:rsidR="003944D7" w:rsidRPr="003944D7" w:rsidRDefault="003944D7" w:rsidP="003944D7">
      <w:pPr>
        <w:pStyle w:val="ListParagraph"/>
        <w:rPr>
          <w:szCs w:val="24"/>
        </w:rPr>
      </w:pPr>
    </w:p>
    <w:p w:rsidR="004004D2" w:rsidRDefault="004004D2" w:rsidP="00C57A33">
      <w:pPr>
        <w:pStyle w:val="ListParagraph"/>
        <w:numPr>
          <w:ilvl w:val="0"/>
          <w:numId w:val="48"/>
        </w:numPr>
        <w:ind w:left="1170"/>
        <w:jc w:val="both"/>
        <w:rPr>
          <w:szCs w:val="24"/>
        </w:rPr>
      </w:pPr>
      <w:r w:rsidRPr="008A7D72">
        <w:rPr>
          <w:szCs w:val="24"/>
        </w:rPr>
        <w:t>1/26/2017 Rangeley Transportation Focus Group to determine the need for transportation in the Rangeley/</w:t>
      </w:r>
      <w:proofErr w:type="spellStart"/>
      <w:r w:rsidRPr="008A7D72">
        <w:rPr>
          <w:szCs w:val="24"/>
        </w:rPr>
        <w:t>Oquossoc</w:t>
      </w:r>
      <w:proofErr w:type="spellEnd"/>
      <w:r w:rsidRPr="008A7D72">
        <w:rPr>
          <w:szCs w:val="24"/>
        </w:rPr>
        <w:t xml:space="preserve"> area and modes by which it could be provided</w:t>
      </w:r>
      <w:r w:rsidR="00827399">
        <w:rPr>
          <w:szCs w:val="24"/>
        </w:rPr>
        <w:t>.</w:t>
      </w:r>
    </w:p>
    <w:p w:rsidR="003944D7" w:rsidRPr="003944D7" w:rsidRDefault="003944D7" w:rsidP="003944D7">
      <w:pPr>
        <w:pStyle w:val="ListParagraph"/>
        <w:rPr>
          <w:szCs w:val="24"/>
        </w:rPr>
      </w:pPr>
    </w:p>
    <w:p w:rsidR="004004D2" w:rsidRPr="008A7D72" w:rsidRDefault="004004D2" w:rsidP="00C57A33">
      <w:pPr>
        <w:pStyle w:val="ListParagraph"/>
        <w:numPr>
          <w:ilvl w:val="0"/>
          <w:numId w:val="48"/>
        </w:numPr>
        <w:ind w:left="1170"/>
        <w:jc w:val="both"/>
        <w:rPr>
          <w:szCs w:val="24"/>
        </w:rPr>
      </w:pPr>
      <w:r w:rsidRPr="008A7D72">
        <w:rPr>
          <w:szCs w:val="24"/>
        </w:rPr>
        <w:t>3/7/2017 Farmington Transportation Focus Group to determine the need for transportation in the greater Farmington area and modes by which it could be provided</w:t>
      </w:r>
      <w:r w:rsidR="00827399">
        <w:rPr>
          <w:szCs w:val="24"/>
        </w:rPr>
        <w:t>.</w:t>
      </w:r>
    </w:p>
    <w:p w:rsidR="004004D2" w:rsidRPr="006C655A" w:rsidRDefault="004004D2" w:rsidP="00A23E5D">
      <w:pPr>
        <w:pStyle w:val="ListParagraph"/>
        <w:jc w:val="both"/>
        <w:rPr>
          <w:color w:val="FF0000"/>
        </w:rPr>
      </w:pPr>
    </w:p>
    <w:p w:rsidR="00884613" w:rsidRDefault="00827399" w:rsidP="00827399">
      <w:pPr>
        <w:pStyle w:val="ListParagraph"/>
        <w:jc w:val="both"/>
        <w:rPr>
          <w:b/>
          <w:color w:val="000000" w:themeColor="text1"/>
          <w:sz w:val="28"/>
          <w:szCs w:val="28"/>
        </w:rPr>
      </w:pPr>
      <w:r w:rsidRPr="00827399">
        <w:rPr>
          <w:b/>
          <w:color w:val="000000" w:themeColor="text1"/>
          <w:sz w:val="28"/>
          <w:szCs w:val="28"/>
        </w:rPr>
        <w:t>LATC/</w:t>
      </w:r>
      <w:proofErr w:type="spellStart"/>
      <w:r w:rsidRPr="00827399">
        <w:rPr>
          <w:b/>
          <w:color w:val="000000" w:themeColor="text1"/>
          <w:sz w:val="28"/>
          <w:szCs w:val="28"/>
        </w:rPr>
        <w:t>citylink</w:t>
      </w:r>
      <w:proofErr w:type="spellEnd"/>
    </w:p>
    <w:p w:rsidR="00827399" w:rsidRDefault="00827399" w:rsidP="00827399">
      <w:pPr>
        <w:pStyle w:val="ListParagraph"/>
        <w:jc w:val="both"/>
        <w:rPr>
          <w:b/>
          <w:color w:val="000000" w:themeColor="text1"/>
          <w:sz w:val="28"/>
          <w:szCs w:val="28"/>
        </w:rPr>
      </w:pPr>
    </w:p>
    <w:p w:rsidR="00827399" w:rsidRDefault="00827399" w:rsidP="003944D7">
      <w:pPr>
        <w:pStyle w:val="ListParagraph"/>
        <w:numPr>
          <w:ilvl w:val="0"/>
          <w:numId w:val="49"/>
        </w:numPr>
        <w:ind w:left="1170"/>
        <w:jc w:val="both"/>
      </w:pPr>
      <w:r>
        <w:t>LATC held two public meetings to present its short range transit study. The meetings were held on the same day but a daytime meeting was scheduled to accommodate transit dependent individuals and an evening meeting was scheduled for those that are unavailable to attend during the day because of work schedules.</w:t>
      </w:r>
    </w:p>
    <w:p w:rsidR="00827399" w:rsidRDefault="00827399" w:rsidP="003944D7">
      <w:pPr>
        <w:ind w:left="1170" w:hanging="720"/>
        <w:jc w:val="both"/>
      </w:pPr>
    </w:p>
    <w:p w:rsidR="00827399" w:rsidRDefault="00827399" w:rsidP="003944D7">
      <w:pPr>
        <w:pStyle w:val="ListParagraph"/>
        <w:numPr>
          <w:ilvl w:val="0"/>
          <w:numId w:val="49"/>
        </w:numPr>
        <w:ind w:left="1170"/>
        <w:jc w:val="both"/>
      </w:pPr>
      <w:r>
        <w:t>11/25/16 – LATC co-hosted with Western Maine Transportation Services, Inc., a Transit Workshop for MaineDOT as part of the development of the Locally Coordinated Plan.</w:t>
      </w:r>
    </w:p>
    <w:p w:rsidR="00F34BAC" w:rsidRDefault="00F34BAC" w:rsidP="00F34BAC">
      <w:pPr>
        <w:pStyle w:val="ListParagraph"/>
      </w:pPr>
    </w:p>
    <w:p w:rsidR="00F34BAC" w:rsidRDefault="00F34BAC" w:rsidP="003944D7">
      <w:pPr>
        <w:pStyle w:val="ListParagraph"/>
        <w:numPr>
          <w:ilvl w:val="0"/>
          <w:numId w:val="49"/>
        </w:numPr>
        <w:ind w:left="1170"/>
        <w:jc w:val="both"/>
      </w:pPr>
      <w:r>
        <w:t>Lewiston-Auburn Transit Committee meets bi-monthly and is open to the general public.  Occasionally a member of the general public will attend the meeting to share thoughts/concerns/ideas.</w:t>
      </w:r>
    </w:p>
    <w:p w:rsidR="00827399" w:rsidRDefault="00827399" w:rsidP="00827399"/>
    <w:p w:rsidR="00827399" w:rsidRPr="00827399" w:rsidRDefault="00827399" w:rsidP="00827399">
      <w:pPr>
        <w:pStyle w:val="ListParagraph"/>
        <w:jc w:val="both"/>
        <w:rPr>
          <w:b/>
          <w:color w:val="000000" w:themeColor="text1"/>
          <w:sz w:val="28"/>
          <w:szCs w:val="28"/>
        </w:rPr>
      </w:pPr>
    </w:p>
    <w:sectPr w:rsidR="00827399" w:rsidRPr="00827399" w:rsidSect="00DD6B76">
      <w:footerReference w:type="default" r:id="rId12"/>
      <w:headerReference w:type="first" r:id="rId13"/>
      <w:footerReference w:type="first" r:id="rId14"/>
      <w:pgSz w:w="12240" w:h="15840"/>
      <w:pgMar w:top="1152" w:right="1152" w:bottom="1152"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660" w:rsidRDefault="00CC6660">
      <w:r>
        <w:separator/>
      </w:r>
    </w:p>
  </w:endnote>
  <w:endnote w:type="continuationSeparator" w:id="0">
    <w:p w:rsidR="00CC6660" w:rsidRDefault="00CC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F2" w:rsidRDefault="005831F2" w:rsidP="000F2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1F2" w:rsidRDefault="005831F2" w:rsidP="000F2B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F2" w:rsidRDefault="005831F2" w:rsidP="000F2BD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F2" w:rsidRDefault="005831F2" w:rsidP="000F2BD7">
    <w:pPr>
      <w:pStyle w:val="Footer"/>
      <w:jc w:val="center"/>
    </w:pPr>
    <w:r>
      <w:fldChar w:fldCharType="begin"/>
    </w:r>
    <w:r>
      <w:instrText xml:space="preserve"> PAGE   \* MERGEFORMAT </w:instrText>
    </w:r>
    <w:r>
      <w:fldChar w:fldCharType="separate"/>
    </w:r>
    <w:r w:rsidR="00D66C24">
      <w:rPr>
        <w:noProof/>
      </w:rPr>
      <w:t>12</w:t>
    </w:r>
    <w:r>
      <w:rPr>
        <w:noProof/>
      </w:rPr>
      <w:fldChar w:fldCharType="end"/>
    </w:r>
  </w:p>
  <w:p w:rsidR="005831F2" w:rsidRDefault="005831F2" w:rsidP="000F2BD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F2" w:rsidRDefault="005831F2" w:rsidP="000F2BD7">
    <w:pPr>
      <w:pStyle w:val="Footer"/>
      <w:jc w:val="center"/>
    </w:pPr>
    <w:r>
      <w:fldChar w:fldCharType="begin"/>
    </w:r>
    <w:r>
      <w:instrText xml:space="preserve"> PAGE   \* MERGEFORMAT </w:instrText>
    </w:r>
    <w:r>
      <w:fldChar w:fldCharType="separate"/>
    </w:r>
    <w:r w:rsidR="00D66C24">
      <w:rPr>
        <w:noProof/>
      </w:rPr>
      <w:t>1</w:t>
    </w:r>
    <w:r>
      <w:rPr>
        <w:noProof/>
      </w:rPr>
      <w:fldChar w:fldCharType="end"/>
    </w:r>
  </w:p>
  <w:p w:rsidR="005831F2" w:rsidRDefault="00583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660" w:rsidRDefault="00CC6660">
      <w:r>
        <w:separator/>
      </w:r>
    </w:p>
  </w:footnote>
  <w:footnote w:type="continuationSeparator" w:id="0">
    <w:p w:rsidR="00CC6660" w:rsidRDefault="00CC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F2" w:rsidRDefault="005831F2" w:rsidP="000F2BD7">
    <w:pPr>
      <w:pStyle w:val="Header"/>
      <w:jc w:val="center"/>
    </w:pPr>
    <w:r>
      <w:t>MaineDOT Locally Coordinated Transit Plan – Region 7</w:t>
    </w:r>
  </w:p>
  <w:p w:rsidR="005831F2" w:rsidRDefault="00583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F2" w:rsidRDefault="005831F2" w:rsidP="000F2BD7">
    <w:pPr>
      <w:pStyle w:val="Header"/>
      <w:jc w:val="center"/>
    </w:pPr>
    <w:r>
      <w:t>MaineDOT Locally Coordinated Transit Plan – Region 7</w:t>
    </w:r>
  </w:p>
  <w:p w:rsidR="005831F2" w:rsidRDefault="005831F2" w:rsidP="000F2B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FC3"/>
    <w:multiLevelType w:val="hybridMultilevel"/>
    <w:tmpl w:val="AC1893D4"/>
    <w:lvl w:ilvl="0" w:tplc="48987200">
      <w:start w:val="1"/>
      <w:numFmt w:val="bullet"/>
      <w:lvlText w:val="o"/>
      <w:lvlJc w:val="left"/>
      <w:pPr>
        <w:ind w:left="23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86706"/>
    <w:multiLevelType w:val="hybridMultilevel"/>
    <w:tmpl w:val="484AC92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586740"/>
    <w:multiLevelType w:val="hybridMultilevel"/>
    <w:tmpl w:val="00D6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C5E27"/>
    <w:multiLevelType w:val="hybridMultilevel"/>
    <w:tmpl w:val="92821D88"/>
    <w:lvl w:ilvl="0" w:tplc="9D148D7A">
      <w:start w:val="1"/>
      <w:numFmt w:val="bullet"/>
      <w:lvlText w:val=""/>
      <w:lvlJc w:val="left"/>
      <w:pPr>
        <w:ind w:left="720" w:hanging="360"/>
      </w:pPr>
      <w:rPr>
        <w:rFonts w:ascii="Symbol" w:hAnsi="Symbol" w:hint="default"/>
        <w:u w:color="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03876"/>
    <w:multiLevelType w:val="hybridMultilevel"/>
    <w:tmpl w:val="CFFA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2166F"/>
    <w:multiLevelType w:val="hybridMultilevel"/>
    <w:tmpl w:val="8DA2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7487A"/>
    <w:multiLevelType w:val="hybridMultilevel"/>
    <w:tmpl w:val="75B41AF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E42059A"/>
    <w:multiLevelType w:val="hybridMultilevel"/>
    <w:tmpl w:val="4984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20DDF"/>
    <w:multiLevelType w:val="hybridMultilevel"/>
    <w:tmpl w:val="3AFEA7C6"/>
    <w:lvl w:ilvl="0" w:tplc="554A5298">
      <w:start w:val="1"/>
      <w:numFmt w:val="decimal"/>
      <w:lvlText w:val="%1."/>
      <w:lvlJc w:val="left"/>
      <w:pPr>
        <w:ind w:left="1530" w:hanging="360"/>
      </w:pPr>
      <w:rPr>
        <w:rFonts w:hint="default"/>
        <w:b/>
        <w:i w:val="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27187E53"/>
    <w:multiLevelType w:val="hybridMultilevel"/>
    <w:tmpl w:val="E6F60E3C"/>
    <w:lvl w:ilvl="0" w:tplc="A1CC7D04">
      <w:start w:val="1"/>
      <w:numFmt w:val="bullet"/>
      <w:lvlText w:val=""/>
      <w:lvlJc w:val="left"/>
      <w:pPr>
        <w:ind w:left="1776" w:hanging="360"/>
      </w:pPr>
      <w:rPr>
        <w:rFonts w:ascii="Symbol" w:hAnsi="Symbol" w:hint="default"/>
        <w:b w:val="0"/>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0">
    <w:nsid w:val="28BA142A"/>
    <w:multiLevelType w:val="hybridMultilevel"/>
    <w:tmpl w:val="727EA8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EF5205"/>
    <w:multiLevelType w:val="hybridMultilevel"/>
    <w:tmpl w:val="C14C3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4C3CC8"/>
    <w:multiLevelType w:val="hybridMultilevel"/>
    <w:tmpl w:val="2480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719BD"/>
    <w:multiLevelType w:val="hybridMultilevel"/>
    <w:tmpl w:val="3B2E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3B622D"/>
    <w:multiLevelType w:val="hybridMultilevel"/>
    <w:tmpl w:val="56BC029E"/>
    <w:lvl w:ilvl="0" w:tplc="554A5298">
      <w:start w:val="1"/>
      <w:numFmt w:val="decimal"/>
      <w:lvlText w:val="%1."/>
      <w:lvlJc w:val="left"/>
      <w:pPr>
        <w:ind w:left="1440" w:hanging="360"/>
      </w:pPr>
      <w:rPr>
        <w:rFonts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7BC6CB1"/>
    <w:multiLevelType w:val="hybridMultilevel"/>
    <w:tmpl w:val="32BA8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3C19A3"/>
    <w:multiLevelType w:val="hybridMultilevel"/>
    <w:tmpl w:val="95623E6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A796F3C"/>
    <w:multiLevelType w:val="hybridMultilevel"/>
    <w:tmpl w:val="3E3E6430"/>
    <w:lvl w:ilvl="0" w:tplc="554A5298">
      <w:start w:val="1"/>
      <w:numFmt w:val="decimal"/>
      <w:lvlText w:val="%1."/>
      <w:lvlJc w:val="left"/>
      <w:pPr>
        <w:ind w:left="1440" w:hanging="360"/>
      </w:pPr>
      <w:rPr>
        <w:rFonts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994E06"/>
    <w:multiLevelType w:val="hybridMultilevel"/>
    <w:tmpl w:val="006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35047"/>
    <w:multiLevelType w:val="hybridMultilevel"/>
    <w:tmpl w:val="DC8E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A0060E"/>
    <w:multiLevelType w:val="hybridMultilevel"/>
    <w:tmpl w:val="1B7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C6A18"/>
    <w:multiLevelType w:val="hybridMultilevel"/>
    <w:tmpl w:val="D2BAA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A781FA2"/>
    <w:multiLevelType w:val="hybridMultilevel"/>
    <w:tmpl w:val="8DD4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295F03"/>
    <w:multiLevelType w:val="hybridMultilevel"/>
    <w:tmpl w:val="2B6C5AD6"/>
    <w:lvl w:ilvl="0" w:tplc="A1CC7D04">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B87258"/>
    <w:multiLevelType w:val="hybridMultilevel"/>
    <w:tmpl w:val="DFAC6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D81792"/>
    <w:multiLevelType w:val="hybridMultilevel"/>
    <w:tmpl w:val="DE88C490"/>
    <w:lvl w:ilvl="0" w:tplc="A1CC7D04">
      <w:start w:val="1"/>
      <w:numFmt w:val="bullet"/>
      <w:lvlText w:val=""/>
      <w:lvlJc w:val="left"/>
      <w:pPr>
        <w:ind w:left="1776" w:hanging="360"/>
      </w:pPr>
      <w:rPr>
        <w:rFonts w:ascii="Symbol" w:hAnsi="Symbol" w:hint="default"/>
        <w:b w:val="0"/>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6">
    <w:nsid w:val="56A42BFC"/>
    <w:multiLevelType w:val="hybridMultilevel"/>
    <w:tmpl w:val="406AA64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574F4AC0"/>
    <w:multiLevelType w:val="hybridMultilevel"/>
    <w:tmpl w:val="F6C0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BC15B9"/>
    <w:multiLevelType w:val="hybridMultilevel"/>
    <w:tmpl w:val="1298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EA7A01"/>
    <w:multiLevelType w:val="hybridMultilevel"/>
    <w:tmpl w:val="703636F2"/>
    <w:lvl w:ilvl="0" w:tplc="554A5298">
      <w:start w:val="1"/>
      <w:numFmt w:val="decimal"/>
      <w:lvlText w:val="%1."/>
      <w:lvlJc w:val="left"/>
      <w:pPr>
        <w:ind w:left="720" w:hanging="360"/>
      </w:pPr>
      <w:rPr>
        <w:rFonts w:hint="default"/>
        <w:b/>
        <w:i w:val="0"/>
        <w:u w:color="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567A63"/>
    <w:multiLevelType w:val="hybridMultilevel"/>
    <w:tmpl w:val="1C0C6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AE95B89"/>
    <w:multiLevelType w:val="hybridMultilevel"/>
    <w:tmpl w:val="1D36EAF0"/>
    <w:lvl w:ilvl="0" w:tplc="BA44508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6622CC"/>
    <w:multiLevelType w:val="hybridMultilevel"/>
    <w:tmpl w:val="8CD2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D36A4F"/>
    <w:multiLevelType w:val="hybridMultilevel"/>
    <w:tmpl w:val="6B0A015E"/>
    <w:lvl w:ilvl="0" w:tplc="554A5298">
      <w:start w:val="1"/>
      <w:numFmt w:val="decimal"/>
      <w:lvlText w:val="%1."/>
      <w:lvlJc w:val="left"/>
      <w:pPr>
        <w:ind w:left="720" w:hanging="360"/>
      </w:pPr>
      <w:rPr>
        <w:rFonts w:hint="default"/>
        <w:b/>
        <w:i w:val="0"/>
        <w:u w:color="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A672AF"/>
    <w:multiLevelType w:val="hybridMultilevel"/>
    <w:tmpl w:val="07AEE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6BA3753"/>
    <w:multiLevelType w:val="hybridMultilevel"/>
    <w:tmpl w:val="310638FE"/>
    <w:lvl w:ilvl="0" w:tplc="9D148D7A">
      <w:start w:val="1"/>
      <w:numFmt w:val="bullet"/>
      <w:lvlText w:val=""/>
      <w:lvlJc w:val="left"/>
      <w:pPr>
        <w:ind w:left="720" w:hanging="360"/>
      </w:pPr>
      <w:rPr>
        <w:rFonts w:ascii="Symbol" w:hAnsi="Symbol" w:hint="default"/>
        <w:u w:color="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E80D27"/>
    <w:multiLevelType w:val="hybridMultilevel"/>
    <w:tmpl w:val="97A659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7044CAD"/>
    <w:multiLevelType w:val="hybridMultilevel"/>
    <w:tmpl w:val="AB92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98659A"/>
    <w:multiLevelType w:val="hybridMultilevel"/>
    <w:tmpl w:val="938840B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BD21972"/>
    <w:multiLevelType w:val="hybridMultilevel"/>
    <w:tmpl w:val="4EC8AEBC"/>
    <w:lvl w:ilvl="0" w:tplc="FA80B3E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0851BC"/>
    <w:multiLevelType w:val="hybridMultilevel"/>
    <w:tmpl w:val="B540F84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620" w:hanging="18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0C75C00"/>
    <w:multiLevelType w:val="hybridMultilevel"/>
    <w:tmpl w:val="74CA0626"/>
    <w:lvl w:ilvl="0" w:tplc="A1CC7D04">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3C63AEE"/>
    <w:multiLevelType w:val="hybridMultilevel"/>
    <w:tmpl w:val="1564E91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5E11280"/>
    <w:multiLevelType w:val="hybridMultilevel"/>
    <w:tmpl w:val="F5B0E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5FF7B93"/>
    <w:multiLevelType w:val="hybridMultilevel"/>
    <w:tmpl w:val="0C9ADF00"/>
    <w:lvl w:ilvl="0" w:tplc="554A5298">
      <w:start w:val="1"/>
      <w:numFmt w:val="decimal"/>
      <w:lvlText w:val="%1."/>
      <w:lvlJc w:val="left"/>
      <w:pPr>
        <w:ind w:left="1620" w:hanging="360"/>
      </w:pPr>
      <w:rPr>
        <w:rFonts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nsid w:val="766975E0"/>
    <w:multiLevelType w:val="hybridMultilevel"/>
    <w:tmpl w:val="E39C5AF6"/>
    <w:lvl w:ilvl="0" w:tplc="554A5298">
      <w:start w:val="1"/>
      <w:numFmt w:val="decimal"/>
      <w:lvlText w:val="%1."/>
      <w:lvlJc w:val="left"/>
      <w:pPr>
        <w:ind w:left="1440" w:hanging="360"/>
      </w:pPr>
      <w:rPr>
        <w:rFonts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9CD124C"/>
    <w:multiLevelType w:val="hybridMultilevel"/>
    <w:tmpl w:val="308AA1F6"/>
    <w:lvl w:ilvl="0" w:tplc="554A5298">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E6D76B2"/>
    <w:multiLevelType w:val="hybridMultilevel"/>
    <w:tmpl w:val="99F02636"/>
    <w:lvl w:ilvl="0" w:tplc="9D148D7A">
      <w:start w:val="1"/>
      <w:numFmt w:val="bullet"/>
      <w:lvlText w:val=""/>
      <w:lvlJc w:val="left"/>
      <w:pPr>
        <w:ind w:left="720" w:hanging="360"/>
      </w:pPr>
      <w:rPr>
        <w:rFonts w:ascii="Symbol" w:hAnsi="Symbol" w:hint="default"/>
        <w:u w:color="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872782"/>
    <w:multiLevelType w:val="hybridMultilevel"/>
    <w:tmpl w:val="BB5EA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1"/>
  </w:num>
  <w:num w:numId="4">
    <w:abstractNumId w:val="2"/>
  </w:num>
  <w:num w:numId="5">
    <w:abstractNumId w:val="7"/>
  </w:num>
  <w:num w:numId="6">
    <w:abstractNumId w:val="10"/>
  </w:num>
  <w:num w:numId="7">
    <w:abstractNumId w:val="4"/>
  </w:num>
  <w:num w:numId="8">
    <w:abstractNumId w:val="9"/>
  </w:num>
  <w:num w:numId="9">
    <w:abstractNumId w:val="41"/>
  </w:num>
  <w:num w:numId="10">
    <w:abstractNumId w:val="23"/>
  </w:num>
  <w:num w:numId="11">
    <w:abstractNumId w:val="25"/>
  </w:num>
  <w:num w:numId="12">
    <w:abstractNumId w:val="24"/>
  </w:num>
  <w:num w:numId="13">
    <w:abstractNumId w:val="19"/>
  </w:num>
  <w:num w:numId="14">
    <w:abstractNumId w:val="27"/>
  </w:num>
  <w:num w:numId="15">
    <w:abstractNumId w:val="39"/>
  </w:num>
  <w:num w:numId="16">
    <w:abstractNumId w:val="30"/>
  </w:num>
  <w:num w:numId="17">
    <w:abstractNumId w:val="5"/>
  </w:num>
  <w:num w:numId="18">
    <w:abstractNumId w:val="18"/>
  </w:num>
  <w:num w:numId="19">
    <w:abstractNumId w:val="12"/>
  </w:num>
  <w:num w:numId="20">
    <w:abstractNumId w:val="28"/>
  </w:num>
  <w:num w:numId="21">
    <w:abstractNumId w:val="32"/>
  </w:num>
  <w:num w:numId="22">
    <w:abstractNumId w:val="13"/>
  </w:num>
  <w:num w:numId="23">
    <w:abstractNumId w:val="37"/>
  </w:num>
  <w:num w:numId="24">
    <w:abstractNumId w:val="40"/>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2"/>
  </w:num>
  <w:num w:numId="30">
    <w:abstractNumId w:val="36"/>
  </w:num>
  <w:num w:numId="31">
    <w:abstractNumId w:val="34"/>
  </w:num>
  <w:num w:numId="32">
    <w:abstractNumId w:val="43"/>
  </w:num>
  <w:num w:numId="33">
    <w:abstractNumId w:val="6"/>
  </w:num>
  <w:num w:numId="34">
    <w:abstractNumId w:val="48"/>
  </w:num>
  <w:num w:numId="35">
    <w:abstractNumId w:val="26"/>
  </w:num>
  <w:num w:numId="36">
    <w:abstractNumId w:val="0"/>
  </w:num>
  <w:num w:numId="37">
    <w:abstractNumId w:val="35"/>
  </w:num>
  <w:num w:numId="38">
    <w:abstractNumId w:val="11"/>
  </w:num>
  <w:num w:numId="39">
    <w:abstractNumId w:val="3"/>
  </w:num>
  <w:num w:numId="40">
    <w:abstractNumId w:val="47"/>
  </w:num>
  <w:num w:numId="41">
    <w:abstractNumId w:val="1"/>
  </w:num>
  <w:num w:numId="42">
    <w:abstractNumId w:val="45"/>
  </w:num>
  <w:num w:numId="43">
    <w:abstractNumId w:val="46"/>
  </w:num>
  <w:num w:numId="44">
    <w:abstractNumId w:val="8"/>
  </w:num>
  <w:num w:numId="45">
    <w:abstractNumId w:val="17"/>
  </w:num>
  <w:num w:numId="46">
    <w:abstractNumId w:val="44"/>
  </w:num>
  <w:num w:numId="47">
    <w:abstractNumId w:val="33"/>
  </w:num>
  <w:num w:numId="48">
    <w:abstractNumId w:val="14"/>
  </w:num>
  <w:num w:numId="49">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0B"/>
    <w:rsid w:val="00003F5B"/>
    <w:rsid w:val="00012449"/>
    <w:rsid w:val="00013A67"/>
    <w:rsid w:val="00014D58"/>
    <w:rsid w:val="000237FD"/>
    <w:rsid w:val="00025CCC"/>
    <w:rsid w:val="00031704"/>
    <w:rsid w:val="00044F85"/>
    <w:rsid w:val="00050ABE"/>
    <w:rsid w:val="000653D9"/>
    <w:rsid w:val="000671F2"/>
    <w:rsid w:val="0007594E"/>
    <w:rsid w:val="000769A8"/>
    <w:rsid w:val="00076F87"/>
    <w:rsid w:val="00077D55"/>
    <w:rsid w:val="00081215"/>
    <w:rsid w:val="00097211"/>
    <w:rsid w:val="000979FB"/>
    <w:rsid w:val="000A1376"/>
    <w:rsid w:val="000A3776"/>
    <w:rsid w:val="000A7C76"/>
    <w:rsid w:val="000B7759"/>
    <w:rsid w:val="000C0FF9"/>
    <w:rsid w:val="000C10E8"/>
    <w:rsid w:val="000D0708"/>
    <w:rsid w:val="000E0190"/>
    <w:rsid w:val="000E4DA9"/>
    <w:rsid w:val="000E59D3"/>
    <w:rsid w:val="000F2BD7"/>
    <w:rsid w:val="00114252"/>
    <w:rsid w:val="001229E1"/>
    <w:rsid w:val="0012617B"/>
    <w:rsid w:val="001458EF"/>
    <w:rsid w:val="00172F09"/>
    <w:rsid w:val="00176371"/>
    <w:rsid w:val="00181F2D"/>
    <w:rsid w:val="001854E8"/>
    <w:rsid w:val="00192745"/>
    <w:rsid w:val="001945C1"/>
    <w:rsid w:val="001E0218"/>
    <w:rsid w:val="001E4983"/>
    <w:rsid w:val="00215A4E"/>
    <w:rsid w:val="0022108E"/>
    <w:rsid w:val="0022264E"/>
    <w:rsid w:val="00233DA0"/>
    <w:rsid w:val="0023510C"/>
    <w:rsid w:val="002452A8"/>
    <w:rsid w:val="002456AB"/>
    <w:rsid w:val="0025052E"/>
    <w:rsid w:val="00252D5B"/>
    <w:rsid w:val="0025441F"/>
    <w:rsid w:val="002557E5"/>
    <w:rsid w:val="002614A1"/>
    <w:rsid w:val="002778C0"/>
    <w:rsid w:val="002A6073"/>
    <w:rsid w:val="002D0108"/>
    <w:rsid w:val="002D2134"/>
    <w:rsid w:val="002D43D7"/>
    <w:rsid w:val="002E0B0D"/>
    <w:rsid w:val="002F27E0"/>
    <w:rsid w:val="00302683"/>
    <w:rsid w:val="0030454B"/>
    <w:rsid w:val="00312DE5"/>
    <w:rsid w:val="0031712A"/>
    <w:rsid w:val="00323165"/>
    <w:rsid w:val="0033680A"/>
    <w:rsid w:val="00343C16"/>
    <w:rsid w:val="00353BAC"/>
    <w:rsid w:val="00362E61"/>
    <w:rsid w:val="00363DEA"/>
    <w:rsid w:val="003667D9"/>
    <w:rsid w:val="00380CDE"/>
    <w:rsid w:val="00380FEE"/>
    <w:rsid w:val="0039173A"/>
    <w:rsid w:val="0039176C"/>
    <w:rsid w:val="003944D7"/>
    <w:rsid w:val="003B0879"/>
    <w:rsid w:val="003B21A8"/>
    <w:rsid w:val="003B497A"/>
    <w:rsid w:val="003C0140"/>
    <w:rsid w:val="003C0BBC"/>
    <w:rsid w:val="003C57D3"/>
    <w:rsid w:val="003C62A4"/>
    <w:rsid w:val="003E5CDA"/>
    <w:rsid w:val="003E6DEE"/>
    <w:rsid w:val="003F513A"/>
    <w:rsid w:val="003F72DC"/>
    <w:rsid w:val="004004D2"/>
    <w:rsid w:val="00402630"/>
    <w:rsid w:val="00406ACA"/>
    <w:rsid w:val="00411792"/>
    <w:rsid w:val="0041353C"/>
    <w:rsid w:val="00425722"/>
    <w:rsid w:val="004278B7"/>
    <w:rsid w:val="004472A9"/>
    <w:rsid w:val="00455611"/>
    <w:rsid w:val="00456C2D"/>
    <w:rsid w:val="004618E5"/>
    <w:rsid w:val="004753E6"/>
    <w:rsid w:val="00480E1B"/>
    <w:rsid w:val="00495C7F"/>
    <w:rsid w:val="004967FE"/>
    <w:rsid w:val="004A60B3"/>
    <w:rsid w:val="004B73B7"/>
    <w:rsid w:val="004B7B8F"/>
    <w:rsid w:val="004C1C71"/>
    <w:rsid w:val="004C286F"/>
    <w:rsid w:val="004D28B8"/>
    <w:rsid w:val="004E4C31"/>
    <w:rsid w:val="004E50B8"/>
    <w:rsid w:val="004E5FFC"/>
    <w:rsid w:val="004F15DC"/>
    <w:rsid w:val="004F61D8"/>
    <w:rsid w:val="004F6C3B"/>
    <w:rsid w:val="004F7124"/>
    <w:rsid w:val="005009C1"/>
    <w:rsid w:val="00506C16"/>
    <w:rsid w:val="0050728B"/>
    <w:rsid w:val="005125E1"/>
    <w:rsid w:val="00520362"/>
    <w:rsid w:val="00524405"/>
    <w:rsid w:val="0052598A"/>
    <w:rsid w:val="00531246"/>
    <w:rsid w:val="0053520E"/>
    <w:rsid w:val="005417B0"/>
    <w:rsid w:val="0054474E"/>
    <w:rsid w:val="00562685"/>
    <w:rsid w:val="00571587"/>
    <w:rsid w:val="00580182"/>
    <w:rsid w:val="00580E0E"/>
    <w:rsid w:val="005831F2"/>
    <w:rsid w:val="00592623"/>
    <w:rsid w:val="005A2BAF"/>
    <w:rsid w:val="005A5E60"/>
    <w:rsid w:val="005B2A95"/>
    <w:rsid w:val="005C01A0"/>
    <w:rsid w:val="005C091F"/>
    <w:rsid w:val="005C18C7"/>
    <w:rsid w:val="005D61AB"/>
    <w:rsid w:val="005E1733"/>
    <w:rsid w:val="005E75D0"/>
    <w:rsid w:val="005F2F67"/>
    <w:rsid w:val="005F444A"/>
    <w:rsid w:val="00601A8A"/>
    <w:rsid w:val="0060618C"/>
    <w:rsid w:val="0061053D"/>
    <w:rsid w:val="00623DAA"/>
    <w:rsid w:val="00624D5E"/>
    <w:rsid w:val="00625CDF"/>
    <w:rsid w:val="00626E45"/>
    <w:rsid w:val="0063118E"/>
    <w:rsid w:val="00632784"/>
    <w:rsid w:val="00633388"/>
    <w:rsid w:val="006366BD"/>
    <w:rsid w:val="00644012"/>
    <w:rsid w:val="00645BE6"/>
    <w:rsid w:val="00653973"/>
    <w:rsid w:val="00664156"/>
    <w:rsid w:val="006665A8"/>
    <w:rsid w:val="006667A9"/>
    <w:rsid w:val="006776EE"/>
    <w:rsid w:val="00681678"/>
    <w:rsid w:val="00681F65"/>
    <w:rsid w:val="0069352C"/>
    <w:rsid w:val="006A34EB"/>
    <w:rsid w:val="006A546C"/>
    <w:rsid w:val="006C04AC"/>
    <w:rsid w:val="006C655A"/>
    <w:rsid w:val="006C6977"/>
    <w:rsid w:val="006E4CD1"/>
    <w:rsid w:val="006E57E7"/>
    <w:rsid w:val="006E78CC"/>
    <w:rsid w:val="006F14B3"/>
    <w:rsid w:val="006F51AE"/>
    <w:rsid w:val="006F7171"/>
    <w:rsid w:val="007000CF"/>
    <w:rsid w:val="007100CA"/>
    <w:rsid w:val="007127E0"/>
    <w:rsid w:val="007262A3"/>
    <w:rsid w:val="0073047F"/>
    <w:rsid w:val="00730EDE"/>
    <w:rsid w:val="00733654"/>
    <w:rsid w:val="00751D27"/>
    <w:rsid w:val="00764FB1"/>
    <w:rsid w:val="00775D1A"/>
    <w:rsid w:val="00776D9F"/>
    <w:rsid w:val="00776E52"/>
    <w:rsid w:val="0078190B"/>
    <w:rsid w:val="007A32A2"/>
    <w:rsid w:val="007B2185"/>
    <w:rsid w:val="007B3EC6"/>
    <w:rsid w:val="007C2969"/>
    <w:rsid w:val="007C3986"/>
    <w:rsid w:val="007F3DD1"/>
    <w:rsid w:val="00800E62"/>
    <w:rsid w:val="008039CD"/>
    <w:rsid w:val="008061BF"/>
    <w:rsid w:val="00827399"/>
    <w:rsid w:val="00832458"/>
    <w:rsid w:val="008368BA"/>
    <w:rsid w:val="00837602"/>
    <w:rsid w:val="00837A43"/>
    <w:rsid w:val="00845916"/>
    <w:rsid w:val="008479B9"/>
    <w:rsid w:val="00853F8E"/>
    <w:rsid w:val="00855E60"/>
    <w:rsid w:val="00865ABD"/>
    <w:rsid w:val="00867A48"/>
    <w:rsid w:val="00884613"/>
    <w:rsid w:val="008865D7"/>
    <w:rsid w:val="00891FA6"/>
    <w:rsid w:val="008921F5"/>
    <w:rsid w:val="00893A39"/>
    <w:rsid w:val="008A5975"/>
    <w:rsid w:val="008A6FE3"/>
    <w:rsid w:val="008B08FD"/>
    <w:rsid w:val="008B5CE0"/>
    <w:rsid w:val="008B77C0"/>
    <w:rsid w:val="008C47D8"/>
    <w:rsid w:val="008C63CA"/>
    <w:rsid w:val="008D191C"/>
    <w:rsid w:val="008E29C0"/>
    <w:rsid w:val="008E3AAE"/>
    <w:rsid w:val="008F042F"/>
    <w:rsid w:val="008F2C66"/>
    <w:rsid w:val="008F3646"/>
    <w:rsid w:val="008F3A8B"/>
    <w:rsid w:val="008F5C79"/>
    <w:rsid w:val="0090259E"/>
    <w:rsid w:val="00902F51"/>
    <w:rsid w:val="00906C35"/>
    <w:rsid w:val="0091211C"/>
    <w:rsid w:val="00916AC0"/>
    <w:rsid w:val="0092220E"/>
    <w:rsid w:val="0092682B"/>
    <w:rsid w:val="00930F05"/>
    <w:rsid w:val="00931794"/>
    <w:rsid w:val="00941019"/>
    <w:rsid w:val="00997F75"/>
    <w:rsid w:val="009A2415"/>
    <w:rsid w:val="009C56DB"/>
    <w:rsid w:val="009D69AB"/>
    <w:rsid w:val="009E559B"/>
    <w:rsid w:val="009F72B5"/>
    <w:rsid w:val="00A17FE5"/>
    <w:rsid w:val="00A23E5D"/>
    <w:rsid w:val="00A275CC"/>
    <w:rsid w:val="00A37740"/>
    <w:rsid w:val="00A41DD5"/>
    <w:rsid w:val="00A421FF"/>
    <w:rsid w:val="00A5107B"/>
    <w:rsid w:val="00A5415A"/>
    <w:rsid w:val="00A72E58"/>
    <w:rsid w:val="00A77FD4"/>
    <w:rsid w:val="00A81FA6"/>
    <w:rsid w:val="00A8312E"/>
    <w:rsid w:val="00A83914"/>
    <w:rsid w:val="00A83AC6"/>
    <w:rsid w:val="00A84CF3"/>
    <w:rsid w:val="00A93BDC"/>
    <w:rsid w:val="00A94B2E"/>
    <w:rsid w:val="00A94D38"/>
    <w:rsid w:val="00A978F6"/>
    <w:rsid w:val="00AA5E48"/>
    <w:rsid w:val="00AB0274"/>
    <w:rsid w:val="00AB630B"/>
    <w:rsid w:val="00AD0989"/>
    <w:rsid w:val="00AE7573"/>
    <w:rsid w:val="00AF557A"/>
    <w:rsid w:val="00AF7BEC"/>
    <w:rsid w:val="00B22ECC"/>
    <w:rsid w:val="00B2312A"/>
    <w:rsid w:val="00B24DF1"/>
    <w:rsid w:val="00B41692"/>
    <w:rsid w:val="00B44868"/>
    <w:rsid w:val="00B51686"/>
    <w:rsid w:val="00B579F2"/>
    <w:rsid w:val="00B57E24"/>
    <w:rsid w:val="00B62111"/>
    <w:rsid w:val="00B803D8"/>
    <w:rsid w:val="00B80875"/>
    <w:rsid w:val="00B81E16"/>
    <w:rsid w:val="00B82C24"/>
    <w:rsid w:val="00B923E9"/>
    <w:rsid w:val="00BC5098"/>
    <w:rsid w:val="00BE4EE7"/>
    <w:rsid w:val="00BF1480"/>
    <w:rsid w:val="00C102B9"/>
    <w:rsid w:val="00C17F83"/>
    <w:rsid w:val="00C30FCD"/>
    <w:rsid w:val="00C3114E"/>
    <w:rsid w:val="00C336F4"/>
    <w:rsid w:val="00C44D3A"/>
    <w:rsid w:val="00C50341"/>
    <w:rsid w:val="00C55AD7"/>
    <w:rsid w:val="00C57A33"/>
    <w:rsid w:val="00C626BE"/>
    <w:rsid w:val="00C904DF"/>
    <w:rsid w:val="00C97419"/>
    <w:rsid w:val="00CA2BB6"/>
    <w:rsid w:val="00CB5ACB"/>
    <w:rsid w:val="00CC43D1"/>
    <w:rsid w:val="00CC6660"/>
    <w:rsid w:val="00CD1140"/>
    <w:rsid w:val="00CE34FE"/>
    <w:rsid w:val="00CE3A97"/>
    <w:rsid w:val="00CF399C"/>
    <w:rsid w:val="00CF566C"/>
    <w:rsid w:val="00D00BCB"/>
    <w:rsid w:val="00D27E34"/>
    <w:rsid w:val="00D326A8"/>
    <w:rsid w:val="00D4363F"/>
    <w:rsid w:val="00D4608D"/>
    <w:rsid w:val="00D46B6D"/>
    <w:rsid w:val="00D46EE0"/>
    <w:rsid w:val="00D53885"/>
    <w:rsid w:val="00D562C9"/>
    <w:rsid w:val="00D66C24"/>
    <w:rsid w:val="00D80B47"/>
    <w:rsid w:val="00D878F8"/>
    <w:rsid w:val="00D9326D"/>
    <w:rsid w:val="00D96B07"/>
    <w:rsid w:val="00DB6137"/>
    <w:rsid w:val="00DC20F8"/>
    <w:rsid w:val="00DC681C"/>
    <w:rsid w:val="00DC70AF"/>
    <w:rsid w:val="00DC7180"/>
    <w:rsid w:val="00DC7DC5"/>
    <w:rsid w:val="00DD4386"/>
    <w:rsid w:val="00DD4B36"/>
    <w:rsid w:val="00DD6B76"/>
    <w:rsid w:val="00DE0E51"/>
    <w:rsid w:val="00DF01E1"/>
    <w:rsid w:val="00DF0D3A"/>
    <w:rsid w:val="00E067EE"/>
    <w:rsid w:val="00E235B9"/>
    <w:rsid w:val="00E23D8D"/>
    <w:rsid w:val="00E2568F"/>
    <w:rsid w:val="00E44215"/>
    <w:rsid w:val="00E46E52"/>
    <w:rsid w:val="00E50130"/>
    <w:rsid w:val="00E508D5"/>
    <w:rsid w:val="00E55FD9"/>
    <w:rsid w:val="00E611F2"/>
    <w:rsid w:val="00E667BF"/>
    <w:rsid w:val="00E8158E"/>
    <w:rsid w:val="00E85BF6"/>
    <w:rsid w:val="00E86533"/>
    <w:rsid w:val="00E96ADE"/>
    <w:rsid w:val="00EA3FE7"/>
    <w:rsid w:val="00EA5C6C"/>
    <w:rsid w:val="00EB1ED8"/>
    <w:rsid w:val="00EB2688"/>
    <w:rsid w:val="00EB362B"/>
    <w:rsid w:val="00EB54C9"/>
    <w:rsid w:val="00EC0954"/>
    <w:rsid w:val="00ED3D99"/>
    <w:rsid w:val="00ED56B0"/>
    <w:rsid w:val="00ED5BBA"/>
    <w:rsid w:val="00EE1C59"/>
    <w:rsid w:val="00EE61A6"/>
    <w:rsid w:val="00EE7358"/>
    <w:rsid w:val="00EF1578"/>
    <w:rsid w:val="00F04628"/>
    <w:rsid w:val="00F11127"/>
    <w:rsid w:val="00F13CAA"/>
    <w:rsid w:val="00F14847"/>
    <w:rsid w:val="00F16B88"/>
    <w:rsid w:val="00F16BC7"/>
    <w:rsid w:val="00F2042F"/>
    <w:rsid w:val="00F23F51"/>
    <w:rsid w:val="00F34BAC"/>
    <w:rsid w:val="00F40C1D"/>
    <w:rsid w:val="00F4228B"/>
    <w:rsid w:val="00F475A4"/>
    <w:rsid w:val="00F54359"/>
    <w:rsid w:val="00F54A94"/>
    <w:rsid w:val="00F56B7A"/>
    <w:rsid w:val="00F6485E"/>
    <w:rsid w:val="00F7650F"/>
    <w:rsid w:val="00F77429"/>
    <w:rsid w:val="00F80C5A"/>
    <w:rsid w:val="00F82781"/>
    <w:rsid w:val="00F8398D"/>
    <w:rsid w:val="00F84321"/>
    <w:rsid w:val="00F973A1"/>
    <w:rsid w:val="00F9793D"/>
    <w:rsid w:val="00FB17E2"/>
    <w:rsid w:val="00FC7741"/>
    <w:rsid w:val="00FD3867"/>
    <w:rsid w:val="00FE47F1"/>
    <w:rsid w:val="00FF26B6"/>
    <w:rsid w:val="00FF26BB"/>
    <w:rsid w:val="00FF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34"/>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B497A"/>
    <w:pPr>
      <w:spacing w:after="120" w:line="480" w:lineRule="auto"/>
      <w:ind w:left="360"/>
    </w:pPr>
  </w:style>
  <w:style w:type="character" w:customStyle="1" w:styleId="BodyTextIndent2Char">
    <w:name w:val="Body Text Indent 2 Char"/>
    <w:basedOn w:val="DefaultParagraphFont"/>
    <w:link w:val="BodyTextIndent2"/>
    <w:uiPriority w:val="99"/>
    <w:semiHidden/>
    <w:rsid w:val="003B497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34"/>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B497A"/>
    <w:pPr>
      <w:spacing w:after="120" w:line="480" w:lineRule="auto"/>
      <w:ind w:left="360"/>
    </w:pPr>
  </w:style>
  <w:style w:type="character" w:customStyle="1" w:styleId="BodyTextIndent2Char">
    <w:name w:val="Body Text Indent 2 Char"/>
    <w:basedOn w:val="DefaultParagraphFont"/>
    <w:link w:val="BodyTextIndent2"/>
    <w:uiPriority w:val="99"/>
    <w:semiHidden/>
    <w:rsid w:val="003B49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374">
      <w:bodyDiv w:val="1"/>
      <w:marLeft w:val="0"/>
      <w:marRight w:val="0"/>
      <w:marTop w:val="0"/>
      <w:marBottom w:val="0"/>
      <w:divBdr>
        <w:top w:val="none" w:sz="0" w:space="0" w:color="auto"/>
        <w:left w:val="none" w:sz="0" w:space="0" w:color="auto"/>
        <w:bottom w:val="none" w:sz="0" w:space="0" w:color="auto"/>
        <w:right w:val="none" w:sz="0" w:space="0" w:color="auto"/>
      </w:divBdr>
    </w:div>
    <w:div w:id="35737958">
      <w:bodyDiv w:val="1"/>
      <w:marLeft w:val="0"/>
      <w:marRight w:val="0"/>
      <w:marTop w:val="0"/>
      <w:marBottom w:val="0"/>
      <w:divBdr>
        <w:top w:val="none" w:sz="0" w:space="0" w:color="auto"/>
        <w:left w:val="none" w:sz="0" w:space="0" w:color="auto"/>
        <w:bottom w:val="none" w:sz="0" w:space="0" w:color="auto"/>
        <w:right w:val="none" w:sz="0" w:space="0" w:color="auto"/>
      </w:divBdr>
    </w:div>
    <w:div w:id="141502528">
      <w:bodyDiv w:val="1"/>
      <w:marLeft w:val="0"/>
      <w:marRight w:val="0"/>
      <w:marTop w:val="0"/>
      <w:marBottom w:val="0"/>
      <w:divBdr>
        <w:top w:val="none" w:sz="0" w:space="0" w:color="auto"/>
        <w:left w:val="none" w:sz="0" w:space="0" w:color="auto"/>
        <w:bottom w:val="none" w:sz="0" w:space="0" w:color="auto"/>
        <w:right w:val="none" w:sz="0" w:space="0" w:color="auto"/>
      </w:divBdr>
    </w:div>
    <w:div w:id="243954072">
      <w:bodyDiv w:val="1"/>
      <w:marLeft w:val="0"/>
      <w:marRight w:val="0"/>
      <w:marTop w:val="0"/>
      <w:marBottom w:val="0"/>
      <w:divBdr>
        <w:top w:val="none" w:sz="0" w:space="0" w:color="auto"/>
        <w:left w:val="none" w:sz="0" w:space="0" w:color="auto"/>
        <w:bottom w:val="none" w:sz="0" w:space="0" w:color="auto"/>
        <w:right w:val="none" w:sz="0" w:space="0" w:color="auto"/>
      </w:divBdr>
    </w:div>
    <w:div w:id="299456555">
      <w:bodyDiv w:val="1"/>
      <w:marLeft w:val="0"/>
      <w:marRight w:val="0"/>
      <w:marTop w:val="0"/>
      <w:marBottom w:val="0"/>
      <w:divBdr>
        <w:top w:val="none" w:sz="0" w:space="0" w:color="auto"/>
        <w:left w:val="none" w:sz="0" w:space="0" w:color="auto"/>
        <w:bottom w:val="none" w:sz="0" w:space="0" w:color="auto"/>
        <w:right w:val="none" w:sz="0" w:space="0" w:color="auto"/>
      </w:divBdr>
    </w:div>
    <w:div w:id="334189186">
      <w:bodyDiv w:val="1"/>
      <w:marLeft w:val="0"/>
      <w:marRight w:val="0"/>
      <w:marTop w:val="0"/>
      <w:marBottom w:val="0"/>
      <w:divBdr>
        <w:top w:val="none" w:sz="0" w:space="0" w:color="auto"/>
        <w:left w:val="none" w:sz="0" w:space="0" w:color="auto"/>
        <w:bottom w:val="none" w:sz="0" w:space="0" w:color="auto"/>
        <w:right w:val="none" w:sz="0" w:space="0" w:color="auto"/>
      </w:divBdr>
    </w:div>
    <w:div w:id="730270341">
      <w:bodyDiv w:val="1"/>
      <w:marLeft w:val="0"/>
      <w:marRight w:val="0"/>
      <w:marTop w:val="0"/>
      <w:marBottom w:val="0"/>
      <w:divBdr>
        <w:top w:val="none" w:sz="0" w:space="0" w:color="auto"/>
        <w:left w:val="none" w:sz="0" w:space="0" w:color="auto"/>
        <w:bottom w:val="none" w:sz="0" w:space="0" w:color="auto"/>
        <w:right w:val="none" w:sz="0" w:space="0" w:color="auto"/>
      </w:divBdr>
    </w:div>
    <w:div w:id="771389979">
      <w:bodyDiv w:val="1"/>
      <w:marLeft w:val="0"/>
      <w:marRight w:val="0"/>
      <w:marTop w:val="0"/>
      <w:marBottom w:val="0"/>
      <w:divBdr>
        <w:top w:val="none" w:sz="0" w:space="0" w:color="auto"/>
        <w:left w:val="none" w:sz="0" w:space="0" w:color="auto"/>
        <w:bottom w:val="none" w:sz="0" w:space="0" w:color="auto"/>
        <w:right w:val="none" w:sz="0" w:space="0" w:color="auto"/>
      </w:divBdr>
    </w:div>
    <w:div w:id="1070691922">
      <w:bodyDiv w:val="1"/>
      <w:marLeft w:val="0"/>
      <w:marRight w:val="0"/>
      <w:marTop w:val="0"/>
      <w:marBottom w:val="0"/>
      <w:divBdr>
        <w:top w:val="none" w:sz="0" w:space="0" w:color="auto"/>
        <w:left w:val="none" w:sz="0" w:space="0" w:color="auto"/>
        <w:bottom w:val="none" w:sz="0" w:space="0" w:color="auto"/>
        <w:right w:val="none" w:sz="0" w:space="0" w:color="auto"/>
      </w:divBdr>
    </w:div>
    <w:div w:id="1081759410">
      <w:bodyDiv w:val="1"/>
      <w:marLeft w:val="0"/>
      <w:marRight w:val="0"/>
      <w:marTop w:val="0"/>
      <w:marBottom w:val="0"/>
      <w:divBdr>
        <w:top w:val="none" w:sz="0" w:space="0" w:color="auto"/>
        <w:left w:val="none" w:sz="0" w:space="0" w:color="auto"/>
        <w:bottom w:val="none" w:sz="0" w:space="0" w:color="auto"/>
        <w:right w:val="none" w:sz="0" w:space="0" w:color="auto"/>
      </w:divBdr>
    </w:div>
    <w:div w:id="1112438969">
      <w:bodyDiv w:val="1"/>
      <w:marLeft w:val="0"/>
      <w:marRight w:val="0"/>
      <w:marTop w:val="0"/>
      <w:marBottom w:val="0"/>
      <w:divBdr>
        <w:top w:val="none" w:sz="0" w:space="0" w:color="auto"/>
        <w:left w:val="none" w:sz="0" w:space="0" w:color="auto"/>
        <w:bottom w:val="none" w:sz="0" w:space="0" w:color="auto"/>
        <w:right w:val="none" w:sz="0" w:space="0" w:color="auto"/>
      </w:divBdr>
    </w:div>
    <w:div w:id="1161507892">
      <w:bodyDiv w:val="1"/>
      <w:marLeft w:val="0"/>
      <w:marRight w:val="0"/>
      <w:marTop w:val="0"/>
      <w:marBottom w:val="0"/>
      <w:divBdr>
        <w:top w:val="none" w:sz="0" w:space="0" w:color="auto"/>
        <w:left w:val="none" w:sz="0" w:space="0" w:color="auto"/>
        <w:bottom w:val="none" w:sz="0" w:space="0" w:color="auto"/>
        <w:right w:val="none" w:sz="0" w:space="0" w:color="auto"/>
      </w:divBdr>
    </w:div>
    <w:div w:id="1186674760">
      <w:bodyDiv w:val="1"/>
      <w:marLeft w:val="0"/>
      <w:marRight w:val="0"/>
      <w:marTop w:val="0"/>
      <w:marBottom w:val="0"/>
      <w:divBdr>
        <w:top w:val="none" w:sz="0" w:space="0" w:color="auto"/>
        <w:left w:val="none" w:sz="0" w:space="0" w:color="auto"/>
        <w:bottom w:val="none" w:sz="0" w:space="0" w:color="auto"/>
        <w:right w:val="none" w:sz="0" w:space="0" w:color="auto"/>
      </w:divBdr>
    </w:div>
    <w:div w:id="1285430169">
      <w:bodyDiv w:val="1"/>
      <w:marLeft w:val="0"/>
      <w:marRight w:val="0"/>
      <w:marTop w:val="0"/>
      <w:marBottom w:val="0"/>
      <w:divBdr>
        <w:top w:val="none" w:sz="0" w:space="0" w:color="auto"/>
        <w:left w:val="none" w:sz="0" w:space="0" w:color="auto"/>
        <w:bottom w:val="none" w:sz="0" w:space="0" w:color="auto"/>
        <w:right w:val="none" w:sz="0" w:space="0" w:color="auto"/>
      </w:divBdr>
    </w:div>
    <w:div w:id="1387413382">
      <w:bodyDiv w:val="1"/>
      <w:marLeft w:val="0"/>
      <w:marRight w:val="0"/>
      <w:marTop w:val="0"/>
      <w:marBottom w:val="0"/>
      <w:divBdr>
        <w:top w:val="none" w:sz="0" w:space="0" w:color="auto"/>
        <w:left w:val="none" w:sz="0" w:space="0" w:color="auto"/>
        <w:bottom w:val="none" w:sz="0" w:space="0" w:color="auto"/>
        <w:right w:val="none" w:sz="0" w:space="0" w:color="auto"/>
      </w:divBdr>
    </w:div>
    <w:div w:id="1464735692">
      <w:bodyDiv w:val="1"/>
      <w:marLeft w:val="0"/>
      <w:marRight w:val="0"/>
      <w:marTop w:val="0"/>
      <w:marBottom w:val="0"/>
      <w:divBdr>
        <w:top w:val="none" w:sz="0" w:space="0" w:color="auto"/>
        <w:left w:val="none" w:sz="0" w:space="0" w:color="auto"/>
        <w:bottom w:val="none" w:sz="0" w:space="0" w:color="auto"/>
        <w:right w:val="none" w:sz="0" w:space="0" w:color="auto"/>
      </w:divBdr>
    </w:div>
    <w:div w:id="1508786021">
      <w:bodyDiv w:val="1"/>
      <w:marLeft w:val="0"/>
      <w:marRight w:val="0"/>
      <w:marTop w:val="0"/>
      <w:marBottom w:val="0"/>
      <w:divBdr>
        <w:top w:val="none" w:sz="0" w:space="0" w:color="auto"/>
        <w:left w:val="none" w:sz="0" w:space="0" w:color="auto"/>
        <w:bottom w:val="none" w:sz="0" w:space="0" w:color="auto"/>
        <w:right w:val="none" w:sz="0" w:space="0" w:color="auto"/>
      </w:divBdr>
    </w:div>
    <w:div w:id="1510413610">
      <w:bodyDiv w:val="1"/>
      <w:marLeft w:val="0"/>
      <w:marRight w:val="0"/>
      <w:marTop w:val="0"/>
      <w:marBottom w:val="0"/>
      <w:divBdr>
        <w:top w:val="none" w:sz="0" w:space="0" w:color="auto"/>
        <w:left w:val="none" w:sz="0" w:space="0" w:color="auto"/>
        <w:bottom w:val="none" w:sz="0" w:space="0" w:color="auto"/>
        <w:right w:val="none" w:sz="0" w:space="0" w:color="auto"/>
      </w:divBdr>
    </w:div>
    <w:div w:id="1536849147">
      <w:bodyDiv w:val="1"/>
      <w:marLeft w:val="0"/>
      <w:marRight w:val="0"/>
      <w:marTop w:val="0"/>
      <w:marBottom w:val="0"/>
      <w:divBdr>
        <w:top w:val="none" w:sz="0" w:space="0" w:color="auto"/>
        <w:left w:val="none" w:sz="0" w:space="0" w:color="auto"/>
        <w:bottom w:val="none" w:sz="0" w:space="0" w:color="auto"/>
        <w:right w:val="none" w:sz="0" w:space="0" w:color="auto"/>
      </w:divBdr>
    </w:div>
    <w:div w:id="1600530314">
      <w:bodyDiv w:val="1"/>
      <w:marLeft w:val="0"/>
      <w:marRight w:val="0"/>
      <w:marTop w:val="0"/>
      <w:marBottom w:val="0"/>
      <w:divBdr>
        <w:top w:val="none" w:sz="0" w:space="0" w:color="auto"/>
        <w:left w:val="none" w:sz="0" w:space="0" w:color="auto"/>
        <w:bottom w:val="none" w:sz="0" w:space="0" w:color="auto"/>
        <w:right w:val="none" w:sz="0" w:space="0" w:color="auto"/>
      </w:divBdr>
    </w:div>
    <w:div w:id="1691563785">
      <w:bodyDiv w:val="1"/>
      <w:marLeft w:val="0"/>
      <w:marRight w:val="0"/>
      <w:marTop w:val="0"/>
      <w:marBottom w:val="0"/>
      <w:divBdr>
        <w:top w:val="none" w:sz="0" w:space="0" w:color="auto"/>
        <w:left w:val="none" w:sz="0" w:space="0" w:color="auto"/>
        <w:bottom w:val="none" w:sz="0" w:space="0" w:color="auto"/>
        <w:right w:val="none" w:sz="0" w:space="0" w:color="auto"/>
      </w:divBdr>
    </w:div>
    <w:div w:id="1713655187">
      <w:bodyDiv w:val="1"/>
      <w:marLeft w:val="0"/>
      <w:marRight w:val="0"/>
      <w:marTop w:val="0"/>
      <w:marBottom w:val="0"/>
      <w:divBdr>
        <w:top w:val="none" w:sz="0" w:space="0" w:color="auto"/>
        <w:left w:val="none" w:sz="0" w:space="0" w:color="auto"/>
        <w:bottom w:val="none" w:sz="0" w:space="0" w:color="auto"/>
        <w:right w:val="none" w:sz="0" w:space="0" w:color="auto"/>
      </w:divBdr>
    </w:div>
    <w:div w:id="1794514804">
      <w:bodyDiv w:val="1"/>
      <w:marLeft w:val="0"/>
      <w:marRight w:val="0"/>
      <w:marTop w:val="0"/>
      <w:marBottom w:val="0"/>
      <w:divBdr>
        <w:top w:val="none" w:sz="0" w:space="0" w:color="auto"/>
        <w:left w:val="none" w:sz="0" w:space="0" w:color="auto"/>
        <w:bottom w:val="none" w:sz="0" w:space="0" w:color="auto"/>
        <w:right w:val="none" w:sz="0" w:space="0" w:color="auto"/>
      </w:divBdr>
    </w:div>
    <w:div w:id="1813791301">
      <w:bodyDiv w:val="1"/>
      <w:marLeft w:val="0"/>
      <w:marRight w:val="0"/>
      <w:marTop w:val="0"/>
      <w:marBottom w:val="0"/>
      <w:divBdr>
        <w:top w:val="none" w:sz="0" w:space="0" w:color="auto"/>
        <w:left w:val="none" w:sz="0" w:space="0" w:color="auto"/>
        <w:bottom w:val="none" w:sz="0" w:space="0" w:color="auto"/>
        <w:right w:val="none" w:sz="0" w:space="0" w:color="auto"/>
      </w:divBdr>
    </w:div>
    <w:div w:id="1842037522">
      <w:bodyDiv w:val="1"/>
      <w:marLeft w:val="0"/>
      <w:marRight w:val="0"/>
      <w:marTop w:val="0"/>
      <w:marBottom w:val="0"/>
      <w:divBdr>
        <w:top w:val="none" w:sz="0" w:space="0" w:color="auto"/>
        <w:left w:val="none" w:sz="0" w:space="0" w:color="auto"/>
        <w:bottom w:val="none" w:sz="0" w:space="0" w:color="auto"/>
        <w:right w:val="none" w:sz="0" w:space="0" w:color="auto"/>
      </w:divBdr>
    </w:div>
    <w:div w:id="1924680881">
      <w:bodyDiv w:val="1"/>
      <w:marLeft w:val="0"/>
      <w:marRight w:val="0"/>
      <w:marTop w:val="0"/>
      <w:marBottom w:val="0"/>
      <w:divBdr>
        <w:top w:val="none" w:sz="0" w:space="0" w:color="auto"/>
        <w:left w:val="none" w:sz="0" w:space="0" w:color="auto"/>
        <w:bottom w:val="none" w:sz="0" w:space="0" w:color="auto"/>
        <w:right w:val="none" w:sz="0" w:space="0" w:color="auto"/>
      </w:divBdr>
    </w:div>
    <w:div w:id="20945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4C69-A47D-4AE0-BC9D-0A77C119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2561</Words>
  <Characters>14317</Characters>
  <Application>Microsoft Office Word</Application>
  <DocSecurity>4</DocSecurity>
  <Lines>715</Lines>
  <Paragraphs>482</Paragraphs>
  <ScaleCrop>false</ScaleCrop>
  <HeadingPairs>
    <vt:vector size="2" baseType="variant">
      <vt:variant>
        <vt:lpstr>Title</vt:lpstr>
      </vt:variant>
      <vt:variant>
        <vt:i4>1</vt:i4>
      </vt:variant>
    </vt:vector>
  </HeadingPairs>
  <TitlesOfParts>
    <vt:vector size="1" baseType="lpstr">
      <vt:lpstr>MaineDOT Locally Coordinated Transit Plan Region 4</vt:lpstr>
    </vt:vector>
  </TitlesOfParts>
  <Company>HP</Company>
  <LinksUpToDate>false</LinksUpToDate>
  <CharactersWithSpaces>16396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MaineDOT Locally Coordinated Transit Plan Region 4</dc:title>
  <dc:creator>Rich Rothe</dc:creator>
  <cp:lastModifiedBy>Mitchell, Kip</cp:lastModifiedBy>
  <cp:revision>2</cp:revision>
  <cp:lastPrinted>2017-05-02T18:22:00Z</cp:lastPrinted>
  <dcterms:created xsi:type="dcterms:W3CDTF">2017-06-02T18:26:00Z</dcterms:created>
  <dcterms:modified xsi:type="dcterms:W3CDTF">2017-06-02T18:26:00Z</dcterms:modified>
</cp:coreProperties>
</file>