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ED" w:rsidRPr="00B65772" w:rsidRDefault="00FB3731" w:rsidP="00B6577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65772">
        <w:rPr>
          <w:b/>
          <w:sz w:val="28"/>
          <w:szCs w:val="28"/>
        </w:rPr>
        <w:t>Mid-Coast Connector</w:t>
      </w:r>
      <w:r w:rsidR="00B65772" w:rsidRPr="00B65772">
        <w:rPr>
          <w:b/>
          <w:sz w:val="28"/>
          <w:szCs w:val="28"/>
        </w:rPr>
        <w:t xml:space="preserve"> Brokerage</w:t>
      </w:r>
    </w:p>
    <w:p w:rsidR="00B65772" w:rsidRDefault="00B65772" w:rsidP="00B65772">
      <w:pPr>
        <w:spacing w:after="0" w:line="240" w:lineRule="auto"/>
        <w:jc w:val="center"/>
        <w:rPr>
          <w:b/>
          <w:sz w:val="24"/>
          <w:szCs w:val="24"/>
        </w:rPr>
      </w:pPr>
    </w:p>
    <w:p w:rsidR="00B65772" w:rsidRPr="00B65772" w:rsidRDefault="00B65772" w:rsidP="00B65772">
      <w:pPr>
        <w:spacing w:after="0" w:line="240" w:lineRule="auto"/>
        <w:rPr>
          <w:b/>
          <w:sz w:val="28"/>
          <w:szCs w:val="28"/>
        </w:rPr>
      </w:pPr>
      <w:r w:rsidRPr="00B65772">
        <w:rPr>
          <w:b/>
          <w:sz w:val="28"/>
          <w:szCs w:val="28"/>
        </w:rPr>
        <w:t>Contact Information</w:t>
      </w:r>
    </w:p>
    <w:p w:rsidR="00B65772" w:rsidRDefault="00B65772" w:rsidP="00B65772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</w:p>
    <w:p w:rsidR="00B65772" w:rsidRDefault="00B65772" w:rsidP="00B65772">
      <w:pPr>
        <w:tabs>
          <w:tab w:val="left" w:pos="360"/>
        </w:tabs>
        <w:spacing w:after="0" w:line="240" w:lineRule="auto"/>
        <w:rPr>
          <w:rFonts w:cs="Arial"/>
          <w:color w:val="000000"/>
        </w:rPr>
      </w:pPr>
      <w:r>
        <w:rPr>
          <w:b/>
          <w:sz w:val="24"/>
          <w:szCs w:val="24"/>
        </w:rPr>
        <w:tab/>
      </w:r>
      <w:r w:rsidRPr="00B65772">
        <w:t>Contact person:</w:t>
      </w:r>
      <w:r>
        <w:tab/>
      </w:r>
      <w:r>
        <w:tab/>
      </w:r>
      <w:r>
        <w:rPr>
          <w:rFonts w:cs="Arial"/>
          <w:color w:val="000000"/>
        </w:rPr>
        <w:t>Michael E. Hallundbaek,</w:t>
      </w:r>
      <w:r w:rsidRPr="00BD71D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Transit Systems Director</w:t>
      </w:r>
    </w:p>
    <w:p w:rsidR="00B65772" w:rsidRDefault="00B65772" w:rsidP="00B65772">
      <w:pPr>
        <w:tabs>
          <w:tab w:val="left" w:pos="360"/>
        </w:tabs>
        <w:spacing w:after="0" w:line="240" w:lineRule="auto"/>
      </w:pPr>
      <w:r>
        <w:rPr>
          <w:rFonts w:cs="Arial"/>
          <w:color w:val="000000"/>
        </w:rPr>
        <w:tab/>
        <w:t>Address:</w:t>
      </w:r>
      <w:r w:rsidRPr="00B65772">
        <w:tab/>
      </w:r>
      <w:r w:rsidRPr="00B65772">
        <w:tab/>
      </w:r>
      <w:r w:rsidRPr="00B65772">
        <w:tab/>
      </w:r>
      <w:r>
        <w:t>P. O. Box 130, Belfast, ME 04915</w:t>
      </w:r>
    </w:p>
    <w:p w:rsidR="00B65772" w:rsidRPr="00BD71DB" w:rsidRDefault="00B65772" w:rsidP="00B65772">
      <w:pPr>
        <w:tabs>
          <w:tab w:val="left" w:pos="2880"/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Telephone number: </w:t>
      </w:r>
      <w:r>
        <w:rPr>
          <w:rFonts w:cs="Arial"/>
          <w:color w:val="000000"/>
        </w:rPr>
        <w:tab/>
      </w:r>
      <w:r w:rsidRPr="00BD71DB">
        <w:rPr>
          <w:rFonts w:cs="Arial"/>
          <w:color w:val="000000"/>
        </w:rPr>
        <w:t xml:space="preserve">(207) </w:t>
      </w:r>
      <w:r>
        <w:rPr>
          <w:rFonts w:cs="Arial"/>
          <w:color w:val="000000"/>
        </w:rPr>
        <w:t>930-7900</w:t>
      </w:r>
    </w:p>
    <w:p w:rsidR="00B65772" w:rsidRPr="00BD71DB" w:rsidRDefault="00B65772" w:rsidP="00B65772">
      <w:pPr>
        <w:tabs>
          <w:tab w:val="left" w:pos="2880"/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E-mail:</w:t>
      </w:r>
      <w:r>
        <w:rPr>
          <w:rFonts w:cs="Arial"/>
          <w:color w:val="000000"/>
        </w:rPr>
        <w:tab/>
      </w:r>
      <w:hyperlink r:id="rId7" w:history="1">
        <w:r w:rsidRPr="0080006F">
          <w:rPr>
            <w:rStyle w:val="Hyperlink"/>
            <w:rFonts w:cs="Arial"/>
          </w:rPr>
          <w:t>MHallundbeak@MidCoastConnector.org</w:t>
        </w:r>
      </w:hyperlink>
    </w:p>
    <w:p w:rsidR="00B65772" w:rsidRPr="00BD71DB" w:rsidRDefault="00B65772" w:rsidP="00B65772">
      <w:pPr>
        <w:tabs>
          <w:tab w:val="left" w:pos="2880"/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>Website:</w:t>
      </w:r>
      <w:r w:rsidRPr="00BD71DB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midcoastconnector.org </w:t>
      </w:r>
    </w:p>
    <w:p w:rsidR="00B65772" w:rsidRDefault="00B65772" w:rsidP="005F7C20">
      <w:pPr>
        <w:pStyle w:val="ListParagraph"/>
        <w:spacing w:after="0" w:line="240" w:lineRule="auto"/>
        <w:ind w:left="0"/>
        <w:jc w:val="both"/>
      </w:pPr>
      <w:r>
        <w:tab/>
      </w:r>
    </w:p>
    <w:p w:rsidR="00B65772" w:rsidRDefault="00B65772" w:rsidP="005F7C20">
      <w:pPr>
        <w:pStyle w:val="ListParagraph"/>
        <w:spacing w:after="0" w:line="240" w:lineRule="auto"/>
        <w:ind w:left="0"/>
        <w:jc w:val="both"/>
      </w:pPr>
    </w:p>
    <w:p w:rsidR="00F040ED" w:rsidRPr="0084019F" w:rsidRDefault="00F040ED" w:rsidP="005F7C20">
      <w:pPr>
        <w:pStyle w:val="ListParagraph"/>
        <w:spacing w:after="0" w:line="240" w:lineRule="auto"/>
        <w:ind w:left="0"/>
        <w:jc w:val="both"/>
      </w:pPr>
      <w:r w:rsidRPr="0084019F">
        <w:t xml:space="preserve">Waldo Community Action Partners </w:t>
      </w:r>
      <w:r w:rsidR="00AE3062" w:rsidRPr="0084019F">
        <w:t xml:space="preserve">(WCAP) </w:t>
      </w:r>
      <w:r w:rsidRPr="0084019F">
        <w:t>provides transportation throughout MaineDOT Region 5 via two separate entities:</w:t>
      </w:r>
    </w:p>
    <w:p w:rsidR="00F040ED" w:rsidRPr="0084019F" w:rsidRDefault="00F040ED" w:rsidP="005F7C20">
      <w:pPr>
        <w:pStyle w:val="ListParagraph"/>
        <w:spacing w:after="0" w:line="240" w:lineRule="auto"/>
        <w:ind w:left="0"/>
        <w:jc w:val="both"/>
      </w:pPr>
    </w:p>
    <w:p w:rsidR="00F040ED" w:rsidRPr="0084019F" w:rsidRDefault="00F040ED" w:rsidP="00F040ED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84019F">
        <w:rPr>
          <w:b/>
        </w:rPr>
        <w:t>Mid-Coast Connector</w:t>
      </w:r>
      <w:r w:rsidRPr="0084019F">
        <w:t xml:space="preserve"> is the MaineCare NET transportation </w:t>
      </w:r>
      <w:r w:rsidR="00AE3062" w:rsidRPr="0084019F">
        <w:t>broker.</w:t>
      </w:r>
      <w:r w:rsidRPr="0084019F">
        <w:t xml:space="preserve"> </w:t>
      </w:r>
    </w:p>
    <w:p w:rsidR="00F040ED" w:rsidRPr="0084019F" w:rsidRDefault="00F040ED" w:rsidP="00F040ED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84019F">
        <w:rPr>
          <w:b/>
        </w:rPr>
        <w:t>Mid</w:t>
      </w:r>
      <w:r w:rsidR="00B65772">
        <w:rPr>
          <w:b/>
        </w:rPr>
        <w:t>-C</w:t>
      </w:r>
      <w:r w:rsidRPr="0084019F">
        <w:rPr>
          <w:b/>
        </w:rPr>
        <w:t>oast Public Transportation</w:t>
      </w:r>
      <w:r w:rsidRPr="0084019F">
        <w:t xml:space="preserve"> provides transportation for the general public. </w:t>
      </w:r>
    </w:p>
    <w:p w:rsidR="00F040ED" w:rsidRPr="0084019F" w:rsidRDefault="00F040ED" w:rsidP="005F7C20">
      <w:pPr>
        <w:pStyle w:val="ListParagraph"/>
        <w:spacing w:after="0" w:line="240" w:lineRule="auto"/>
        <w:ind w:left="0"/>
        <w:jc w:val="both"/>
        <w:rPr>
          <w:i/>
        </w:rPr>
      </w:pPr>
    </w:p>
    <w:p w:rsidR="0050209F" w:rsidRPr="0084019F" w:rsidRDefault="0050209F" w:rsidP="0050209F">
      <w:pPr>
        <w:spacing w:after="0" w:line="240" w:lineRule="auto"/>
        <w:jc w:val="both"/>
      </w:pPr>
      <w:r w:rsidRPr="0084019F">
        <w:t>Mid-Coast Connector (the Broker) and Mid</w:t>
      </w:r>
      <w:r w:rsidR="00B65772">
        <w:t>-C</w:t>
      </w:r>
      <w:r w:rsidRPr="0084019F">
        <w:t>oast Public Transportation (the public transportation provider</w:t>
      </w:r>
      <w:r w:rsidR="00FE6602" w:rsidRPr="0084019F">
        <w:t>)</w:t>
      </w:r>
      <w:r w:rsidRPr="0084019F">
        <w:t xml:space="preserve"> are located in same building; there is one person in charge of both entities, dispatching is merged into a single group</w:t>
      </w:r>
      <w:r w:rsidR="00845C67" w:rsidRPr="0084019F">
        <w:t xml:space="preserve"> and there is one fiscal system that operates out of WCAP’s central office</w:t>
      </w:r>
      <w:r w:rsidRPr="0084019F">
        <w:t xml:space="preserve">. However, there are separate customer service and phone lines. </w:t>
      </w:r>
    </w:p>
    <w:p w:rsidR="0050209F" w:rsidRPr="0084019F" w:rsidRDefault="0050209F" w:rsidP="0050209F">
      <w:pPr>
        <w:spacing w:after="0" w:line="240" w:lineRule="auto"/>
      </w:pPr>
    </w:p>
    <w:p w:rsidR="0050209F" w:rsidRPr="0084019F" w:rsidRDefault="00845C67" w:rsidP="0050209F">
      <w:pPr>
        <w:spacing w:after="0" w:line="240" w:lineRule="auto"/>
        <w:jc w:val="both"/>
      </w:pPr>
      <w:r w:rsidRPr="0084019F">
        <w:t xml:space="preserve">Both entities </w:t>
      </w:r>
      <w:r w:rsidR="0050209F" w:rsidRPr="0084019F">
        <w:t xml:space="preserve">operate out of three offices: one in Belfast, one in Rockland, and one in Bath, with vehicles in all three locations. </w:t>
      </w:r>
      <w:r w:rsidRPr="0084019F">
        <w:t xml:space="preserve">WCAP </w:t>
      </w:r>
      <w:r w:rsidR="0050209F" w:rsidRPr="0084019F">
        <w:t xml:space="preserve">closed the Damariscotta office. </w:t>
      </w:r>
      <w:r w:rsidRPr="0084019F">
        <w:t>WCAP is</w:t>
      </w:r>
      <w:r w:rsidR="0050209F" w:rsidRPr="0084019F">
        <w:t xml:space="preserve"> attempting to build a system structure in the mid</w:t>
      </w:r>
      <w:r w:rsidR="00B65772">
        <w:t>-</w:t>
      </w:r>
      <w:r w:rsidR="0050209F" w:rsidRPr="0084019F">
        <w:t xml:space="preserve">coast area that can support transportation. </w:t>
      </w:r>
    </w:p>
    <w:p w:rsidR="0050209F" w:rsidRPr="0084019F" w:rsidRDefault="0050209F" w:rsidP="0050209F">
      <w:pPr>
        <w:spacing w:after="0" w:line="240" w:lineRule="auto"/>
      </w:pPr>
    </w:p>
    <w:p w:rsidR="00AE3062" w:rsidRPr="0084019F" w:rsidRDefault="00AE3062" w:rsidP="005F7C20">
      <w:pPr>
        <w:pStyle w:val="ListParagraph"/>
        <w:spacing w:after="0" w:line="240" w:lineRule="auto"/>
        <w:ind w:left="0"/>
        <w:jc w:val="both"/>
      </w:pPr>
      <w:r w:rsidRPr="0084019F">
        <w:t xml:space="preserve">The Mid-Coast </w:t>
      </w:r>
      <w:r w:rsidR="008E41C0">
        <w:t xml:space="preserve">Connector </w:t>
      </w:r>
      <w:r w:rsidRPr="0084019F">
        <w:t>brokerage employs 19 full-time and one part-time staff members</w:t>
      </w:r>
      <w:r w:rsidR="00845C67" w:rsidRPr="0084019F">
        <w:t>.</w:t>
      </w:r>
      <w:r w:rsidRPr="0084019F">
        <w:t xml:space="preserve"> </w:t>
      </w:r>
      <w:r w:rsidR="00845C67" w:rsidRPr="0084019F">
        <w:t>The call</w:t>
      </w:r>
      <w:r w:rsidRPr="0084019F">
        <w:t xml:space="preserve"> center is staffed Monday through Friday from 7:00 am until 5:00 </w:t>
      </w:r>
      <w:r w:rsidR="0084019F" w:rsidRPr="0084019F">
        <w:t>p</w:t>
      </w:r>
      <w:r w:rsidRPr="0084019F">
        <w:t>m</w:t>
      </w:r>
      <w:r w:rsidR="004E2C34" w:rsidRPr="0084019F">
        <w:t>. Outside of regular hours, during weekends and on holidays each call is picked up by the Brokerage on-call service. The call center handles approximately 1,250 incoming calls per week. The back-up call center receives an average of 15 calls per night or weekend day with requests for information, opening hours, hospital discharges or cancellations.</w:t>
      </w:r>
    </w:p>
    <w:p w:rsidR="004E2C34" w:rsidRPr="0084019F" w:rsidRDefault="004E2C34" w:rsidP="005F7C20">
      <w:pPr>
        <w:pStyle w:val="ListParagraph"/>
        <w:spacing w:after="0" w:line="240" w:lineRule="auto"/>
        <w:ind w:left="0"/>
        <w:jc w:val="both"/>
      </w:pPr>
    </w:p>
    <w:p w:rsidR="004E2C34" w:rsidRPr="0084019F" w:rsidRDefault="004E2C34" w:rsidP="005F7C20">
      <w:pPr>
        <w:pStyle w:val="ListParagraph"/>
        <w:spacing w:after="0" w:line="240" w:lineRule="auto"/>
        <w:ind w:left="0"/>
        <w:jc w:val="both"/>
      </w:pPr>
      <w:r w:rsidRPr="0084019F">
        <w:t xml:space="preserve">During the period January 1, 2017, through December 31, </w:t>
      </w:r>
      <w:r w:rsidR="00B65772">
        <w:t>2017, Mid-Coast Connector</w:t>
      </w:r>
      <w:r w:rsidRPr="0084019F">
        <w:t xml:space="preserve"> scheduled and brokered 190,169 trips for members residing in Region 5. </w:t>
      </w:r>
      <w:r w:rsidR="0050209F" w:rsidRPr="0084019F">
        <w:t>The trips were provided as follows:</w:t>
      </w:r>
    </w:p>
    <w:p w:rsidR="00845C67" w:rsidRPr="0084019F" w:rsidRDefault="00845C67" w:rsidP="005F7C20">
      <w:pPr>
        <w:pStyle w:val="ListParagraph"/>
        <w:spacing w:after="0" w:line="240" w:lineRule="auto"/>
        <w:ind w:left="0"/>
        <w:jc w:val="both"/>
      </w:pPr>
    </w:p>
    <w:p w:rsidR="0050209F" w:rsidRPr="0084019F" w:rsidRDefault="0050209F" w:rsidP="0050209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4019F">
        <w:t>Contracted NET Services Transporters: 29.8%</w:t>
      </w:r>
    </w:p>
    <w:p w:rsidR="0050209F" w:rsidRPr="0084019F" w:rsidRDefault="0050209F" w:rsidP="0050209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4019F">
        <w:t>Friends and Family: 21.35%</w:t>
      </w:r>
    </w:p>
    <w:p w:rsidR="0050209F" w:rsidRPr="0084019F" w:rsidRDefault="0050209F" w:rsidP="0050209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4019F">
        <w:t>Agency Providers: 20.22%</w:t>
      </w:r>
    </w:p>
    <w:p w:rsidR="0050209F" w:rsidRPr="0084019F" w:rsidRDefault="0050209F" w:rsidP="0050209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4019F">
        <w:t>Waiver Transporters: 15.78%</w:t>
      </w:r>
    </w:p>
    <w:p w:rsidR="0050209F" w:rsidRPr="0084019F" w:rsidRDefault="0050209F" w:rsidP="0050209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4019F">
        <w:t>Volunteers: 8.93%</w:t>
      </w:r>
    </w:p>
    <w:p w:rsidR="0050209F" w:rsidRPr="0084019F" w:rsidRDefault="0050209F" w:rsidP="0050209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84019F">
        <w:t>Other Ad-Hoc Transporters: 3.83%</w:t>
      </w:r>
    </w:p>
    <w:p w:rsidR="004E2C34" w:rsidRPr="0084019F" w:rsidRDefault="004E2C34" w:rsidP="005F7C20">
      <w:pPr>
        <w:pStyle w:val="ListParagraph"/>
        <w:spacing w:after="0" w:line="240" w:lineRule="auto"/>
        <w:ind w:left="0"/>
        <w:jc w:val="both"/>
      </w:pPr>
    </w:p>
    <w:p w:rsidR="00155EE1" w:rsidRPr="0084019F" w:rsidRDefault="00155EE1" w:rsidP="00155EE1">
      <w:pPr>
        <w:spacing w:after="0" w:line="240" w:lineRule="auto"/>
        <w:jc w:val="both"/>
      </w:pPr>
      <w:r w:rsidRPr="0084019F">
        <w:t>Some of the transportation challenges in Region 5 include:</w:t>
      </w:r>
    </w:p>
    <w:p w:rsidR="00155EE1" w:rsidRPr="0084019F" w:rsidRDefault="00155EE1" w:rsidP="00155EE1">
      <w:pPr>
        <w:spacing w:after="0" w:line="240" w:lineRule="auto"/>
        <w:jc w:val="both"/>
      </w:pPr>
    </w:p>
    <w:p w:rsidR="00155EE1" w:rsidRPr="0084019F" w:rsidRDefault="00155EE1" w:rsidP="00155EE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4019F">
        <w:rPr>
          <w:b/>
        </w:rPr>
        <w:t xml:space="preserve">Two separate systems. </w:t>
      </w:r>
      <w:r w:rsidRPr="0084019F">
        <w:t>Maintaining and coordinating two separate systems and a separation of resources required by MaineCare. WCAP has been working with MaineCare to merge</w:t>
      </w:r>
      <w:r w:rsidR="00B65772">
        <w:t xml:space="preserve"> as many of the functions of the</w:t>
      </w:r>
      <w:r w:rsidRPr="0084019F">
        <w:t xml:space="preserve"> two separate entities as possible.  </w:t>
      </w:r>
    </w:p>
    <w:p w:rsidR="00155EE1" w:rsidRPr="0084019F" w:rsidRDefault="00155EE1" w:rsidP="00155EE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4019F">
        <w:rPr>
          <w:b/>
        </w:rPr>
        <w:lastRenderedPageBreak/>
        <w:t>Shortage of volunteers.</w:t>
      </w:r>
      <w:r w:rsidRPr="0084019F">
        <w:t xml:space="preserve"> The effort to recruit and maintain volunteers in Region 5 has not been very robust for a number of years. WCAP is now rebuilding driver training and volunteer training and supervision and recruitment processes. </w:t>
      </w:r>
    </w:p>
    <w:p w:rsidR="00155EE1" w:rsidRPr="0084019F" w:rsidRDefault="00155EE1" w:rsidP="00155EE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4019F">
        <w:rPr>
          <w:b/>
        </w:rPr>
        <w:t xml:space="preserve">Trip Capacity. </w:t>
      </w:r>
      <w:r w:rsidRPr="0084019F">
        <w:t xml:space="preserve">There is not enough capacity in the region to provide all the requested trips. Mid-Coast Connector cannot provide 1-2% of trips, or about 10 trips, on any given day. </w:t>
      </w:r>
    </w:p>
    <w:p w:rsidR="00155EE1" w:rsidRPr="0084019F" w:rsidRDefault="00155EE1" w:rsidP="00155EE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4019F">
        <w:rPr>
          <w:b/>
        </w:rPr>
        <w:t>Funding for vehicles and drivers.</w:t>
      </w:r>
      <w:r w:rsidRPr="0084019F">
        <w:t xml:space="preserve"> Finding </w:t>
      </w:r>
      <w:r w:rsidR="004C0DA4">
        <w:t>money</w:t>
      </w:r>
      <w:r w:rsidRPr="0084019F">
        <w:t xml:space="preserve"> for vehicles and drivers is a challenge. </w:t>
      </w:r>
      <w:r w:rsidR="00B65772">
        <w:t>Since 2017</w:t>
      </w:r>
      <w:r w:rsidRPr="0084019F">
        <w:t>, WCAP has experienced increasing difficulty in getting drivers.</w:t>
      </w:r>
    </w:p>
    <w:p w:rsidR="00155EE1" w:rsidRPr="0084019F" w:rsidRDefault="00155EE1" w:rsidP="00155EE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4019F">
        <w:rPr>
          <w:b/>
        </w:rPr>
        <w:t>Different agency requirements.</w:t>
      </w:r>
      <w:r w:rsidRPr="0084019F">
        <w:t xml:space="preserve"> There’s a </w:t>
      </w:r>
      <w:r w:rsidR="004C0DA4">
        <w:t>high</w:t>
      </w:r>
      <w:r w:rsidRPr="0084019F">
        <w:t xml:space="preserve"> administrative cost to keep</w:t>
      </w:r>
      <w:r w:rsidR="004C0DA4">
        <w:t>ing</w:t>
      </w:r>
      <w:r w:rsidRPr="0084019F">
        <w:t xml:space="preserve"> track of services provided for different funding streams. Requirements are different for different programs. There are a lot of inefficiencies and costs. Different funding requirements can cause confusion for users. </w:t>
      </w:r>
    </w:p>
    <w:p w:rsidR="00155EE1" w:rsidRPr="0084019F" w:rsidRDefault="00155EE1" w:rsidP="005F7C20">
      <w:pPr>
        <w:pStyle w:val="ListParagraph"/>
        <w:spacing w:after="0" w:line="240" w:lineRule="auto"/>
        <w:ind w:left="0"/>
        <w:jc w:val="both"/>
      </w:pPr>
    </w:p>
    <w:p w:rsidR="00FE6602" w:rsidRPr="0084019F" w:rsidRDefault="00FE6602" w:rsidP="005F7C20">
      <w:pPr>
        <w:spacing w:after="0" w:line="240" w:lineRule="auto"/>
        <w:jc w:val="both"/>
      </w:pPr>
      <w:r w:rsidRPr="0084019F">
        <w:t>The following table provides a breakdown of NET trip distribution by provider type for the period January 1, 2017 through December 31, 2017.</w:t>
      </w:r>
    </w:p>
    <w:p w:rsidR="00155EE1" w:rsidRDefault="00155EE1" w:rsidP="005F7C2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978"/>
        <w:gridCol w:w="872"/>
        <w:gridCol w:w="269"/>
        <w:gridCol w:w="2561"/>
        <w:gridCol w:w="1080"/>
        <w:gridCol w:w="918"/>
      </w:tblGrid>
      <w:tr w:rsidR="00FE6602" w:rsidTr="00AC6F7C">
        <w:tc>
          <w:tcPr>
            <w:tcW w:w="9576" w:type="dxa"/>
            <w:gridSpan w:val="7"/>
          </w:tcPr>
          <w:p w:rsidR="00FE6602" w:rsidRPr="00FE6602" w:rsidRDefault="00FE6602" w:rsidP="000C745E">
            <w:pPr>
              <w:jc w:val="center"/>
              <w:rPr>
                <w:b/>
              </w:rPr>
            </w:pPr>
            <w:r w:rsidRPr="00FE6602">
              <w:rPr>
                <w:b/>
              </w:rPr>
              <w:t>Mid-Coast Connector NET Region 5</w:t>
            </w:r>
          </w:p>
          <w:p w:rsidR="000C745E" w:rsidRDefault="00FE6602" w:rsidP="00FE6602">
            <w:pPr>
              <w:jc w:val="center"/>
              <w:rPr>
                <w:b/>
              </w:rPr>
            </w:pPr>
            <w:r w:rsidRPr="00FE6602">
              <w:rPr>
                <w:b/>
              </w:rPr>
              <w:t xml:space="preserve">Trip Distribution by </w:t>
            </w:r>
            <w:r w:rsidR="000C745E">
              <w:rPr>
                <w:b/>
              </w:rPr>
              <w:t xml:space="preserve">Transporter Type </w:t>
            </w:r>
          </w:p>
          <w:p w:rsidR="00FE6602" w:rsidRDefault="000C745E" w:rsidP="00FE6602">
            <w:pPr>
              <w:jc w:val="center"/>
            </w:pPr>
            <w:r>
              <w:rPr>
                <w:b/>
              </w:rPr>
              <w:t>January</w:t>
            </w:r>
            <w:r w:rsidR="00FE6602" w:rsidRPr="00FE6602">
              <w:rPr>
                <w:b/>
              </w:rPr>
              <w:t xml:space="preserve"> 1</w:t>
            </w:r>
            <w:r>
              <w:rPr>
                <w:b/>
              </w:rPr>
              <w:t>,</w:t>
            </w:r>
            <w:r w:rsidR="00FE6602" w:rsidRPr="00FE6602">
              <w:rPr>
                <w:b/>
              </w:rPr>
              <w:t xml:space="preserve"> 2017 through December 31, 2017</w:t>
            </w:r>
          </w:p>
        </w:tc>
      </w:tr>
      <w:tr w:rsidR="00FE6602" w:rsidTr="00AC6F7C">
        <w:tc>
          <w:tcPr>
            <w:tcW w:w="4748" w:type="dxa"/>
            <w:gridSpan w:val="3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</w:tr>
      <w:tr w:rsidR="00F63854" w:rsidTr="00AC6F7C">
        <w:tc>
          <w:tcPr>
            <w:tcW w:w="2898" w:type="dxa"/>
          </w:tcPr>
          <w:p w:rsidR="00F63854" w:rsidRPr="0003244C" w:rsidRDefault="00F63854" w:rsidP="005F7C20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Waiver Transporters</w:t>
            </w:r>
          </w:p>
        </w:tc>
        <w:tc>
          <w:tcPr>
            <w:tcW w:w="978" w:type="dxa"/>
          </w:tcPr>
          <w:p w:rsidR="00F63854" w:rsidRPr="0003244C" w:rsidRDefault="00F63854" w:rsidP="0003244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872" w:type="dxa"/>
          </w:tcPr>
          <w:p w:rsidR="00F63854" w:rsidRPr="0003244C" w:rsidRDefault="00F63854" w:rsidP="005F7C20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63854" w:rsidRDefault="00F63854" w:rsidP="005F7C20">
            <w:pPr>
              <w:jc w:val="both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Family and Friends</w:t>
            </w:r>
          </w:p>
        </w:tc>
        <w:tc>
          <w:tcPr>
            <w:tcW w:w="1080" w:type="dxa"/>
          </w:tcPr>
          <w:p w:rsidR="00F63854" w:rsidRPr="0003244C" w:rsidRDefault="00F63854" w:rsidP="00AC6F7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918" w:type="dxa"/>
          </w:tcPr>
          <w:p w:rsidR="00F63854" w:rsidRPr="0003244C" w:rsidRDefault="00F63854" w:rsidP="00AC6F7C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</w:tr>
      <w:tr w:rsidR="00F63854" w:rsidTr="00AC6F7C">
        <w:tc>
          <w:tcPr>
            <w:tcW w:w="2898" w:type="dxa"/>
          </w:tcPr>
          <w:p w:rsidR="00FE6602" w:rsidRPr="00FE6602" w:rsidRDefault="0003244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Mobius</w:t>
            </w:r>
          </w:p>
        </w:tc>
        <w:tc>
          <w:tcPr>
            <w:tcW w:w="978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7,653</w:t>
            </w:r>
          </w:p>
        </w:tc>
        <w:tc>
          <w:tcPr>
            <w:tcW w:w="872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4.23%</w:t>
            </w: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Driver Total</w:t>
            </w:r>
          </w:p>
        </w:tc>
        <w:tc>
          <w:tcPr>
            <w:tcW w:w="1080" w:type="dxa"/>
          </w:tcPr>
          <w:p w:rsidR="00FE6602" w:rsidRPr="00F63854" w:rsidRDefault="00F63854" w:rsidP="00F63854">
            <w:pPr>
              <w:jc w:val="right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38,579</w:t>
            </w:r>
          </w:p>
        </w:tc>
        <w:tc>
          <w:tcPr>
            <w:tcW w:w="918" w:type="dxa"/>
          </w:tcPr>
          <w:p w:rsidR="00FE6602" w:rsidRPr="00F63854" w:rsidRDefault="00F63854" w:rsidP="00F63854">
            <w:pPr>
              <w:jc w:val="right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21.35%</w:t>
            </w:r>
          </w:p>
        </w:tc>
      </w:tr>
      <w:tr w:rsidR="00F63854" w:rsidTr="00AC6F7C">
        <w:tc>
          <w:tcPr>
            <w:tcW w:w="2898" w:type="dxa"/>
          </w:tcPr>
          <w:p w:rsidR="00FE6602" w:rsidRPr="00FE6602" w:rsidRDefault="0003244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Elmhurst</w:t>
            </w:r>
          </w:p>
        </w:tc>
        <w:tc>
          <w:tcPr>
            <w:tcW w:w="978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10,738</w:t>
            </w:r>
          </w:p>
        </w:tc>
        <w:tc>
          <w:tcPr>
            <w:tcW w:w="872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5.94%</w:t>
            </w: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Independence Association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2,674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63854" w:rsidRDefault="00F63854" w:rsidP="005F7C20">
            <w:pPr>
              <w:jc w:val="both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Agency Transporters</w:t>
            </w:r>
          </w:p>
        </w:tc>
        <w:tc>
          <w:tcPr>
            <w:tcW w:w="1080" w:type="dxa"/>
          </w:tcPr>
          <w:p w:rsidR="00F63854" w:rsidRPr="0003244C" w:rsidRDefault="00F63854" w:rsidP="00AC6F7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918" w:type="dxa"/>
          </w:tcPr>
          <w:p w:rsidR="00F63854" w:rsidRPr="0003244C" w:rsidRDefault="00F63854" w:rsidP="00AC6F7C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</w:tr>
      <w:tr w:rsidR="00F63854" w:rsidTr="00AC6F7C">
        <w:tc>
          <w:tcPr>
            <w:tcW w:w="2898" w:type="dxa"/>
          </w:tcPr>
          <w:p w:rsidR="00FE6602" w:rsidRPr="00FE6602" w:rsidRDefault="0003244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Opportunities/Supportive Living</w:t>
            </w:r>
          </w:p>
        </w:tc>
        <w:tc>
          <w:tcPr>
            <w:tcW w:w="978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1,051</w:t>
            </w:r>
          </w:p>
        </w:tc>
        <w:tc>
          <w:tcPr>
            <w:tcW w:w="872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0.58%</w:t>
            </w: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Penquis</w:t>
            </w:r>
          </w:p>
        </w:tc>
        <w:tc>
          <w:tcPr>
            <w:tcW w:w="1080" w:type="dxa"/>
          </w:tcPr>
          <w:p w:rsidR="00FE6602" w:rsidRPr="00FE6602" w:rsidRDefault="00F63854" w:rsidP="00F63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8" w:type="dxa"/>
          </w:tcPr>
          <w:p w:rsidR="00FE6602" w:rsidRPr="00FE6602" w:rsidRDefault="00F63854" w:rsidP="00F63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0.04%</w:t>
            </w:r>
          </w:p>
        </w:tc>
      </w:tr>
      <w:tr w:rsidR="00F63854" w:rsidTr="00AC6F7C">
        <w:tc>
          <w:tcPr>
            <w:tcW w:w="2898" w:type="dxa"/>
          </w:tcPr>
          <w:p w:rsidR="00FE6602" w:rsidRPr="00FE6602" w:rsidRDefault="0003244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BFLI</w:t>
            </w:r>
          </w:p>
        </w:tc>
        <w:tc>
          <w:tcPr>
            <w:tcW w:w="978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872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0.98%</w:t>
            </w: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MCPT</w:t>
            </w:r>
          </w:p>
        </w:tc>
        <w:tc>
          <w:tcPr>
            <w:tcW w:w="1080" w:type="dxa"/>
          </w:tcPr>
          <w:p w:rsidR="00FE6602" w:rsidRPr="00FE6602" w:rsidRDefault="00F63854" w:rsidP="00F63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36,465</w:t>
            </w:r>
          </w:p>
        </w:tc>
        <w:tc>
          <w:tcPr>
            <w:tcW w:w="918" w:type="dxa"/>
          </w:tcPr>
          <w:p w:rsidR="00FE6602" w:rsidRPr="00FE6602" w:rsidRDefault="00F63854" w:rsidP="00F63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20.18%</w:t>
            </w:r>
          </w:p>
        </w:tc>
      </w:tr>
      <w:tr w:rsidR="00F63854" w:rsidTr="00AC6F7C">
        <w:tc>
          <w:tcPr>
            <w:tcW w:w="2898" w:type="dxa"/>
          </w:tcPr>
          <w:p w:rsidR="00FE6602" w:rsidRPr="00FE6602" w:rsidRDefault="0003244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Opportunities</w:t>
            </w:r>
          </w:p>
        </w:tc>
        <w:tc>
          <w:tcPr>
            <w:tcW w:w="978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4,632</w:t>
            </w:r>
          </w:p>
        </w:tc>
        <w:tc>
          <w:tcPr>
            <w:tcW w:w="872" w:type="dxa"/>
          </w:tcPr>
          <w:p w:rsidR="00FE6602" w:rsidRPr="00FE6602" w:rsidRDefault="0003244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2.56%</w:t>
            </w: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63854" w:rsidP="005F7C20">
            <w:pPr>
              <w:jc w:val="both"/>
              <w:rPr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Agency Transporters</w:t>
            </w:r>
            <w:r>
              <w:rPr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080" w:type="dxa"/>
          </w:tcPr>
          <w:p w:rsidR="00FE6602" w:rsidRPr="00F63854" w:rsidRDefault="00F63854" w:rsidP="00F63854">
            <w:pPr>
              <w:jc w:val="right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36,545</w:t>
            </w:r>
          </w:p>
        </w:tc>
        <w:tc>
          <w:tcPr>
            <w:tcW w:w="918" w:type="dxa"/>
          </w:tcPr>
          <w:p w:rsidR="00FE6602" w:rsidRPr="00F63854" w:rsidRDefault="00F63854" w:rsidP="00F63854">
            <w:pPr>
              <w:jc w:val="right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20.22%</w:t>
            </w:r>
          </w:p>
        </w:tc>
      </w:tr>
      <w:tr w:rsidR="00F63854" w:rsidTr="00AC6F7C">
        <w:tc>
          <w:tcPr>
            <w:tcW w:w="2898" w:type="dxa"/>
          </w:tcPr>
          <w:p w:rsidR="00FE6602" w:rsidRPr="0003244C" w:rsidRDefault="0003244C" w:rsidP="005F7C20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Waiver Transporter Total</w:t>
            </w:r>
          </w:p>
        </w:tc>
        <w:tc>
          <w:tcPr>
            <w:tcW w:w="978" w:type="dxa"/>
          </w:tcPr>
          <w:p w:rsidR="00FE6602" w:rsidRPr="0003244C" w:rsidRDefault="0003244C" w:rsidP="0003244C">
            <w:pPr>
              <w:jc w:val="right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28,520</w:t>
            </w:r>
          </w:p>
        </w:tc>
        <w:tc>
          <w:tcPr>
            <w:tcW w:w="872" w:type="dxa"/>
          </w:tcPr>
          <w:p w:rsidR="00FE6602" w:rsidRPr="0003244C" w:rsidRDefault="0003244C" w:rsidP="000324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15.78%</w:t>
            </w:r>
          </w:p>
        </w:tc>
        <w:tc>
          <w:tcPr>
            <w:tcW w:w="269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E6602" w:rsidRPr="00FE6602" w:rsidRDefault="00FE6602" w:rsidP="005F7C20">
            <w:pPr>
              <w:jc w:val="both"/>
              <w:rPr>
                <w:sz w:val="20"/>
                <w:szCs w:val="20"/>
              </w:rPr>
            </w:pP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3854" w:rsidRPr="0003244C" w:rsidRDefault="00F63854" w:rsidP="00AC6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F63854" w:rsidRPr="0003244C" w:rsidRDefault="00F63854" w:rsidP="00AC6F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63854" w:rsidTr="00AC6F7C">
        <w:tc>
          <w:tcPr>
            <w:tcW w:w="2898" w:type="dxa"/>
          </w:tcPr>
          <w:p w:rsidR="00F63854" w:rsidRPr="0003244C" w:rsidRDefault="00F63854" w:rsidP="005F7C20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Contracted NET Transporters</w:t>
            </w:r>
          </w:p>
        </w:tc>
        <w:tc>
          <w:tcPr>
            <w:tcW w:w="978" w:type="dxa"/>
          </w:tcPr>
          <w:p w:rsidR="00F63854" w:rsidRPr="0003244C" w:rsidRDefault="00F63854" w:rsidP="0003244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872" w:type="dxa"/>
          </w:tcPr>
          <w:p w:rsidR="00F63854" w:rsidRPr="0003244C" w:rsidRDefault="00F63854" w:rsidP="00AC6F7C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63854" w:rsidRDefault="00F63854" w:rsidP="00AC6F7C">
            <w:pPr>
              <w:jc w:val="both"/>
              <w:rPr>
                <w:b/>
                <w:sz w:val="20"/>
                <w:szCs w:val="20"/>
              </w:rPr>
            </w:pPr>
            <w:r w:rsidRPr="00F63854">
              <w:rPr>
                <w:b/>
                <w:sz w:val="20"/>
                <w:szCs w:val="20"/>
              </w:rPr>
              <w:t>MCPT Volunteers</w:t>
            </w:r>
          </w:p>
        </w:tc>
        <w:tc>
          <w:tcPr>
            <w:tcW w:w="1080" w:type="dxa"/>
          </w:tcPr>
          <w:p w:rsidR="00F63854" w:rsidRPr="0003244C" w:rsidRDefault="00F63854" w:rsidP="00AC6F7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918" w:type="dxa"/>
          </w:tcPr>
          <w:p w:rsidR="00F63854" w:rsidRPr="0003244C" w:rsidRDefault="00F63854" w:rsidP="00AC6F7C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Cories Ride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12,294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driver total</w:t>
            </w:r>
          </w:p>
        </w:tc>
        <w:tc>
          <w:tcPr>
            <w:tcW w:w="1080" w:type="dxa"/>
          </w:tcPr>
          <w:p w:rsidR="00F63854" w:rsidRPr="00F63854" w:rsidRDefault="00F63854" w:rsidP="00F63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16,144</w:t>
            </w:r>
          </w:p>
        </w:tc>
        <w:tc>
          <w:tcPr>
            <w:tcW w:w="918" w:type="dxa"/>
          </w:tcPr>
          <w:p w:rsidR="00F63854" w:rsidRPr="00F63854" w:rsidRDefault="00F63854" w:rsidP="00F63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8.93%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East Mobile Health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</w:tr>
      <w:tr w:rsidR="00AC6F7C" w:rsidTr="00AC6F7C">
        <w:tc>
          <w:tcPr>
            <w:tcW w:w="289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Schoomer Bay</w:t>
            </w:r>
          </w:p>
        </w:tc>
        <w:tc>
          <w:tcPr>
            <w:tcW w:w="978" w:type="dxa"/>
          </w:tcPr>
          <w:p w:rsidR="00AC6F7C" w:rsidRPr="00FE6602" w:rsidRDefault="00AC6F7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15,033</w:t>
            </w:r>
          </w:p>
        </w:tc>
        <w:tc>
          <w:tcPr>
            <w:tcW w:w="872" w:type="dxa"/>
          </w:tcPr>
          <w:p w:rsidR="00AC6F7C" w:rsidRPr="00FE6602" w:rsidRDefault="00AC6F7C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8.32%</w:t>
            </w:r>
          </w:p>
        </w:tc>
        <w:tc>
          <w:tcPr>
            <w:tcW w:w="269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Mar>
              <w:left w:w="43" w:type="dxa"/>
              <w:right w:w="43" w:type="dxa"/>
            </w:tcMar>
          </w:tcPr>
          <w:p w:rsidR="00AC6F7C" w:rsidRPr="00F63854" w:rsidRDefault="00AC6F7C" w:rsidP="00AC6F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Non-Contracted Transporters</w:t>
            </w:r>
          </w:p>
        </w:tc>
        <w:tc>
          <w:tcPr>
            <w:tcW w:w="1080" w:type="dxa"/>
          </w:tcPr>
          <w:p w:rsidR="00AC6F7C" w:rsidRPr="0003244C" w:rsidRDefault="00AC6F7C" w:rsidP="00AC6F7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918" w:type="dxa"/>
          </w:tcPr>
          <w:p w:rsidR="00AC6F7C" w:rsidRPr="0003244C" w:rsidRDefault="00AC6F7C" w:rsidP="00AC6F7C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Reliant Transit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 J Taxi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Care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3,944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Brunswick Taxi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2,542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1.407%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Platinum Plus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2,253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 Limo and Taxi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032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Sterling Elite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9,242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84019F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C6F7C">
              <w:rPr>
                <w:sz w:val="20"/>
                <w:szCs w:val="20"/>
              </w:rPr>
              <w:t>ath Taxi</w:t>
            </w:r>
            <w:r w:rsidR="008E41C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0.996%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Twin Village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2,976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Plus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MI</w:t>
            </w:r>
            <w:r w:rsidR="008E41C0">
              <w:rPr>
                <w:sz w:val="20"/>
                <w:szCs w:val="20"/>
              </w:rPr>
              <w:t>*</w:t>
            </w:r>
          </w:p>
        </w:tc>
        <w:tc>
          <w:tcPr>
            <w:tcW w:w="978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6,690</w:t>
            </w:r>
          </w:p>
        </w:tc>
        <w:tc>
          <w:tcPr>
            <w:tcW w:w="872" w:type="dxa"/>
          </w:tcPr>
          <w:p w:rsidR="00F63854" w:rsidRPr="00FE6602" w:rsidRDefault="00F63854" w:rsidP="000324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Sprague Transit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0.463%</w:t>
            </w:r>
          </w:p>
        </w:tc>
      </w:tr>
      <w:tr w:rsidR="00F63854" w:rsidTr="00AC6F7C">
        <w:tc>
          <w:tcPr>
            <w:tcW w:w="2898" w:type="dxa"/>
          </w:tcPr>
          <w:p w:rsidR="00F63854" w:rsidRPr="0003244C" w:rsidRDefault="00F63854" w:rsidP="005F7C20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NET Transporter Total</w:t>
            </w:r>
          </w:p>
        </w:tc>
        <w:tc>
          <w:tcPr>
            <w:tcW w:w="978" w:type="dxa"/>
          </w:tcPr>
          <w:p w:rsidR="00F63854" w:rsidRPr="0003244C" w:rsidRDefault="00F63854" w:rsidP="0003244C">
            <w:pPr>
              <w:jc w:val="right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53,852</w:t>
            </w:r>
          </w:p>
        </w:tc>
        <w:tc>
          <w:tcPr>
            <w:tcW w:w="872" w:type="dxa"/>
          </w:tcPr>
          <w:p w:rsidR="00F63854" w:rsidRPr="0003244C" w:rsidRDefault="00F63854" w:rsidP="000324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29.80%</w:t>
            </w: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Ambulance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1,552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0.859%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Taxi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FE6602" w:rsidRDefault="00AC6F7C" w:rsidP="005F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Ambulance</w:t>
            </w:r>
          </w:p>
        </w:tc>
        <w:tc>
          <w:tcPr>
            <w:tcW w:w="1080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F63854" w:rsidRPr="00FE6602" w:rsidRDefault="00AC6F7C" w:rsidP="00AC6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0.001%</w:t>
            </w:r>
          </w:p>
        </w:tc>
      </w:tr>
      <w:tr w:rsidR="00F63854" w:rsidTr="00AC6F7C">
        <w:tc>
          <w:tcPr>
            <w:tcW w:w="289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F63854" w:rsidRPr="00FE6602" w:rsidRDefault="00F63854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F63854" w:rsidRPr="00AC6F7C" w:rsidRDefault="00AC6F7C" w:rsidP="005F7C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Non-Contracted Total</w:t>
            </w:r>
          </w:p>
        </w:tc>
        <w:tc>
          <w:tcPr>
            <w:tcW w:w="1080" w:type="dxa"/>
          </w:tcPr>
          <w:p w:rsidR="00F63854" w:rsidRPr="00AC6F7C" w:rsidRDefault="00AC6F7C" w:rsidP="00AC6F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6,926</w:t>
            </w:r>
          </w:p>
        </w:tc>
        <w:tc>
          <w:tcPr>
            <w:tcW w:w="918" w:type="dxa"/>
          </w:tcPr>
          <w:p w:rsidR="00F63854" w:rsidRPr="00AC6F7C" w:rsidRDefault="00AC6F7C" w:rsidP="00AC6F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3.83%</w:t>
            </w:r>
          </w:p>
        </w:tc>
      </w:tr>
      <w:tr w:rsidR="00AC6F7C" w:rsidTr="00AC6F7C">
        <w:tc>
          <w:tcPr>
            <w:tcW w:w="289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AC6F7C" w:rsidRDefault="00AC6F7C" w:rsidP="005F7C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C6F7C" w:rsidRDefault="00AC6F7C" w:rsidP="00AC6F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AC6F7C" w:rsidRDefault="00AC6F7C" w:rsidP="00AC6F7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C6F7C" w:rsidTr="00AC6F7C">
        <w:tc>
          <w:tcPr>
            <w:tcW w:w="289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AC6F7C" w:rsidRDefault="00AC6F7C" w:rsidP="00AC6F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Buses</w:t>
            </w:r>
          </w:p>
        </w:tc>
        <w:tc>
          <w:tcPr>
            <w:tcW w:w="1080" w:type="dxa"/>
          </w:tcPr>
          <w:p w:rsidR="00AC6F7C" w:rsidRPr="0003244C" w:rsidRDefault="00AC6F7C" w:rsidP="00AC6F7C">
            <w:pPr>
              <w:jc w:val="center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>Trips</w:t>
            </w:r>
          </w:p>
        </w:tc>
        <w:tc>
          <w:tcPr>
            <w:tcW w:w="918" w:type="dxa"/>
          </w:tcPr>
          <w:p w:rsidR="00AC6F7C" w:rsidRPr="0003244C" w:rsidRDefault="00AC6F7C" w:rsidP="00AC6F7C">
            <w:pPr>
              <w:jc w:val="both"/>
              <w:rPr>
                <w:b/>
                <w:sz w:val="20"/>
                <w:szCs w:val="20"/>
              </w:rPr>
            </w:pPr>
            <w:r w:rsidRPr="0003244C">
              <w:rPr>
                <w:b/>
                <w:sz w:val="20"/>
                <w:szCs w:val="20"/>
              </w:rPr>
              <w:t xml:space="preserve">%/Total </w:t>
            </w:r>
          </w:p>
        </w:tc>
      </w:tr>
      <w:tr w:rsidR="00AC6F7C" w:rsidTr="00AC6F7C">
        <w:tc>
          <w:tcPr>
            <w:tcW w:w="289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AC6F7C" w:rsidRPr="00AC6F7C" w:rsidRDefault="00AC6F7C" w:rsidP="005F7C20">
            <w:pPr>
              <w:jc w:val="both"/>
              <w:rPr>
                <w:sz w:val="20"/>
                <w:szCs w:val="20"/>
              </w:rPr>
            </w:pPr>
            <w:r w:rsidRPr="00AC6F7C">
              <w:rPr>
                <w:sz w:val="20"/>
                <w:szCs w:val="20"/>
              </w:rPr>
              <w:t>Brunswick Explorer</w:t>
            </w:r>
          </w:p>
        </w:tc>
        <w:tc>
          <w:tcPr>
            <w:tcW w:w="1080" w:type="dxa"/>
          </w:tcPr>
          <w:p w:rsidR="00AC6F7C" w:rsidRPr="00AC6F7C" w:rsidRDefault="00AC6F7C" w:rsidP="00AC6F7C">
            <w:pPr>
              <w:jc w:val="right"/>
              <w:rPr>
                <w:sz w:val="20"/>
                <w:szCs w:val="20"/>
              </w:rPr>
            </w:pPr>
            <w:r w:rsidRPr="00AC6F7C">
              <w:rPr>
                <w:sz w:val="20"/>
                <w:szCs w:val="20"/>
              </w:rPr>
              <w:t>164</w:t>
            </w:r>
          </w:p>
        </w:tc>
        <w:tc>
          <w:tcPr>
            <w:tcW w:w="918" w:type="dxa"/>
          </w:tcPr>
          <w:p w:rsidR="00AC6F7C" w:rsidRPr="00AC6F7C" w:rsidRDefault="00AC6F7C" w:rsidP="00AC6F7C">
            <w:pPr>
              <w:jc w:val="right"/>
              <w:rPr>
                <w:sz w:val="20"/>
                <w:szCs w:val="20"/>
              </w:rPr>
            </w:pPr>
            <w:r w:rsidRPr="00AC6F7C">
              <w:rPr>
                <w:sz w:val="20"/>
                <w:szCs w:val="20"/>
              </w:rPr>
              <w:t>0.1%</w:t>
            </w:r>
          </w:p>
        </w:tc>
      </w:tr>
      <w:tr w:rsidR="00AC6F7C" w:rsidTr="00AC6F7C">
        <w:tc>
          <w:tcPr>
            <w:tcW w:w="289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AC6F7C" w:rsidRPr="00FE6602" w:rsidRDefault="00AC6F7C" w:rsidP="005F7C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AC6F7C" w:rsidRDefault="00AC6F7C" w:rsidP="005F7C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Buses Total</w:t>
            </w:r>
          </w:p>
        </w:tc>
        <w:tc>
          <w:tcPr>
            <w:tcW w:w="1080" w:type="dxa"/>
          </w:tcPr>
          <w:p w:rsidR="00AC6F7C" w:rsidRDefault="00AC6F7C" w:rsidP="00AC6F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18" w:type="dxa"/>
          </w:tcPr>
          <w:p w:rsidR="00AC6F7C" w:rsidRDefault="00AC6F7C" w:rsidP="00AC6F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0.1%</w:t>
            </w:r>
          </w:p>
        </w:tc>
      </w:tr>
    </w:tbl>
    <w:p w:rsidR="008E41C0" w:rsidRDefault="008E41C0" w:rsidP="005F7C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*Where MI Taxi and Bath Taxi are no longer NET transporters</w:t>
      </w:r>
    </w:p>
    <w:p w:rsidR="00FE6602" w:rsidRPr="00005CAC" w:rsidRDefault="00005CAC" w:rsidP="005F7C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r w:rsidR="008E41C0">
        <w:rPr>
          <w:sz w:val="20"/>
          <w:szCs w:val="20"/>
        </w:rPr>
        <w:t xml:space="preserve">Mid-Coast Connector February 2018 NET transportation report </w:t>
      </w:r>
    </w:p>
    <w:p w:rsidR="008E41C0" w:rsidRDefault="008E41C0" w:rsidP="00155EE1">
      <w:pPr>
        <w:spacing w:after="0" w:line="240" w:lineRule="auto"/>
        <w:jc w:val="both"/>
      </w:pPr>
    </w:p>
    <w:p w:rsidR="00116077" w:rsidRDefault="00155EE1" w:rsidP="00155EE1">
      <w:pPr>
        <w:spacing w:after="0" w:line="240" w:lineRule="auto"/>
        <w:jc w:val="both"/>
      </w:pPr>
      <w:r>
        <w:lastRenderedPageBreak/>
        <w:t xml:space="preserve">Mid-Coast Connector has had some success </w:t>
      </w:r>
      <w:r w:rsidR="009A3125">
        <w:t xml:space="preserve">getting </w:t>
      </w:r>
      <w:r w:rsidR="003273C0">
        <w:t xml:space="preserve">service </w:t>
      </w:r>
      <w:r w:rsidR="009A3125">
        <w:t xml:space="preserve">providers to coordinate service. </w:t>
      </w:r>
      <w:r>
        <w:t>The agency</w:t>
      </w:r>
      <w:r w:rsidR="009A3125">
        <w:t xml:space="preserve"> </w:t>
      </w:r>
      <w:r>
        <w:t xml:space="preserve">is </w:t>
      </w:r>
      <w:r w:rsidR="009A3125">
        <w:t xml:space="preserve">seeing many medical providers being positively responsive to </w:t>
      </w:r>
      <w:r>
        <w:t>its</w:t>
      </w:r>
      <w:r w:rsidR="009A3125">
        <w:t xml:space="preserve"> outreach</w:t>
      </w:r>
      <w:r w:rsidR="003273C0">
        <w:t>, e</w:t>
      </w:r>
      <w:r w:rsidR="009A3125">
        <w:t xml:space="preserve">specially on subscription trips. </w:t>
      </w:r>
      <w:r>
        <w:t xml:space="preserve">There </w:t>
      </w:r>
      <w:r w:rsidR="003273C0">
        <w:t>have been</w:t>
      </w:r>
      <w:r w:rsidR="009B5C6D">
        <w:t xml:space="preserve"> discussions with case managers and others </w:t>
      </w:r>
      <w:r w:rsidR="003273C0">
        <w:t>about c</w:t>
      </w:r>
      <w:r w:rsidR="009B5C6D">
        <w:t xml:space="preserve">oordinated scheduling. </w:t>
      </w:r>
      <w:r w:rsidR="00116077">
        <w:t xml:space="preserve"> Some offices and providers </w:t>
      </w:r>
      <w:r w:rsidR="003273C0">
        <w:t xml:space="preserve">have been </w:t>
      </w:r>
      <w:r w:rsidR="00116077">
        <w:t xml:space="preserve">more receptive than others. </w:t>
      </w:r>
    </w:p>
    <w:p w:rsidR="001329B3" w:rsidRDefault="001329B3" w:rsidP="00AF544F">
      <w:pPr>
        <w:spacing w:after="0" w:line="240" w:lineRule="auto"/>
      </w:pPr>
    </w:p>
    <w:sectPr w:rsidR="001329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8E" w:rsidRDefault="005D5A8E" w:rsidP="00116077">
      <w:pPr>
        <w:spacing w:after="0" w:line="240" w:lineRule="auto"/>
      </w:pPr>
      <w:r>
        <w:separator/>
      </w:r>
    </w:p>
  </w:endnote>
  <w:endnote w:type="continuationSeparator" w:id="0">
    <w:p w:rsidR="005D5A8E" w:rsidRDefault="005D5A8E" w:rsidP="0011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83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F7C" w:rsidRDefault="00BD375A" w:rsidP="00BD375A">
        <w:pPr>
          <w:pStyle w:val="Footer"/>
          <w:jc w:val="center"/>
        </w:pPr>
        <w:r>
          <w:t>Mid-Coast Connector Brokerage</w:t>
        </w:r>
        <w:r>
          <w:tab/>
        </w:r>
        <w:r>
          <w:tab/>
        </w:r>
        <w:r w:rsidR="00AC6F7C">
          <w:fldChar w:fldCharType="begin"/>
        </w:r>
        <w:r w:rsidR="00AC6F7C">
          <w:instrText xml:space="preserve"> PAGE   \* MERGEFORMAT </w:instrText>
        </w:r>
        <w:r w:rsidR="00AC6F7C">
          <w:fldChar w:fldCharType="separate"/>
        </w:r>
        <w:r w:rsidR="00260CAC">
          <w:rPr>
            <w:noProof/>
          </w:rPr>
          <w:t>1</w:t>
        </w:r>
        <w:r w:rsidR="00AC6F7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8E" w:rsidRDefault="005D5A8E" w:rsidP="00116077">
      <w:pPr>
        <w:spacing w:after="0" w:line="240" w:lineRule="auto"/>
      </w:pPr>
      <w:r>
        <w:separator/>
      </w:r>
    </w:p>
  </w:footnote>
  <w:footnote w:type="continuationSeparator" w:id="0">
    <w:p w:rsidR="005D5A8E" w:rsidRDefault="005D5A8E" w:rsidP="0011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2D27"/>
    <w:multiLevelType w:val="hybridMultilevel"/>
    <w:tmpl w:val="3B3A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8BA"/>
    <w:multiLevelType w:val="hybridMultilevel"/>
    <w:tmpl w:val="516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19EE"/>
    <w:multiLevelType w:val="hybridMultilevel"/>
    <w:tmpl w:val="C62C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7FC"/>
    <w:multiLevelType w:val="hybridMultilevel"/>
    <w:tmpl w:val="A168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34F8"/>
    <w:multiLevelType w:val="hybridMultilevel"/>
    <w:tmpl w:val="A0C6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4F"/>
    <w:rsid w:val="00005CAC"/>
    <w:rsid w:val="0003244C"/>
    <w:rsid w:val="000C745E"/>
    <w:rsid w:val="000E1AEE"/>
    <w:rsid w:val="001002C8"/>
    <w:rsid w:val="00116077"/>
    <w:rsid w:val="001329B3"/>
    <w:rsid w:val="00155EE1"/>
    <w:rsid w:val="0019121D"/>
    <w:rsid w:val="001D1258"/>
    <w:rsid w:val="00260CAC"/>
    <w:rsid w:val="002A23DB"/>
    <w:rsid w:val="002F304E"/>
    <w:rsid w:val="002F64F0"/>
    <w:rsid w:val="003273C0"/>
    <w:rsid w:val="003347CB"/>
    <w:rsid w:val="00400D9B"/>
    <w:rsid w:val="00466DD8"/>
    <w:rsid w:val="004C0DA4"/>
    <w:rsid w:val="004E2C34"/>
    <w:rsid w:val="0050209F"/>
    <w:rsid w:val="005847A4"/>
    <w:rsid w:val="005B650C"/>
    <w:rsid w:val="005D5A8E"/>
    <w:rsid w:val="005F7C20"/>
    <w:rsid w:val="006251C6"/>
    <w:rsid w:val="006815F2"/>
    <w:rsid w:val="00686A84"/>
    <w:rsid w:val="0084019F"/>
    <w:rsid w:val="00842313"/>
    <w:rsid w:val="0084581F"/>
    <w:rsid w:val="00845C67"/>
    <w:rsid w:val="008A2194"/>
    <w:rsid w:val="008E41C0"/>
    <w:rsid w:val="00902903"/>
    <w:rsid w:val="00907F95"/>
    <w:rsid w:val="00913694"/>
    <w:rsid w:val="009155A8"/>
    <w:rsid w:val="00920214"/>
    <w:rsid w:val="009A3125"/>
    <w:rsid w:val="009B5C6D"/>
    <w:rsid w:val="009E3ED3"/>
    <w:rsid w:val="00A74B8B"/>
    <w:rsid w:val="00AC6F7C"/>
    <w:rsid w:val="00AE3062"/>
    <w:rsid w:val="00AF544F"/>
    <w:rsid w:val="00B32E44"/>
    <w:rsid w:val="00B65772"/>
    <w:rsid w:val="00B67330"/>
    <w:rsid w:val="00B80052"/>
    <w:rsid w:val="00B97380"/>
    <w:rsid w:val="00BB391A"/>
    <w:rsid w:val="00BC2F33"/>
    <w:rsid w:val="00BD375A"/>
    <w:rsid w:val="00C34225"/>
    <w:rsid w:val="00C36277"/>
    <w:rsid w:val="00C91BB7"/>
    <w:rsid w:val="00D02898"/>
    <w:rsid w:val="00D23BD4"/>
    <w:rsid w:val="00D73F82"/>
    <w:rsid w:val="00DA50DA"/>
    <w:rsid w:val="00DC4016"/>
    <w:rsid w:val="00E9601D"/>
    <w:rsid w:val="00E9646B"/>
    <w:rsid w:val="00EE3B92"/>
    <w:rsid w:val="00F040ED"/>
    <w:rsid w:val="00F2268A"/>
    <w:rsid w:val="00F63854"/>
    <w:rsid w:val="00FB3731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11E9F-B15E-406B-AC98-28552577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77"/>
  </w:style>
  <w:style w:type="paragraph" w:styleId="Footer">
    <w:name w:val="footer"/>
    <w:basedOn w:val="Normal"/>
    <w:link w:val="FooterChar"/>
    <w:uiPriority w:val="99"/>
    <w:unhideWhenUsed/>
    <w:rsid w:val="00116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77"/>
  </w:style>
  <w:style w:type="paragraph" w:styleId="ListParagraph">
    <w:name w:val="List Paragraph"/>
    <w:basedOn w:val="Normal"/>
    <w:uiPriority w:val="34"/>
    <w:qFormat/>
    <w:rsid w:val="00FB3731"/>
    <w:pPr>
      <w:ind w:left="720"/>
      <w:contextualSpacing/>
    </w:pPr>
  </w:style>
  <w:style w:type="table" w:styleId="TableGrid">
    <w:name w:val="Table Grid"/>
    <w:basedOn w:val="TableNormal"/>
    <w:uiPriority w:val="59"/>
    <w:rsid w:val="00FE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657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77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allundbeak@MidCoastConnect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2019-2023 Locally Coordinated Plan</dc:title>
  <dc:creator>Rich Rothe</dc:creator>
  <cp:lastModifiedBy>Lord, Barbie-Jo</cp:lastModifiedBy>
  <cp:revision>2</cp:revision>
  <cp:lastPrinted>2019-02-19T17:40:00Z</cp:lastPrinted>
  <dcterms:created xsi:type="dcterms:W3CDTF">2019-03-18T19:31:00Z</dcterms:created>
  <dcterms:modified xsi:type="dcterms:W3CDTF">2019-03-18T19:31:00Z</dcterms:modified>
</cp:coreProperties>
</file>