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D9B" w:rsidRPr="006A74E7" w:rsidRDefault="006A3247" w:rsidP="00B2244F">
      <w:pPr>
        <w:spacing w:after="0" w:line="240" w:lineRule="auto"/>
        <w:jc w:val="center"/>
        <w:rPr>
          <w:b/>
          <w:sz w:val="28"/>
          <w:szCs w:val="28"/>
        </w:rPr>
      </w:pPr>
      <w:bookmarkStart w:id="0" w:name="_GoBack"/>
      <w:bookmarkEnd w:id="0"/>
      <w:r w:rsidRPr="006A74E7">
        <w:rPr>
          <w:b/>
          <w:sz w:val="28"/>
          <w:szCs w:val="28"/>
        </w:rPr>
        <w:t>Northern New England Passenger Rail Authority</w:t>
      </w:r>
    </w:p>
    <w:p w:rsidR="000C1D59" w:rsidRDefault="000C1D59" w:rsidP="005B5F4F">
      <w:pPr>
        <w:spacing w:after="0" w:line="240" w:lineRule="auto"/>
        <w:jc w:val="both"/>
        <w:rPr>
          <w:b/>
          <w:sz w:val="24"/>
          <w:szCs w:val="24"/>
        </w:rPr>
      </w:pPr>
    </w:p>
    <w:p w:rsidR="0089444F" w:rsidRPr="00BD71DB" w:rsidRDefault="0089444F" w:rsidP="0089444F">
      <w:pPr>
        <w:spacing w:after="0" w:line="240" w:lineRule="auto"/>
        <w:jc w:val="both"/>
        <w:rPr>
          <w:rFonts w:cs="Arial"/>
          <w:color w:val="000000"/>
          <w:sz w:val="28"/>
        </w:rPr>
      </w:pPr>
      <w:r>
        <w:rPr>
          <w:rFonts w:cs="Arial"/>
          <w:b/>
          <w:color w:val="000000"/>
          <w:sz w:val="28"/>
        </w:rPr>
        <w:t>Contact Information</w:t>
      </w:r>
    </w:p>
    <w:p w:rsidR="0089444F" w:rsidRPr="00BD71DB" w:rsidRDefault="0089444F" w:rsidP="0089444F">
      <w:pPr>
        <w:spacing w:after="0" w:line="240" w:lineRule="auto"/>
        <w:jc w:val="both"/>
        <w:rPr>
          <w:rFonts w:cs="Arial"/>
          <w:b/>
          <w:color w:val="000000"/>
        </w:rPr>
      </w:pPr>
    </w:p>
    <w:p w:rsidR="0089444F" w:rsidRPr="00BD71DB" w:rsidRDefault="0089444F" w:rsidP="00985B52">
      <w:pPr>
        <w:tabs>
          <w:tab w:val="left" w:pos="3600"/>
          <w:tab w:val="right" w:leader="underscore" w:pos="9360"/>
        </w:tabs>
        <w:spacing w:after="0" w:line="240" w:lineRule="auto"/>
        <w:jc w:val="both"/>
        <w:rPr>
          <w:rFonts w:cs="Arial"/>
          <w:color w:val="000000"/>
        </w:rPr>
      </w:pPr>
      <w:r w:rsidRPr="00BD71DB">
        <w:rPr>
          <w:rFonts w:cs="Arial"/>
          <w:color w:val="000000"/>
        </w:rPr>
        <w:t>Provider:</w:t>
      </w:r>
      <w:r w:rsidRPr="00BD71DB">
        <w:rPr>
          <w:rFonts w:cs="Arial"/>
          <w:color w:val="000000"/>
        </w:rPr>
        <w:tab/>
      </w:r>
      <w:r>
        <w:rPr>
          <w:rFonts w:cs="Arial"/>
          <w:color w:val="000000"/>
        </w:rPr>
        <w:t>Northern New England Passenger Rail Authority</w:t>
      </w:r>
    </w:p>
    <w:p w:rsidR="0089444F" w:rsidRPr="00BD71DB" w:rsidRDefault="0089444F" w:rsidP="00985B52">
      <w:pPr>
        <w:tabs>
          <w:tab w:val="left" w:pos="3600"/>
          <w:tab w:val="right" w:leader="underscore" w:pos="9360"/>
        </w:tabs>
        <w:spacing w:after="0" w:line="240" w:lineRule="auto"/>
        <w:jc w:val="both"/>
        <w:rPr>
          <w:rFonts w:cs="Arial"/>
          <w:color w:val="000000"/>
        </w:rPr>
      </w:pPr>
      <w:r w:rsidRPr="00BD71DB">
        <w:rPr>
          <w:rFonts w:cs="Arial"/>
          <w:color w:val="000000"/>
        </w:rPr>
        <w:t xml:space="preserve">Contact person: </w:t>
      </w:r>
      <w:r w:rsidRPr="00BD71DB">
        <w:rPr>
          <w:rFonts w:cs="Arial"/>
          <w:color w:val="000000"/>
        </w:rPr>
        <w:tab/>
      </w:r>
      <w:r>
        <w:rPr>
          <w:rFonts w:cs="Arial"/>
          <w:color w:val="000000"/>
        </w:rPr>
        <w:t>Patricia G. Quinn, Executive Director</w:t>
      </w:r>
    </w:p>
    <w:p w:rsidR="0089444F" w:rsidRPr="00BD71DB" w:rsidRDefault="0089444F" w:rsidP="00985B52">
      <w:pPr>
        <w:tabs>
          <w:tab w:val="left" w:pos="3600"/>
          <w:tab w:val="right" w:leader="underscore" w:pos="9360"/>
        </w:tabs>
        <w:spacing w:after="0" w:line="240" w:lineRule="auto"/>
        <w:jc w:val="both"/>
        <w:rPr>
          <w:rFonts w:cs="Arial"/>
          <w:color w:val="000000"/>
        </w:rPr>
      </w:pPr>
      <w:r w:rsidRPr="00BD71DB">
        <w:rPr>
          <w:rFonts w:cs="Arial"/>
          <w:color w:val="000000"/>
        </w:rPr>
        <w:t xml:space="preserve">Address: </w:t>
      </w:r>
      <w:r w:rsidRPr="00BD71DB">
        <w:rPr>
          <w:rFonts w:cs="Arial"/>
          <w:color w:val="000000"/>
        </w:rPr>
        <w:tab/>
      </w:r>
      <w:r>
        <w:rPr>
          <w:rFonts w:cs="Arial"/>
          <w:color w:val="000000"/>
        </w:rPr>
        <w:t>75 West Commercial</w:t>
      </w:r>
      <w:r w:rsidRPr="00BD71DB">
        <w:rPr>
          <w:rFonts w:cs="Arial"/>
          <w:color w:val="000000"/>
        </w:rPr>
        <w:t xml:space="preserve"> Street,</w:t>
      </w:r>
      <w:r w:rsidR="00755050">
        <w:rPr>
          <w:rFonts w:cs="Arial"/>
          <w:color w:val="000000"/>
        </w:rPr>
        <w:t xml:space="preserve"> Suite 104, </w:t>
      </w:r>
      <w:r>
        <w:rPr>
          <w:rFonts w:cs="Arial"/>
          <w:color w:val="000000"/>
        </w:rPr>
        <w:t>Portland</w:t>
      </w:r>
      <w:r w:rsidRPr="00BD71DB">
        <w:rPr>
          <w:rFonts w:cs="Arial"/>
          <w:color w:val="000000"/>
        </w:rPr>
        <w:t xml:space="preserve">, ME </w:t>
      </w:r>
      <w:r>
        <w:rPr>
          <w:rFonts w:cs="Arial"/>
          <w:color w:val="000000"/>
        </w:rPr>
        <w:t>04101</w:t>
      </w:r>
    </w:p>
    <w:p w:rsidR="0089444F" w:rsidRPr="00BD71DB" w:rsidRDefault="0089444F" w:rsidP="00985B52">
      <w:pPr>
        <w:tabs>
          <w:tab w:val="left" w:pos="3600"/>
          <w:tab w:val="right" w:leader="underscore" w:pos="9360"/>
        </w:tabs>
        <w:spacing w:after="0" w:line="240" w:lineRule="auto"/>
        <w:jc w:val="both"/>
        <w:rPr>
          <w:rFonts w:cs="Arial"/>
          <w:color w:val="000000"/>
        </w:rPr>
      </w:pPr>
      <w:r w:rsidRPr="00BD71DB">
        <w:rPr>
          <w:rFonts w:cs="Arial"/>
          <w:color w:val="000000"/>
        </w:rPr>
        <w:t xml:space="preserve">Telephone number: </w:t>
      </w:r>
      <w:r w:rsidRPr="00BD71DB">
        <w:rPr>
          <w:rFonts w:cs="Arial"/>
          <w:color w:val="000000"/>
        </w:rPr>
        <w:tab/>
        <w:t xml:space="preserve">(207) </w:t>
      </w:r>
      <w:r w:rsidR="00755050">
        <w:rPr>
          <w:rFonts w:cs="Arial"/>
          <w:color w:val="000000"/>
        </w:rPr>
        <w:t>780-1000, ext. 105</w:t>
      </w:r>
    </w:p>
    <w:p w:rsidR="0089444F" w:rsidRPr="00BD71DB" w:rsidRDefault="0089444F" w:rsidP="00985B52">
      <w:pPr>
        <w:tabs>
          <w:tab w:val="left" w:pos="3600"/>
          <w:tab w:val="right" w:leader="underscore" w:pos="9360"/>
        </w:tabs>
        <w:spacing w:after="0" w:line="240" w:lineRule="auto"/>
        <w:jc w:val="both"/>
        <w:rPr>
          <w:rFonts w:cs="Arial"/>
          <w:color w:val="000000"/>
        </w:rPr>
      </w:pPr>
      <w:r w:rsidRPr="00BD71DB">
        <w:rPr>
          <w:rFonts w:cs="Arial"/>
          <w:color w:val="000000"/>
        </w:rPr>
        <w:t>E-mail:</w:t>
      </w:r>
      <w:r w:rsidRPr="00BD71DB">
        <w:rPr>
          <w:rFonts w:cs="Arial"/>
          <w:color w:val="000000"/>
        </w:rPr>
        <w:tab/>
      </w:r>
      <w:hyperlink r:id="rId8" w:history="1">
        <w:r w:rsidR="00755050" w:rsidRPr="00B368D9">
          <w:rPr>
            <w:rStyle w:val="Hyperlink"/>
            <w:rFonts w:cs="Arial"/>
          </w:rPr>
          <w:t>patricia@nnepra.com</w:t>
        </w:r>
      </w:hyperlink>
      <w:r w:rsidR="00755050">
        <w:rPr>
          <w:rFonts w:cs="Arial"/>
        </w:rPr>
        <w:t xml:space="preserve"> </w:t>
      </w:r>
    </w:p>
    <w:p w:rsidR="0089444F" w:rsidRPr="00BD71DB" w:rsidRDefault="0089444F" w:rsidP="00985B52">
      <w:pPr>
        <w:tabs>
          <w:tab w:val="left" w:pos="3600"/>
          <w:tab w:val="right" w:leader="underscore" w:pos="9360"/>
        </w:tabs>
        <w:spacing w:after="0" w:line="240" w:lineRule="auto"/>
        <w:jc w:val="both"/>
        <w:rPr>
          <w:rFonts w:cs="Arial"/>
          <w:color w:val="000000"/>
        </w:rPr>
      </w:pPr>
      <w:r w:rsidRPr="00BD71DB">
        <w:rPr>
          <w:rFonts w:cs="Arial"/>
          <w:color w:val="000000"/>
        </w:rPr>
        <w:t>Website:</w:t>
      </w:r>
      <w:r w:rsidRPr="00BD71DB">
        <w:rPr>
          <w:rFonts w:cs="Arial"/>
          <w:color w:val="000000"/>
        </w:rPr>
        <w:tab/>
      </w:r>
      <w:hyperlink r:id="rId9" w:history="1">
        <w:r w:rsidR="00755050" w:rsidRPr="00B368D9">
          <w:rPr>
            <w:rStyle w:val="Hyperlink"/>
            <w:rFonts w:cs="Arial"/>
          </w:rPr>
          <w:t>www.AmtrakDowneaster.com</w:t>
        </w:r>
      </w:hyperlink>
      <w:r w:rsidR="00755050">
        <w:rPr>
          <w:rFonts w:cs="Arial"/>
          <w:color w:val="000000"/>
        </w:rPr>
        <w:t xml:space="preserve"> </w:t>
      </w:r>
    </w:p>
    <w:p w:rsidR="0089444F" w:rsidRPr="00BD71DB" w:rsidRDefault="0089444F" w:rsidP="00985B52">
      <w:pPr>
        <w:tabs>
          <w:tab w:val="left" w:pos="3060"/>
          <w:tab w:val="right" w:leader="underscore" w:pos="9360"/>
        </w:tabs>
        <w:spacing w:after="0" w:line="240" w:lineRule="auto"/>
        <w:jc w:val="both"/>
        <w:rPr>
          <w:rFonts w:cs="Arial"/>
          <w:color w:val="000000"/>
        </w:rPr>
      </w:pPr>
    </w:p>
    <w:p w:rsidR="0089444F" w:rsidRPr="00985B52" w:rsidRDefault="006A74E7" w:rsidP="00985B52">
      <w:pPr>
        <w:pStyle w:val="Heading4"/>
        <w:tabs>
          <w:tab w:val="clear" w:pos="540"/>
          <w:tab w:val="clear" w:pos="2700"/>
          <w:tab w:val="clear" w:pos="4680"/>
          <w:tab w:val="clear" w:pos="6030"/>
          <w:tab w:val="clear" w:pos="8010"/>
          <w:tab w:val="right" w:leader="underscore" w:pos="9360"/>
        </w:tabs>
        <w:jc w:val="both"/>
        <w:rPr>
          <w:rFonts w:asciiTheme="minorHAnsi" w:hAnsiTheme="minorHAnsi" w:cs="Arial"/>
          <w:color w:val="000000"/>
          <w:sz w:val="28"/>
          <w:szCs w:val="28"/>
        </w:rPr>
      </w:pPr>
      <w:r>
        <w:rPr>
          <w:rFonts w:asciiTheme="minorHAnsi" w:hAnsiTheme="minorHAnsi" w:cs="Arial"/>
          <w:color w:val="000000"/>
          <w:sz w:val="28"/>
          <w:szCs w:val="28"/>
        </w:rPr>
        <w:t>Service Summary</w:t>
      </w:r>
    </w:p>
    <w:p w:rsidR="0089444F" w:rsidRPr="00BD71DB" w:rsidRDefault="0089444F" w:rsidP="00985B52">
      <w:pPr>
        <w:tabs>
          <w:tab w:val="left" w:pos="3060"/>
        </w:tabs>
        <w:spacing w:after="0" w:line="240" w:lineRule="auto"/>
        <w:jc w:val="both"/>
        <w:rPr>
          <w:rFonts w:cs="Arial"/>
          <w:color w:val="000000"/>
        </w:rPr>
      </w:pPr>
    </w:p>
    <w:p w:rsidR="0089444F" w:rsidRPr="00BD71DB" w:rsidRDefault="0089444F" w:rsidP="00985B52">
      <w:pPr>
        <w:pStyle w:val="Footer"/>
        <w:tabs>
          <w:tab w:val="left" w:pos="3600"/>
          <w:tab w:val="right" w:leader="underscore" w:pos="9360"/>
        </w:tabs>
        <w:jc w:val="both"/>
        <w:rPr>
          <w:rFonts w:cs="Arial"/>
          <w:color w:val="000000"/>
        </w:rPr>
      </w:pPr>
      <w:r w:rsidRPr="00BD71DB">
        <w:rPr>
          <w:rFonts w:cs="Arial"/>
          <w:color w:val="000000"/>
        </w:rPr>
        <w:t xml:space="preserve">Service area:  </w:t>
      </w:r>
      <w:r w:rsidRPr="00BD71DB">
        <w:rPr>
          <w:rFonts w:cs="Arial"/>
          <w:color w:val="000000"/>
        </w:rPr>
        <w:tab/>
      </w:r>
      <w:r w:rsidR="00755050">
        <w:rPr>
          <w:rFonts w:cs="Arial"/>
          <w:color w:val="000000"/>
        </w:rPr>
        <w:t xml:space="preserve">Southern Maine, New </w:t>
      </w:r>
      <w:r w:rsidR="00C72FCD">
        <w:rPr>
          <w:rFonts w:cs="Arial"/>
          <w:color w:val="000000"/>
        </w:rPr>
        <w:t>Hampshire</w:t>
      </w:r>
      <w:r w:rsidR="00755050">
        <w:rPr>
          <w:rFonts w:cs="Arial"/>
          <w:color w:val="000000"/>
        </w:rPr>
        <w:t xml:space="preserve"> and Massachusetts</w:t>
      </w:r>
    </w:p>
    <w:p w:rsidR="0089444F" w:rsidRDefault="0089444F" w:rsidP="00985B52">
      <w:pPr>
        <w:tabs>
          <w:tab w:val="left" w:pos="3600"/>
          <w:tab w:val="right" w:leader="underscore" w:pos="9360"/>
        </w:tabs>
        <w:spacing w:after="0" w:line="240" w:lineRule="auto"/>
        <w:jc w:val="both"/>
        <w:rPr>
          <w:rFonts w:cs="Arial"/>
        </w:rPr>
      </w:pPr>
      <w:r w:rsidRPr="00BD71DB">
        <w:rPr>
          <w:rFonts w:cs="Arial"/>
          <w:color w:val="000000"/>
        </w:rPr>
        <w:t>Type of service:</w:t>
      </w:r>
      <w:r w:rsidRPr="00BD71DB">
        <w:rPr>
          <w:rFonts w:cs="Arial"/>
          <w:color w:val="000000"/>
        </w:rPr>
        <w:tab/>
      </w:r>
      <w:r>
        <w:rPr>
          <w:rFonts w:cs="Arial"/>
        </w:rPr>
        <w:t>Passenger Rail Service</w:t>
      </w:r>
    </w:p>
    <w:p w:rsidR="0089444F" w:rsidRDefault="0089444F" w:rsidP="005B5F4F">
      <w:pPr>
        <w:spacing w:after="0" w:line="240" w:lineRule="auto"/>
        <w:jc w:val="both"/>
        <w:rPr>
          <w:b/>
          <w:sz w:val="24"/>
          <w:szCs w:val="24"/>
        </w:rPr>
      </w:pPr>
    </w:p>
    <w:p w:rsidR="00112A8E" w:rsidRPr="00985B52" w:rsidRDefault="00112A8E" w:rsidP="005B5F4F">
      <w:pPr>
        <w:spacing w:after="0" w:line="240" w:lineRule="auto"/>
        <w:jc w:val="both"/>
        <w:rPr>
          <w:b/>
          <w:sz w:val="28"/>
          <w:szCs w:val="28"/>
        </w:rPr>
      </w:pPr>
      <w:r w:rsidRPr="00985B52">
        <w:rPr>
          <w:b/>
          <w:sz w:val="28"/>
          <w:szCs w:val="28"/>
        </w:rPr>
        <w:t>Passenger Rail Service</w:t>
      </w:r>
    </w:p>
    <w:p w:rsidR="00112A8E" w:rsidRDefault="00112A8E" w:rsidP="005B5F4F">
      <w:pPr>
        <w:spacing w:after="0" w:line="240" w:lineRule="auto"/>
        <w:jc w:val="both"/>
        <w:rPr>
          <w:sz w:val="24"/>
          <w:szCs w:val="24"/>
        </w:rPr>
      </w:pPr>
    </w:p>
    <w:p w:rsidR="003F57BC" w:rsidRPr="00175315" w:rsidRDefault="005B5F4F" w:rsidP="005B5F4F">
      <w:pPr>
        <w:spacing w:after="0" w:line="240" w:lineRule="auto"/>
        <w:jc w:val="both"/>
      </w:pPr>
      <w:r w:rsidRPr="00175315">
        <w:t>The Northern New England Passenger Rail Authority (NNEPRA) is a public transportation authority created in 1995 by the Maine State Legislature to develop and provide passenger rail service between Maine and Boston.</w:t>
      </w:r>
      <w:r w:rsidR="007E2DFD" w:rsidRPr="00175315">
        <w:t xml:space="preserve"> </w:t>
      </w:r>
      <w:r w:rsidR="003F57BC" w:rsidRPr="00175315">
        <w:t xml:space="preserve">NNEPRA </w:t>
      </w:r>
      <w:r w:rsidR="00F20D96" w:rsidRPr="00175315">
        <w:t xml:space="preserve">is engaged in planning for the future and collaborating with its partners on system improvements. NNEPRA also </w:t>
      </w:r>
      <w:r w:rsidR="003F57BC" w:rsidRPr="00175315">
        <w:t>develops marketing strategies that build brand awareness</w:t>
      </w:r>
      <w:r w:rsidR="00112A8E" w:rsidRPr="00175315">
        <w:t xml:space="preserve">, monitors operations and manages a number of capital projects in collaboration with MaineDOT, the Federal Transit Administration (FTA) and the Federal Railroad Administration (FRA) to support continued improvement and growth of the system. </w:t>
      </w:r>
    </w:p>
    <w:p w:rsidR="00112A8E" w:rsidRPr="00175315" w:rsidRDefault="00112A8E" w:rsidP="005B5F4F">
      <w:pPr>
        <w:spacing w:after="0" w:line="240" w:lineRule="auto"/>
        <w:jc w:val="both"/>
      </w:pPr>
    </w:p>
    <w:p w:rsidR="0082243E" w:rsidRPr="00175315" w:rsidRDefault="007E2DFD" w:rsidP="005B5F4F">
      <w:pPr>
        <w:spacing w:after="0" w:line="240" w:lineRule="auto"/>
        <w:jc w:val="both"/>
      </w:pPr>
      <w:r w:rsidRPr="00175315">
        <w:t>Amtrak operates the Downeaster under contract to NNEPRA along the 143-mile corridor of track owned by M</w:t>
      </w:r>
      <w:r w:rsidR="00660894" w:rsidRPr="00175315">
        <w:t>a</w:t>
      </w:r>
      <w:r w:rsidRPr="00175315">
        <w:t xml:space="preserve">ineDOT, Pan Am Railways and the Massachusetts Bay Transportation Authority (MBTA). </w:t>
      </w:r>
      <w:r w:rsidR="006612B7" w:rsidRPr="00175315">
        <w:t xml:space="preserve">The Amtrak Downeaster makes five trips daily between Boston and Brunswick, serving 12 communities in three states. Maine communities directly served include Wells, Saco, Old Orchard Beach, Portland, Freeport and Brunswick.  </w:t>
      </w:r>
      <w:r w:rsidRPr="00175315">
        <w:t>In FY 2018, the Amtrak Downeaster transported 551,000 riders.</w:t>
      </w:r>
    </w:p>
    <w:p w:rsidR="006612B7" w:rsidRPr="00175315" w:rsidRDefault="006612B7" w:rsidP="005B5F4F">
      <w:pPr>
        <w:spacing w:after="0" w:line="240" w:lineRule="auto"/>
        <w:jc w:val="both"/>
      </w:pPr>
    </w:p>
    <w:p w:rsidR="007E2DFD" w:rsidRPr="00175315" w:rsidRDefault="006612B7" w:rsidP="005B5F4F">
      <w:pPr>
        <w:spacing w:after="0" w:line="240" w:lineRule="auto"/>
        <w:jc w:val="both"/>
      </w:pPr>
      <w:r w:rsidRPr="00175315">
        <w:t xml:space="preserve">The Amtrak Downeaster operates with three train sets which are wheelchair accessible and have seating capacity for up to 306 passengers. </w:t>
      </w:r>
      <w:r w:rsidR="003F57BC" w:rsidRPr="00175315">
        <w:t>Each Amtrak train is staffed by three Amtrak crew members and one NexDine Café attendant. Ticket agents are available in Portland and Boston, and most stations have self-service Quik-Trak ticketing kiosks</w:t>
      </w:r>
      <w:r w:rsidR="00660894" w:rsidRPr="00175315">
        <w:t xml:space="preserve"> and volunteer and/or paid staff provided by the community</w:t>
      </w:r>
      <w:r w:rsidR="003F57BC" w:rsidRPr="00175315">
        <w:t xml:space="preserve">. Reservation, ticketing and passenger information is provided through Amtrak’s national network. </w:t>
      </w:r>
    </w:p>
    <w:p w:rsidR="00112A8E" w:rsidRPr="00175315" w:rsidRDefault="00112A8E" w:rsidP="005B5F4F">
      <w:pPr>
        <w:spacing w:after="0" w:line="240" w:lineRule="auto"/>
        <w:jc w:val="both"/>
      </w:pPr>
    </w:p>
    <w:p w:rsidR="00112A8E" w:rsidRPr="00175315" w:rsidRDefault="00112A8E" w:rsidP="005B5F4F">
      <w:pPr>
        <w:spacing w:after="0" w:line="240" w:lineRule="auto"/>
        <w:jc w:val="both"/>
      </w:pPr>
      <w:r w:rsidRPr="00175315">
        <w:t xml:space="preserve">Most </w:t>
      </w:r>
      <w:r w:rsidR="00660894" w:rsidRPr="00175315">
        <w:t>Downeaster</w:t>
      </w:r>
      <w:r w:rsidRPr="00175315">
        <w:t xml:space="preserve"> stations are owned and operated by the municipalities in which they are located. The Portland Transportation Center is owned by Concord Coach Lines and staffed by Amtrak personnel. Volunteer Train Hosts, sponsored by TrainRiders Northeast, are often on board to provide information to passengers.</w:t>
      </w:r>
    </w:p>
    <w:p w:rsidR="00112A8E" w:rsidRPr="00175315" w:rsidRDefault="00112A8E" w:rsidP="005B5F4F">
      <w:pPr>
        <w:spacing w:after="0" w:line="240" w:lineRule="auto"/>
        <w:jc w:val="both"/>
      </w:pPr>
    </w:p>
    <w:p w:rsidR="00112A8E" w:rsidRPr="00175315" w:rsidRDefault="00112A8E" w:rsidP="005B5F4F">
      <w:pPr>
        <w:spacing w:after="0" w:line="240" w:lineRule="auto"/>
        <w:jc w:val="both"/>
      </w:pPr>
      <w:r w:rsidRPr="00175315">
        <w:t xml:space="preserve">The Discover Maine Rail Pass was launched in June, 2018. The pass provides 10 one-way trips during a seven-day period for $19. It was developed to encourage visitors and residents to use the Downeaster </w:t>
      </w:r>
      <w:r w:rsidR="00660894" w:rsidRPr="00175315">
        <w:t xml:space="preserve">for travel within Maine, as well as </w:t>
      </w:r>
      <w:r w:rsidRPr="00175315">
        <w:t xml:space="preserve">travel to Boston. </w:t>
      </w:r>
    </w:p>
    <w:p w:rsidR="007E2DFD" w:rsidRPr="00985B52" w:rsidRDefault="007E2DFD" w:rsidP="005B5F4F">
      <w:pPr>
        <w:spacing w:after="0" w:line="240" w:lineRule="auto"/>
        <w:jc w:val="both"/>
        <w:rPr>
          <w:b/>
          <w:sz w:val="24"/>
          <w:szCs w:val="24"/>
        </w:rPr>
      </w:pPr>
    </w:p>
    <w:p w:rsidR="00985B52" w:rsidRPr="00985B52" w:rsidRDefault="00985B52">
      <w:pPr>
        <w:rPr>
          <w:b/>
          <w:sz w:val="28"/>
          <w:szCs w:val="28"/>
        </w:rPr>
      </w:pPr>
      <w:r w:rsidRPr="00985B52">
        <w:rPr>
          <w:b/>
          <w:sz w:val="28"/>
          <w:szCs w:val="28"/>
        </w:rPr>
        <w:t>Fares</w:t>
      </w:r>
    </w:p>
    <w:p w:rsidR="00985B52" w:rsidRPr="00175315" w:rsidRDefault="00985B52" w:rsidP="00985B52">
      <w:pPr>
        <w:rPr>
          <w:rFonts w:ascii="Calibri" w:hAnsi="Calibri"/>
          <w:color w:val="000000" w:themeColor="text1"/>
        </w:rPr>
      </w:pPr>
      <w:r w:rsidRPr="00175315">
        <w:rPr>
          <w:rFonts w:ascii="Calibri" w:hAnsi="Calibri"/>
          <w:color w:val="000000" w:themeColor="text1"/>
        </w:rPr>
        <w:t>Brunswick/Boston: $30 one way; $60 round trip</w:t>
      </w:r>
    </w:p>
    <w:p w:rsidR="00985B52" w:rsidRPr="00175315" w:rsidRDefault="00985B52" w:rsidP="00985B52">
      <w:pPr>
        <w:rPr>
          <w:rFonts w:ascii="Calibri" w:hAnsi="Calibri"/>
          <w:color w:val="000000" w:themeColor="text1"/>
        </w:rPr>
      </w:pPr>
      <w:r w:rsidRPr="00175315">
        <w:rPr>
          <w:rFonts w:ascii="Calibri" w:hAnsi="Calibri"/>
          <w:color w:val="000000" w:themeColor="text1"/>
        </w:rPr>
        <w:t>Portland/Boston: $29 one-way; $58 round-trip</w:t>
      </w:r>
    </w:p>
    <w:p w:rsidR="00985B52" w:rsidRPr="00175315" w:rsidRDefault="00985B52" w:rsidP="00985B52">
      <w:pPr>
        <w:rPr>
          <w:rFonts w:ascii="Calibri" w:hAnsi="Calibri"/>
          <w:color w:val="000000" w:themeColor="text1"/>
        </w:rPr>
      </w:pPr>
      <w:r w:rsidRPr="00175315">
        <w:rPr>
          <w:rFonts w:ascii="Calibri" w:hAnsi="Calibri"/>
          <w:color w:val="000000" w:themeColor="text1"/>
        </w:rPr>
        <w:t>Portland/Wells: $10 one-way; $20 round trip</w:t>
      </w:r>
    </w:p>
    <w:p w:rsidR="00985B52" w:rsidRPr="00175315" w:rsidRDefault="00985B52" w:rsidP="00985B52">
      <w:pPr>
        <w:rPr>
          <w:rFonts w:ascii="Calibri" w:hAnsi="Calibri"/>
          <w:color w:val="000000" w:themeColor="text1"/>
        </w:rPr>
      </w:pPr>
      <w:r w:rsidRPr="00175315">
        <w:rPr>
          <w:rFonts w:ascii="Calibri" w:hAnsi="Calibri"/>
          <w:color w:val="000000" w:themeColor="text1"/>
        </w:rPr>
        <w:t>Portland/Brunswick: $8 one-way; $16 roundtrip</w:t>
      </w:r>
    </w:p>
    <w:p w:rsidR="00985B52" w:rsidRPr="00175315" w:rsidRDefault="00985B52" w:rsidP="00985B52">
      <w:pPr>
        <w:rPr>
          <w:rFonts w:ascii="Calibri" w:hAnsi="Calibri"/>
          <w:color w:val="000000" w:themeColor="text1"/>
        </w:rPr>
      </w:pPr>
      <w:r w:rsidRPr="00175315">
        <w:rPr>
          <w:rFonts w:ascii="Calibri" w:hAnsi="Calibri"/>
          <w:color w:val="000000" w:themeColor="text1"/>
        </w:rPr>
        <w:t>Lesser amounts for travel between stops along the way</w:t>
      </w:r>
      <w:r w:rsidR="00E0681C" w:rsidRPr="00175315">
        <w:rPr>
          <w:rFonts w:ascii="Calibri" w:hAnsi="Calibri"/>
          <w:color w:val="000000" w:themeColor="text1"/>
        </w:rPr>
        <w:t>.</w:t>
      </w:r>
    </w:p>
    <w:p w:rsidR="00E0681C" w:rsidRPr="00175315" w:rsidRDefault="00E0681C" w:rsidP="00E0681C">
      <w:pPr>
        <w:rPr>
          <w:rFonts w:ascii="Calibri" w:hAnsi="Calibri"/>
          <w:color w:val="000000" w:themeColor="text1"/>
        </w:rPr>
      </w:pPr>
      <w:r w:rsidRPr="00175315">
        <w:rPr>
          <w:rFonts w:ascii="Calibri" w:hAnsi="Calibri"/>
          <w:color w:val="000000" w:themeColor="text1"/>
        </w:rPr>
        <w:t>Tickets can be purchased online, or at all Downeaster stations.</w:t>
      </w:r>
    </w:p>
    <w:p w:rsidR="00E0681C" w:rsidRPr="00E0681C" w:rsidRDefault="00E0681C" w:rsidP="00985B52">
      <w:pPr>
        <w:rPr>
          <w:rFonts w:ascii="Calibri" w:hAnsi="Calibri"/>
          <w:b/>
          <w:color w:val="000000" w:themeColor="text1"/>
          <w:sz w:val="28"/>
          <w:szCs w:val="28"/>
        </w:rPr>
      </w:pPr>
      <w:r w:rsidRPr="00E0681C">
        <w:rPr>
          <w:rFonts w:ascii="Calibri" w:hAnsi="Calibri"/>
          <w:b/>
          <w:color w:val="000000" w:themeColor="text1"/>
          <w:sz w:val="28"/>
          <w:szCs w:val="28"/>
        </w:rPr>
        <w:t>Discounts</w:t>
      </w:r>
    </w:p>
    <w:p w:rsidR="00985B52" w:rsidRPr="00175315" w:rsidRDefault="00985B52" w:rsidP="00985B52">
      <w:pPr>
        <w:rPr>
          <w:rFonts w:ascii="Calibri" w:hAnsi="Calibri"/>
          <w:color w:val="000000" w:themeColor="text1"/>
        </w:rPr>
      </w:pPr>
      <w:r w:rsidRPr="00175315">
        <w:rPr>
          <w:rFonts w:ascii="Calibri" w:hAnsi="Calibri"/>
          <w:b/>
          <w:color w:val="000000" w:themeColor="text1"/>
        </w:rPr>
        <w:t>Seniors and disabled</w:t>
      </w:r>
      <w:r w:rsidR="00E0681C" w:rsidRPr="00175315">
        <w:rPr>
          <w:rFonts w:ascii="Calibri" w:hAnsi="Calibri"/>
          <w:b/>
          <w:color w:val="000000" w:themeColor="text1"/>
        </w:rPr>
        <w:t xml:space="preserve"> persons</w:t>
      </w:r>
      <w:r w:rsidRPr="00175315">
        <w:rPr>
          <w:rFonts w:ascii="Calibri" w:hAnsi="Calibri"/>
          <w:color w:val="000000" w:themeColor="text1"/>
        </w:rPr>
        <w:t xml:space="preserve"> are entitled to a 50% discount on most trains; only 10% discount on trains 685, and 695.</w:t>
      </w:r>
      <w:r w:rsidR="00E0681C" w:rsidRPr="00175315">
        <w:rPr>
          <w:rFonts w:ascii="Calibri" w:hAnsi="Calibri"/>
          <w:color w:val="000000" w:themeColor="text1"/>
        </w:rPr>
        <w:t xml:space="preserve">  </w:t>
      </w:r>
    </w:p>
    <w:p w:rsidR="00E0681C" w:rsidRPr="00175315" w:rsidRDefault="00E0681C" w:rsidP="00E0681C">
      <w:pPr>
        <w:rPr>
          <w:rFonts w:ascii="Calibri" w:hAnsi="Calibri"/>
          <w:color w:val="000000" w:themeColor="text1"/>
        </w:rPr>
      </w:pPr>
      <w:r w:rsidRPr="00175315">
        <w:rPr>
          <w:rFonts w:ascii="Calibri" w:hAnsi="Calibri"/>
          <w:b/>
          <w:color w:val="000000" w:themeColor="text1"/>
        </w:rPr>
        <w:t>Discover Maine Rail Pass</w:t>
      </w:r>
      <w:r w:rsidRPr="00175315">
        <w:rPr>
          <w:rFonts w:ascii="Calibri" w:hAnsi="Calibri"/>
          <w:color w:val="000000" w:themeColor="text1"/>
        </w:rPr>
        <w:t xml:space="preserve"> valid for 10 one-way trips between any Maine station within a 7-day period $19/person</w:t>
      </w:r>
    </w:p>
    <w:p w:rsidR="00E0681C" w:rsidRPr="00175315" w:rsidRDefault="00E0681C" w:rsidP="00E0681C">
      <w:pPr>
        <w:rPr>
          <w:rFonts w:ascii="Calibri" w:hAnsi="Calibri"/>
          <w:color w:val="000000" w:themeColor="text1"/>
        </w:rPr>
      </w:pPr>
      <w:r w:rsidRPr="00175315">
        <w:rPr>
          <w:rFonts w:ascii="Calibri" w:hAnsi="Calibri"/>
          <w:b/>
          <w:color w:val="000000" w:themeColor="text1"/>
        </w:rPr>
        <w:t>Kids Ride Free on Sundays</w:t>
      </w:r>
      <w:r w:rsidRPr="00175315">
        <w:rPr>
          <w:rFonts w:ascii="Calibri" w:hAnsi="Calibri"/>
          <w:color w:val="000000" w:themeColor="text1"/>
        </w:rPr>
        <w:t xml:space="preserve"> – kids 2-12 ride free when accompanied by full-fare paying adult</w:t>
      </w:r>
    </w:p>
    <w:p w:rsidR="00E0681C" w:rsidRPr="00175315" w:rsidRDefault="00E0681C" w:rsidP="00E0681C">
      <w:pPr>
        <w:rPr>
          <w:rFonts w:ascii="Calibri" w:hAnsi="Calibri"/>
          <w:color w:val="000000" w:themeColor="text1"/>
        </w:rPr>
      </w:pPr>
      <w:r w:rsidRPr="00175315">
        <w:rPr>
          <w:rFonts w:ascii="Calibri" w:hAnsi="Calibri"/>
          <w:b/>
          <w:color w:val="000000" w:themeColor="text1"/>
        </w:rPr>
        <w:t>College 6 Tix pass</w:t>
      </w:r>
      <w:r w:rsidRPr="00175315">
        <w:rPr>
          <w:rFonts w:ascii="Calibri" w:hAnsi="Calibri"/>
          <w:color w:val="000000" w:themeColor="text1"/>
        </w:rPr>
        <w:t xml:space="preserve"> - 6 one-way trips between any two stations, valid for 1 year, college ID required for $86 for travel between any stations</w:t>
      </w:r>
    </w:p>
    <w:p w:rsidR="00E0681C" w:rsidRPr="00175315" w:rsidRDefault="00E0681C" w:rsidP="00E0681C">
      <w:pPr>
        <w:rPr>
          <w:rFonts w:ascii="Calibri" w:hAnsi="Calibri"/>
          <w:color w:val="000000" w:themeColor="text1"/>
        </w:rPr>
      </w:pPr>
      <w:r w:rsidRPr="00175315">
        <w:rPr>
          <w:rFonts w:ascii="Calibri" w:hAnsi="Calibri"/>
          <w:b/>
          <w:color w:val="000000" w:themeColor="text1"/>
        </w:rPr>
        <w:t>Ten-ride ticket</w:t>
      </w:r>
      <w:r w:rsidRPr="00175315">
        <w:rPr>
          <w:rFonts w:ascii="Calibri" w:hAnsi="Calibri"/>
          <w:color w:val="000000" w:themeColor="text1"/>
        </w:rPr>
        <w:t xml:space="preserve"> within 45-day period:  $79 Portland/Brunswick; $135 Wells/Brunswick; $187 Portland/Boston </w:t>
      </w:r>
    </w:p>
    <w:p w:rsidR="00E0681C" w:rsidRPr="00175315" w:rsidRDefault="00E0681C" w:rsidP="00E0681C">
      <w:pPr>
        <w:rPr>
          <w:rFonts w:ascii="Calibri" w:hAnsi="Calibri"/>
          <w:color w:val="000000" w:themeColor="text1"/>
        </w:rPr>
      </w:pPr>
      <w:r w:rsidRPr="00175315">
        <w:rPr>
          <w:rFonts w:ascii="Calibri" w:hAnsi="Calibri"/>
          <w:b/>
          <w:color w:val="000000" w:themeColor="text1"/>
        </w:rPr>
        <w:t>Monthly ticket</w:t>
      </w:r>
      <w:r w:rsidRPr="00175315">
        <w:rPr>
          <w:rFonts w:ascii="Calibri" w:hAnsi="Calibri"/>
          <w:color w:val="000000" w:themeColor="text1"/>
        </w:rPr>
        <w:t xml:space="preserve"> – unlimited rides during calendar month: $99 Portland/Brunswick; $179 Wells/Brunswick; $319 Brunswick/Boston</w:t>
      </w:r>
    </w:p>
    <w:p w:rsidR="00E0681C" w:rsidRPr="00175315" w:rsidRDefault="00E0681C" w:rsidP="00E0681C">
      <w:pPr>
        <w:rPr>
          <w:rFonts w:ascii="Calibri" w:hAnsi="Calibri"/>
          <w:color w:val="000000" w:themeColor="text1"/>
        </w:rPr>
      </w:pPr>
      <w:r w:rsidRPr="00175315">
        <w:rPr>
          <w:rFonts w:ascii="Calibri" w:hAnsi="Calibri"/>
          <w:b/>
          <w:color w:val="000000" w:themeColor="text1"/>
        </w:rPr>
        <w:t>Military discount</w:t>
      </w:r>
      <w:r w:rsidRPr="00175315">
        <w:rPr>
          <w:rFonts w:ascii="Calibri" w:hAnsi="Calibri"/>
          <w:color w:val="000000" w:themeColor="text1"/>
        </w:rPr>
        <w:t xml:space="preserve"> – 10% for active military personnel, their spouses and dependents with valid active duty US Armed Forces identification card</w:t>
      </w:r>
    </w:p>
    <w:p w:rsidR="00F819B1" w:rsidRDefault="00F819B1">
      <w:pPr>
        <w:rPr>
          <w:b/>
          <w:sz w:val="28"/>
          <w:szCs w:val="28"/>
        </w:rPr>
      </w:pPr>
      <w:r>
        <w:rPr>
          <w:b/>
          <w:sz w:val="28"/>
          <w:szCs w:val="28"/>
        </w:rPr>
        <w:br w:type="page"/>
      </w:r>
    </w:p>
    <w:p w:rsidR="00F20D96" w:rsidRPr="00985B52" w:rsidRDefault="00F66A04" w:rsidP="00F66A04">
      <w:pPr>
        <w:spacing w:after="0" w:line="240" w:lineRule="auto"/>
        <w:jc w:val="both"/>
        <w:rPr>
          <w:b/>
          <w:sz w:val="28"/>
          <w:szCs w:val="28"/>
        </w:rPr>
      </w:pPr>
      <w:r w:rsidRPr="00985B52">
        <w:rPr>
          <w:b/>
          <w:sz w:val="28"/>
          <w:szCs w:val="28"/>
        </w:rPr>
        <w:lastRenderedPageBreak/>
        <w:t xml:space="preserve">Future </w:t>
      </w:r>
      <w:r w:rsidR="00F819B1">
        <w:rPr>
          <w:b/>
          <w:sz w:val="28"/>
          <w:szCs w:val="28"/>
        </w:rPr>
        <w:t>P</w:t>
      </w:r>
      <w:r w:rsidRPr="00985B52">
        <w:rPr>
          <w:b/>
          <w:sz w:val="28"/>
          <w:szCs w:val="28"/>
        </w:rPr>
        <w:t>riorities</w:t>
      </w:r>
    </w:p>
    <w:p w:rsidR="00F20D96" w:rsidRDefault="00F20D96" w:rsidP="00F66A04">
      <w:pPr>
        <w:spacing w:after="0" w:line="240" w:lineRule="auto"/>
        <w:jc w:val="both"/>
        <w:rPr>
          <w:b/>
          <w:sz w:val="24"/>
          <w:szCs w:val="24"/>
        </w:rPr>
      </w:pPr>
    </w:p>
    <w:p w:rsidR="00F66A04" w:rsidRPr="00175315" w:rsidRDefault="00F20D96" w:rsidP="00F66A04">
      <w:pPr>
        <w:spacing w:after="0" w:line="240" w:lineRule="auto"/>
        <w:jc w:val="both"/>
      </w:pPr>
      <w:r w:rsidRPr="00175315">
        <w:t>Future initiatives for FY 2019 and beyond</w:t>
      </w:r>
      <w:r w:rsidR="00F66A04" w:rsidRPr="00175315">
        <w:t xml:space="preserve">, </w:t>
      </w:r>
      <w:r w:rsidRPr="00175315">
        <w:t xml:space="preserve">all of </w:t>
      </w:r>
      <w:r w:rsidR="00F66A04" w:rsidRPr="00175315">
        <w:t>which are dependent on funding, include:</w:t>
      </w:r>
    </w:p>
    <w:p w:rsidR="00015D7E" w:rsidRPr="00175315" w:rsidRDefault="00015D7E" w:rsidP="00F66A04">
      <w:pPr>
        <w:spacing w:after="0" w:line="240" w:lineRule="auto"/>
        <w:jc w:val="both"/>
      </w:pPr>
    </w:p>
    <w:p w:rsidR="00F66A04" w:rsidRPr="00175315" w:rsidRDefault="00015D7E" w:rsidP="000C1D59">
      <w:pPr>
        <w:pStyle w:val="ListParagraph"/>
        <w:numPr>
          <w:ilvl w:val="0"/>
          <w:numId w:val="5"/>
        </w:numPr>
        <w:spacing w:after="0" w:line="240" w:lineRule="auto"/>
        <w:jc w:val="both"/>
      </w:pPr>
      <w:r w:rsidRPr="00175315">
        <w:rPr>
          <w:b/>
        </w:rPr>
        <w:t xml:space="preserve">Portland </w:t>
      </w:r>
      <w:r w:rsidR="00F20D96" w:rsidRPr="00175315">
        <w:rPr>
          <w:b/>
        </w:rPr>
        <w:t>area improvements</w:t>
      </w:r>
      <w:r w:rsidRPr="00175315">
        <w:rPr>
          <w:b/>
        </w:rPr>
        <w:t xml:space="preserve">. </w:t>
      </w:r>
      <w:r w:rsidR="00F20D96" w:rsidRPr="00175315">
        <w:t>NNEPRA is exploring alternatives which will improve Downeaster connectivity to and within the greater Portland region by reducing ov</w:t>
      </w:r>
      <w:r w:rsidR="00F819B1" w:rsidRPr="00175315">
        <w:t xml:space="preserve">erall travel time and </w:t>
      </w:r>
      <w:r w:rsidR="00F20D96" w:rsidRPr="00175315">
        <w:t xml:space="preserve">improving transit connectivity to the Downeaster in Portland. One of the alternatives is </w:t>
      </w:r>
      <w:r w:rsidR="009F133C" w:rsidRPr="00175315">
        <w:t xml:space="preserve">identifying an appropriate site for </w:t>
      </w:r>
      <w:r w:rsidR="00F20D96" w:rsidRPr="00175315">
        <w:t>a ne</w:t>
      </w:r>
      <w:r w:rsidR="00F819B1" w:rsidRPr="00175315">
        <w:t>w Portland station</w:t>
      </w:r>
      <w:r w:rsidR="00F20D96" w:rsidRPr="00175315">
        <w:t xml:space="preserve">. </w:t>
      </w:r>
      <w:r w:rsidR="0042157F" w:rsidRPr="00175315">
        <w:t>The Portland Transportation Center is on a branch line</w:t>
      </w:r>
      <w:r w:rsidR="00F819B1" w:rsidRPr="00175315">
        <w:t>, which requires time-consuming backing in and/or out to collect and discharge passengers</w:t>
      </w:r>
      <w:r w:rsidR="0042157F" w:rsidRPr="00175315">
        <w:t xml:space="preserve">. </w:t>
      </w:r>
      <w:r w:rsidRPr="00175315">
        <w:t xml:space="preserve">Relocating the station </w:t>
      </w:r>
      <w:r w:rsidR="00BE711A" w:rsidRPr="00175315">
        <w:t>to the</w:t>
      </w:r>
      <w:r w:rsidR="00F819B1" w:rsidRPr="00175315">
        <w:t xml:space="preserve"> main line closer to ultimate destinations could </w:t>
      </w:r>
      <w:r w:rsidRPr="00175315">
        <w:t xml:space="preserve">improve service in </w:t>
      </w:r>
      <w:r w:rsidR="00F66A04" w:rsidRPr="00175315">
        <w:t>Portland</w:t>
      </w:r>
      <w:r w:rsidR="00A14E43" w:rsidRPr="00175315">
        <w:t xml:space="preserve"> and reduce the travel time between Portland and Brunswick</w:t>
      </w:r>
      <w:r w:rsidR="00F819B1" w:rsidRPr="00175315">
        <w:t xml:space="preserve"> to be more competitive with taking one’s automobile</w:t>
      </w:r>
      <w:r w:rsidR="00A14E43" w:rsidRPr="00175315">
        <w:t>.</w:t>
      </w:r>
      <w:r w:rsidR="009F133C" w:rsidRPr="00175315">
        <w:t xml:space="preserve">  Wherever the station is located, improved last mile connections must be created.</w:t>
      </w:r>
    </w:p>
    <w:p w:rsidR="00F20D96" w:rsidRPr="00175315" w:rsidRDefault="00F20D96" w:rsidP="00F20D96">
      <w:pPr>
        <w:pStyle w:val="ListParagraph"/>
        <w:spacing w:after="0" w:line="240" w:lineRule="auto"/>
        <w:jc w:val="both"/>
      </w:pPr>
    </w:p>
    <w:p w:rsidR="00015D7E" w:rsidRPr="00175315" w:rsidRDefault="00F20D96" w:rsidP="000C1D59">
      <w:pPr>
        <w:pStyle w:val="ListParagraph"/>
        <w:numPr>
          <w:ilvl w:val="0"/>
          <w:numId w:val="5"/>
        </w:numPr>
        <w:spacing w:after="0" w:line="240" w:lineRule="auto"/>
        <w:jc w:val="both"/>
      </w:pPr>
      <w:r w:rsidRPr="00175315">
        <w:rPr>
          <w:b/>
        </w:rPr>
        <w:t>Inbound commuter service from Southern Maine</w:t>
      </w:r>
      <w:r w:rsidR="00F66A04" w:rsidRPr="00175315">
        <w:rPr>
          <w:b/>
        </w:rPr>
        <w:t>.</w:t>
      </w:r>
      <w:r w:rsidR="00F66A04" w:rsidRPr="00175315">
        <w:t xml:space="preserve"> </w:t>
      </w:r>
      <w:r w:rsidRPr="00175315">
        <w:t>The Wells siding project, which</w:t>
      </w:r>
      <w:r w:rsidR="00015D7E" w:rsidRPr="00175315">
        <w:t xml:space="preserve"> is currently in the design phase</w:t>
      </w:r>
      <w:r w:rsidRPr="00175315">
        <w:t>,</w:t>
      </w:r>
      <w:r w:rsidR="00015D7E" w:rsidRPr="00175315">
        <w:t xml:space="preserve"> will support the creation of a 6</w:t>
      </w:r>
      <w:r w:rsidR="00015D7E" w:rsidRPr="00175315">
        <w:rPr>
          <w:vertAlign w:val="superscript"/>
        </w:rPr>
        <w:t>th</w:t>
      </w:r>
      <w:r w:rsidR="00015D7E" w:rsidRPr="00175315">
        <w:t xml:space="preserve"> round trip – a morning inbound Downeaster train from Wells to Saco, Portland, Freeport and Brunswick. Currently, there is only one platform in Wells. This project will create a second platform to help </w:t>
      </w:r>
      <w:r w:rsidR="00F66A04" w:rsidRPr="00175315">
        <w:t>maintain reliability</w:t>
      </w:r>
      <w:r w:rsidR="00015D7E" w:rsidRPr="00175315">
        <w:t xml:space="preserve"> of service</w:t>
      </w:r>
      <w:r w:rsidR="00F66A04" w:rsidRPr="00175315">
        <w:t xml:space="preserve">. </w:t>
      </w:r>
      <w:r w:rsidR="0042157F" w:rsidRPr="00175315">
        <w:t xml:space="preserve">With this improvement, people in Southern Maine </w:t>
      </w:r>
      <w:r w:rsidR="00A14E43" w:rsidRPr="00175315">
        <w:t>will be able to</w:t>
      </w:r>
      <w:r w:rsidR="0042157F" w:rsidRPr="00175315">
        <w:t xml:space="preserve"> travel to work in Portland by 8:00 am, and leave </w:t>
      </w:r>
      <w:r w:rsidR="00A14E43" w:rsidRPr="00175315">
        <w:t xml:space="preserve">by </w:t>
      </w:r>
      <w:r w:rsidR="0042157F" w:rsidRPr="00175315">
        <w:t>5:00 pm.</w:t>
      </w:r>
    </w:p>
    <w:p w:rsidR="000C1D59" w:rsidRPr="00175315" w:rsidRDefault="000C1D59" w:rsidP="000C1D59">
      <w:pPr>
        <w:pStyle w:val="ListParagraph"/>
      </w:pPr>
    </w:p>
    <w:p w:rsidR="00F66A04" w:rsidRPr="00175315" w:rsidRDefault="000C1D59" w:rsidP="000C1D59">
      <w:pPr>
        <w:pStyle w:val="ListParagraph"/>
        <w:numPr>
          <w:ilvl w:val="0"/>
          <w:numId w:val="5"/>
        </w:numPr>
        <w:spacing w:after="0" w:line="240" w:lineRule="auto"/>
        <w:jc w:val="both"/>
      </w:pPr>
      <w:r w:rsidRPr="00175315">
        <w:rPr>
          <w:b/>
        </w:rPr>
        <w:t>Portland/Westbrook rail shuttle.</w:t>
      </w:r>
      <w:r w:rsidRPr="00175315">
        <w:t xml:space="preserve"> I</w:t>
      </w:r>
      <w:r w:rsidR="00015D7E" w:rsidRPr="00175315">
        <w:t>n partnership with private developers, NNEPRA i</w:t>
      </w:r>
      <w:r w:rsidR="00660894" w:rsidRPr="00175315">
        <w:t>s</w:t>
      </w:r>
      <w:r w:rsidR="00015D7E" w:rsidRPr="00175315">
        <w:t xml:space="preserve"> exploring the feasibility of a rail shuttle </w:t>
      </w:r>
      <w:r w:rsidR="009E0C5C" w:rsidRPr="00175315">
        <w:t xml:space="preserve">on an existing rail line </w:t>
      </w:r>
      <w:r w:rsidR="00015D7E" w:rsidRPr="00175315">
        <w:t xml:space="preserve">between Westbrook and Portland. This would connect Commercial Street in Portland with high density developments at Thompson’s Point, Rock Row </w:t>
      </w:r>
      <w:r w:rsidR="0042157F" w:rsidRPr="00175315">
        <w:t>and other transit services.</w:t>
      </w:r>
      <w:r w:rsidR="009E0C5C" w:rsidRPr="00175315">
        <w:t xml:space="preserve"> It would require </w:t>
      </w:r>
      <w:r w:rsidR="00660894" w:rsidRPr="00175315">
        <w:t>investment</w:t>
      </w:r>
      <w:r w:rsidR="009E0C5C" w:rsidRPr="00175315">
        <w:t xml:space="preserve"> to improve the track and related infrastructure.</w:t>
      </w:r>
    </w:p>
    <w:p w:rsidR="000C1D59" w:rsidRPr="00175315" w:rsidRDefault="000C1D59" w:rsidP="000C1D59">
      <w:pPr>
        <w:pStyle w:val="ListParagraph"/>
      </w:pPr>
    </w:p>
    <w:p w:rsidR="000C1D59" w:rsidRPr="00175315" w:rsidRDefault="00F66A04" w:rsidP="000C1D59">
      <w:pPr>
        <w:pStyle w:val="ListParagraph"/>
        <w:numPr>
          <w:ilvl w:val="0"/>
          <w:numId w:val="5"/>
        </w:numPr>
        <w:spacing w:after="0" w:line="240" w:lineRule="auto"/>
        <w:jc w:val="both"/>
      </w:pPr>
      <w:r w:rsidRPr="00175315">
        <w:rPr>
          <w:b/>
        </w:rPr>
        <w:t>Lewiston</w:t>
      </w:r>
      <w:r w:rsidR="0042157F" w:rsidRPr="00175315">
        <w:rPr>
          <w:b/>
        </w:rPr>
        <w:t>/</w:t>
      </w:r>
      <w:r w:rsidRPr="00175315">
        <w:rPr>
          <w:b/>
        </w:rPr>
        <w:t>Auburn</w:t>
      </w:r>
      <w:r w:rsidR="0042157F" w:rsidRPr="00175315">
        <w:rPr>
          <w:b/>
        </w:rPr>
        <w:t xml:space="preserve"> rail plan.</w:t>
      </w:r>
      <w:r w:rsidR="0042157F" w:rsidRPr="00175315">
        <w:t xml:space="preserve"> A plan for passenger rail service between Lewiston/Auburn and Portland is currently underway</w:t>
      </w:r>
      <w:r w:rsidR="000C1D59" w:rsidRPr="00175315">
        <w:t xml:space="preserve"> and will be complete in FY2019</w:t>
      </w:r>
      <w:r w:rsidR="0042157F" w:rsidRPr="00175315">
        <w:t xml:space="preserve">. </w:t>
      </w:r>
    </w:p>
    <w:p w:rsidR="00660894" w:rsidRPr="00175315" w:rsidRDefault="00660894" w:rsidP="00660894">
      <w:pPr>
        <w:pStyle w:val="ListParagraph"/>
      </w:pPr>
    </w:p>
    <w:p w:rsidR="000C1D59" w:rsidRPr="00175315" w:rsidRDefault="000C1D59" w:rsidP="000C1D59">
      <w:pPr>
        <w:pStyle w:val="ListParagraph"/>
        <w:numPr>
          <w:ilvl w:val="0"/>
          <w:numId w:val="5"/>
        </w:numPr>
        <w:spacing w:after="0" w:line="240" w:lineRule="auto"/>
        <w:jc w:val="both"/>
      </w:pPr>
      <w:r w:rsidRPr="00175315">
        <w:rPr>
          <w:b/>
        </w:rPr>
        <w:t>Amtrak Downeaster Coastal Connection.</w:t>
      </w:r>
      <w:r w:rsidR="00F819B1" w:rsidRPr="00175315">
        <w:t xml:space="preserve"> NNEPRA is exploring</w:t>
      </w:r>
      <w:r w:rsidRPr="00175315">
        <w:t xml:space="preserve"> a pilot project in 2019 that introduce</w:t>
      </w:r>
      <w:r w:rsidR="00A14E43" w:rsidRPr="00175315">
        <w:t>s</w:t>
      </w:r>
      <w:r w:rsidRPr="00175315">
        <w:t xml:space="preserve"> </w:t>
      </w:r>
      <w:r w:rsidR="00F819B1" w:rsidRPr="00175315">
        <w:t xml:space="preserve">seasonal </w:t>
      </w:r>
      <w:r w:rsidRPr="00175315">
        <w:t>weekend service to Bath, Wiscasset, Newcastle and Rockland.</w:t>
      </w:r>
      <w:r w:rsidR="00F819B1" w:rsidRPr="00175315">
        <w:t xml:space="preserve">  The chief limiting factor to this initiative </w:t>
      </w:r>
      <w:r w:rsidR="00275064" w:rsidRPr="00175315">
        <w:t xml:space="preserve">will be the deteriorated condition </w:t>
      </w:r>
      <w:r w:rsidR="009F133C" w:rsidRPr="00175315">
        <w:t xml:space="preserve">and resultant safety status </w:t>
      </w:r>
      <w:r w:rsidR="00275064" w:rsidRPr="00175315">
        <w:t>of several rail bridges over rivers</w:t>
      </w:r>
      <w:r w:rsidR="009F133C" w:rsidRPr="00175315">
        <w:t xml:space="preserve"> on the Rockland Branch.</w:t>
      </w:r>
    </w:p>
    <w:p w:rsidR="005834CA" w:rsidRPr="00175315" w:rsidRDefault="005834CA" w:rsidP="00397D38">
      <w:pPr>
        <w:spacing w:after="0" w:line="240" w:lineRule="auto"/>
        <w:jc w:val="both"/>
        <w:rPr>
          <w:b/>
        </w:rPr>
      </w:pPr>
    </w:p>
    <w:sectPr w:rsidR="005834CA" w:rsidRPr="0017531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662" w:rsidRDefault="000B2662" w:rsidP="00015D7E">
      <w:pPr>
        <w:spacing w:after="0" w:line="240" w:lineRule="auto"/>
      </w:pPr>
      <w:r>
        <w:separator/>
      </w:r>
    </w:p>
  </w:endnote>
  <w:endnote w:type="continuationSeparator" w:id="0">
    <w:p w:rsidR="000B2662" w:rsidRDefault="000B2662" w:rsidP="00015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915" w:rsidRDefault="00AA19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7384745"/>
      <w:docPartObj>
        <w:docPartGallery w:val="Page Numbers (Bottom of Page)"/>
        <w:docPartUnique/>
      </w:docPartObj>
    </w:sdtPr>
    <w:sdtEndPr>
      <w:rPr>
        <w:noProof/>
      </w:rPr>
    </w:sdtEndPr>
    <w:sdtContent>
      <w:p w:rsidR="00015D7E" w:rsidRDefault="00AA1915" w:rsidP="00AA1915">
        <w:pPr>
          <w:pStyle w:val="Footer"/>
        </w:pPr>
        <w:r>
          <w:t>NNEPRA</w:t>
        </w:r>
        <w:r>
          <w:tab/>
        </w:r>
        <w:r>
          <w:tab/>
        </w:r>
        <w:r w:rsidR="00015D7E">
          <w:fldChar w:fldCharType="begin"/>
        </w:r>
        <w:r w:rsidR="00015D7E">
          <w:instrText xml:space="preserve"> PAGE   \* MERGEFORMAT </w:instrText>
        </w:r>
        <w:r w:rsidR="00015D7E">
          <w:fldChar w:fldCharType="separate"/>
        </w:r>
        <w:r w:rsidR="007165C0">
          <w:rPr>
            <w:noProof/>
          </w:rPr>
          <w:t>1</w:t>
        </w:r>
        <w:r w:rsidR="00015D7E">
          <w:rPr>
            <w:noProof/>
          </w:rPr>
          <w:fldChar w:fldCharType="end"/>
        </w:r>
      </w:p>
    </w:sdtContent>
  </w:sdt>
  <w:p w:rsidR="00015D7E" w:rsidRDefault="00015D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915" w:rsidRDefault="00AA1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662" w:rsidRDefault="000B2662" w:rsidP="00015D7E">
      <w:pPr>
        <w:spacing w:after="0" w:line="240" w:lineRule="auto"/>
      </w:pPr>
      <w:r>
        <w:separator/>
      </w:r>
    </w:p>
  </w:footnote>
  <w:footnote w:type="continuationSeparator" w:id="0">
    <w:p w:rsidR="000B2662" w:rsidRDefault="000B2662" w:rsidP="00015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915" w:rsidRDefault="00AA19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915" w:rsidRDefault="00AA19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915" w:rsidRDefault="00AA19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966CA"/>
    <w:multiLevelType w:val="hybridMultilevel"/>
    <w:tmpl w:val="7DB4EF42"/>
    <w:lvl w:ilvl="0" w:tplc="DC8A139A">
      <w:start w:val="1"/>
      <w:numFmt w:val="decimal"/>
      <w:lvlText w:val="%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40363"/>
    <w:multiLevelType w:val="hybridMultilevel"/>
    <w:tmpl w:val="57221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E3736"/>
    <w:multiLevelType w:val="hybridMultilevel"/>
    <w:tmpl w:val="057A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1632E6"/>
    <w:multiLevelType w:val="hybridMultilevel"/>
    <w:tmpl w:val="9F08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A777EE"/>
    <w:multiLevelType w:val="hybridMultilevel"/>
    <w:tmpl w:val="8CD2C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43E"/>
    <w:rsid w:val="00015D7E"/>
    <w:rsid w:val="000B2662"/>
    <w:rsid w:val="000C1D59"/>
    <w:rsid w:val="000C4EA1"/>
    <w:rsid w:val="000E6B0D"/>
    <w:rsid w:val="00112A8E"/>
    <w:rsid w:val="00175315"/>
    <w:rsid w:val="00262F31"/>
    <w:rsid w:val="00275064"/>
    <w:rsid w:val="00281CE3"/>
    <w:rsid w:val="0032152D"/>
    <w:rsid w:val="00397D38"/>
    <w:rsid w:val="003F57BC"/>
    <w:rsid w:val="00400D9B"/>
    <w:rsid w:val="0042157F"/>
    <w:rsid w:val="00432B6C"/>
    <w:rsid w:val="00553860"/>
    <w:rsid w:val="005834CA"/>
    <w:rsid w:val="0058425A"/>
    <w:rsid w:val="005920CA"/>
    <w:rsid w:val="005B5F4F"/>
    <w:rsid w:val="00656A9C"/>
    <w:rsid w:val="00660894"/>
    <w:rsid w:val="006612B7"/>
    <w:rsid w:val="006A3247"/>
    <w:rsid w:val="006A74E7"/>
    <w:rsid w:val="006B4414"/>
    <w:rsid w:val="006C7036"/>
    <w:rsid w:val="006D1B25"/>
    <w:rsid w:val="007165C0"/>
    <w:rsid w:val="0072616E"/>
    <w:rsid w:val="00742D22"/>
    <w:rsid w:val="007545E5"/>
    <w:rsid w:val="00755050"/>
    <w:rsid w:val="007E2DFD"/>
    <w:rsid w:val="0080111D"/>
    <w:rsid w:val="0081396A"/>
    <w:rsid w:val="0082243E"/>
    <w:rsid w:val="0089444F"/>
    <w:rsid w:val="008E437C"/>
    <w:rsid w:val="00985B52"/>
    <w:rsid w:val="009B1B4C"/>
    <w:rsid w:val="009E0C5C"/>
    <w:rsid w:val="009E7B9A"/>
    <w:rsid w:val="009F133C"/>
    <w:rsid w:val="00A14E43"/>
    <w:rsid w:val="00AA1915"/>
    <w:rsid w:val="00AA4ED9"/>
    <w:rsid w:val="00AC1860"/>
    <w:rsid w:val="00B2244F"/>
    <w:rsid w:val="00B52E43"/>
    <w:rsid w:val="00BC0947"/>
    <w:rsid w:val="00BE0886"/>
    <w:rsid w:val="00BE711A"/>
    <w:rsid w:val="00C30A0A"/>
    <w:rsid w:val="00C72FCD"/>
    <w:rsid w:val="00CD0654"/>
    <w:rsid w:val="00D70141"/>
    <w:rsid w:val="00E0681C"/>
    <w:rsid w:val="00EE6686"/>
    <w:rsid w:val="00F030BB"/>
    <w:rsid w:val="00F20D96"/>
    <w:rsid w:val="00F66A04"/>
    <w:rsid w:val="00F81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C00B20-F3C2-48B8-8FCF-6E0718D5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4">
    <w:name w:val="heading 4"/>
    <w:basedOn w:val="Normal"/>
    <w:next w:val="Normal"/>
    <w:link w:val="Heading4Char"/>
    <w:qFormat/>
    <w:rsid w:val="0089444F"/>
    <w:pPr>
      <w:keepNext/>
      <w:tabs>
        <w:tab w:val="left" w:pos="540"/>
        <w:tab w:val="center" w:pos="2700"/>
        <w:tab w:val="center" w:pos="4680"/>
        <w:tab w:val="center" w:pos="6030"/>
        <w:tab w:val="center" w:pos="8010"/>
      </w:tabs>
      <w:spacing w:after="0" w:line="240" w:lineRule="auto"/>
      <w:outlineLvl w:val="3"/>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886"/>
    <w:pPr>
      <w:ind w:left="720"/>
      <w:contextualSpacing/>
    </w:pPr>
  </w:style>
  <w:style w:type="paragraph" w:styleId="Header">
    <w:name w:val="header"/>
    <w:basedOn w:val="Normal"/>
    <w:link w:val="HeaderChar"/>
    <w:uiPriority w:val="99"/>
    <w:unhideWhenUsed/>
    <w:rsid w:val="00015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D7E"/>
  </w:style>
  <w:style w:type="paragraph" w:styleId="Footer">
    <w:name w:val="footer"/>
    <w:basedOn w:val="Normal"/>
    <w:link w:val="FooterChar"/>
    <w:uiPriority w:val="99"/>
    <w:unhideWhenUsed/>
    <w:rsid w:val="00015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D7E"/>
  </w:style>
  <w:style w:type="character" w:customStyle="1" w:styleId="Heading4Char">
    <w:name w:val="Heading 4 Char"/>
    <w:basedOn w:val="DefaultParagraphFont"/>
    <w:link w:val="Heading4"/>
    <w:rsid w:val="0089444F"/>
    <w:rPr>
      <w:rFonts w:ascii="Times New Roman" w:eastAsia="Times New Roman" w:hAnsi="Times New Roman" w:cs="Times New Roman"/>
      <w:b/>
      <w:sz w:val="24"/>
      <w:szCs w:val="20"/>
    </w:rPr>
  </w:style>
  <w:style w:type="character" w:styleId="Hyperlink">
    <w:name w:val="Hyperlink"/>
    <w:unhideWhenUsed/>
    <w:rsid w:val="0089444F"/>
    <w:rPr>
      <w:color w:val="0000FF"/>
      <w:u w:val="single"/>
    </w:rPr>
  </w:style>
  <w:style w:type="character" w:customStyle="1" w:styleId="UnresolvedMention">
    <w:name w:val="Unresolved Mention"/>
    <w:basedOn w:val="DefaultParagraphFont"/>
    <w:uiPriority w:val="99"/>
    <w:semiHidden/>
    <w:unhideWhenUsed/>
    <w:rsid w:val="00755050"/>
    <w:rPr>
      <w:color w:val="808080"/>
      <w:shd w:val="clear" w:color="auto" w:fill="E6E6E6"/>
    </w:rPr>
  </w:style>
  <w:style w:type="table" w:styleId="TableGrid">
    <w:name w:val="Table Grid"/>
    <w:basedOn w:val="TableNormal"/>
    <w:uiPriority w:val="59"/>
    <w:rsid w:val="00985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6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8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ia@nnepra.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mtrakDowneaster.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6F3B1-158F-47F9-97F9-9F6BC7340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2019-2023 Locally Coordinated Plan</dc:title>
  <dc:creator>Rich Rothe</dc:creator>
  <cp:lastModifiedBy>Brann, Lori</cp:lastModifiedBy>
  <cp:revision>3</cp:revision>
  <cp:lastPrinted>2019-03-04T18:46:00Z</cp:lastPrinted>
  <dcterms:created xsi:type="dcterms:W3CDTF">2019-03-18T19:07:00Z</dcterms:created>
  <dcterms:modified xsi:type="dcterms:W3CDTF">2019-03-19T14:54:00Z</dcterms:modified>
</cp:coreProperties>
</file>