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E5" w:rsidRPr="009A48E5" w:rsidRDefault="0077345D">
      <w:pPr>
        <w:pStyle w:val="NoSpacing"/>
        <w:rPr>
          <w:rFonts w:ascii="Cambria" w:eastAsia="Times New Roman" w:hAnsi="Cambria" w:cs="Times New Roman"/>
          <w:sz w:val="72"/>
          <w:szCs w:val="72"/>
        </w:rPr>
      </w:pPr>
      <w:r>
        <w:rPr>
          <w:noProof/>
          <w:lang w:eastAsia="en-US"/>
        </w:rPr>
        <mc:AlternateContent>
          <mc:Choice Requires="wps">
            <w:drawing>
              <wp:anchor distT="0" distB="0" distL="114300" distR="114300" simplePos="0" relativeHeight="251662336" behindDoc="0" locked="0" layoutInCell="0" allowOverlap="1" wp14:anchorId="105B9DE9" wp14:editId="25C59BBC">
                <wp:simplePos x="0" y="0"/>
                <wp:positionH relativeFrom="page">
                  <wp:posOffset>523875</wp:posOffset>
                </wp:positionH>
                <wp:positionV relativeFrom="page">
                  <wp:posOffset>-241935</wp:posOffset>
                </wp:positionV>
                <wp:extent cx="90805" cy="10542905"/>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288D2CF" id="Rectangle 5" o:spid="_x0000_s1026" style="position:absolute;margin-left:41.25pt;margin-top:-19.05pt;width:7.15pt;height:830.1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" o:allowincell="f" strokecolor="#4f81bd">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28F43598" wp14:editId="3BB8C7D5">
                <wp:simplePos x="0" y="0"/>
                <wp:positionH relativeFrom="page">
                  <wp:posOffset>7153275</wp:posOffset>
                </wp:positionH>
                <wp:positionV relativeFrom="page">
                  <wp:posOffset>-241935</wp:posOffset>
                </wp:positionV>
                <wp:extent cx="90805" cy="10542905"/>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B48CC26" id="Rectangle 4" o:spid="_x0000_s1026" style="position:absolute;margin-left:563.25pt;margin-top:-19.05pt;width:7.15pt;height:830.1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" o:allowincell="f" strokecolor="#4f81bd">
                <w10:wrap anchorx="page" anchory="page"/>
              </v:rect>
            </w:pict>
          </mc:Fallback>
        </mc:AlternateContent>
      </w:r>
      <w:r w:rsidR="00FC0A6E">
        <w:rPr>
          <w:rFonts w:ascii="Cambria" w:eastAsia="Times New Roman" w:hAnsi="Cambria" w:cs="Times New Roman"/>
          <w:sz w:val="72"/>
          <w:szCs w:val="72"/>
        </w:rPr>
        <w:t xml:space="preserve">   </w:t>
      </w:r>
    </w:p>
    <w:p w:rsidR="0077345D" w:rsidRDefault="0077345D">
      <w:pPr>
        <w:pStyle w:val="NoSpacing"/>
        <w:rPr>
          <w:b/>
          <w:color w:val="000000"/>
          <w:sz w:val="52"/>
          <w:szCs w:val="52"/>
        </w:rPr>
      </w:pPr>
    </w:p>
    <w:p w:rsidR="0077345D" w:rsidRDefault="0077345D">
      <w:pPr>
        <w:pStyle w:val="NoSpacing"/>
        <w:rPr>
          <w:b/>
          <w:color w:val="000000"/>
          <w:sz w:val="52"/>
          <w:szCs w:val="52"/>
        </w:rPr>
      </w:pPr>
      <w:r>
        <w:rPr>
          <w:b/>
          <w:noProof/>
          <w:color w:val="000000"/>
          <w:sz w:val="52"/>
          <w:szCs w:val="52"/>
          <w:lang w:eastAsia="en-US"/>
        </w:rPr>
        <w:drawing>
          <wp:inline distT="0" distB="0" distL="0" distR="0" wp14:anchorId="3AD71863" wp14:editId="68CF57EB">
            <wp:extent cx="3209925" cy="819150"/>
            <wp:effectExtent l="0" t="0" r="9525" b="0"/>
            <wp:docPr id="3" name="Picture 3" descr="C:\Documents and Settings\theresa.savoy\My Documents\My Pictures\dotlogo\mainedotLogo-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heresa.savoy\My Documents\My Pictures\dotlogo\mainedotLogo-H-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925" cy="819150"/>
                    </a:xfrm>
                    <a:prstGeom prst="rect">
                      <a:avLst/>
                    </a:prstGeom>
                    <a:noFill/>
                    <a:ln>
                      <a:noFill/>
                    </a:ln>
                  </pic:spPr>
                </pic:pic>
              </a:graphicData>
            </a:graphic>
          </wp:inline>
        </w:drawing>
      </w:r>
    </w:p>
    <w:p w:rsidR="0077345D" w:rsidRDefault="0077345D">
      <w:pPr>
        <w:pStyle w:val="NoSpacing"/>
        <w:rPr>
          <w:b/>
          <w:color w:val="000000"/>
          <w:sz w:val="52"/>
          <w:szCs w:val="52"/>
        </w:rPr>
      </w:pPr>
    </w:p>
    <w:p w:rsidR="009A48E5" w:rsidRPr="009A48E5" w:rsidRDefault="009A48E5">
      <w:pPr>
        <w:pStyle w:val="NoSpacing"/>
        <w:rPr>
          <w:rFonts w:ascii="Cambria" w:eastAsia="Times New Roman" w:hAnsi="Cambria" w:cs="Times New Roman"/>
          <w:sz w:val="52"/>
          <w:szCs w:val="52"/>
        </w:rPr>
      </w:pPr>
      <w:r w:rsidRPr="009A48E5">
        <w:rPr>
          <w:b/>
          <w:color w:val="000000"/>
          <w:sz w:val="52"/>
          <w:szCs w:val="52"/>
        </w:rPr>
        <w:t>D</w:t>
      </w:r>
      <w:r w:rsidR="0077345D">
        <w:rPr>
          <w:b/>
          <w:color w:val="000000"/>
          <w:sz w:val="52"/>
          <w:szCs w:val="52"/>
        </w:rPr>
        <w:t>isadvantaged Business Enterprise</w:t>
      </w:r>
      <w:r w:rsidRPr="009A48E5">
        <w:rPr>
          <w:b/>
          <w:color w:val="000000"/>
          <w:sz w:val="52"/>
          <w:szCs w:val="52"/>
        </w:rPr>
        <w:t xml:space="preserve"> Goal Setting Methodolog</w:t>
      </w:r>
      <w:r w:rsidR="008B555E">
        <w:rPr>
          <w:b/>
          <w:color w:val="000000"/>
          <w:sz w:val="52"/>
          <w:szCs w:val="52"/>
        </w:rPr>
        <w:t xml:space="preserve">y for </w:t>
      </w:r>
      <w:r w:rsidR="00627720">
        <w:rPr>
          <w:b/>
          <w:color w:val="000000"/>
          <w:sz w:val="52"/>
          <w:szCs w:val="52"/>
        </w:rPr>
        <w:t>Federally Assisted Highway Projects</w:t>
      </w:r>
      <w:r w:rsidR="00A67FAC">
        <w:rPr>
          <w:rFonts w:ascii="Cambria" w:eastAsia="Times New Roman" w:hAnsi="Cambria" w:cs="Times New Roman"/>
          <w:sz w:val="52"/>
          <w:szCs w:val="52"/>
        </w:rPr>
        <w:t xml:space="preserve"> </w:t>
      </w:r>
    </w:p>
    <w:p w:rsidR="009A48E5" w:rsidRDefault="009A48E5">
      <w:pPr>
        <w:pStyle w:val="NoSpacing"/>
        <w:rPr>
          <w:rFonts w:ascii="Cambria" w:eastAsia="Times New Roman" w:hAnsi="Cambria" w:cs="Times New Roman"/>
          <w:sz w:val="36"/>
          <w:szCs w:val="36"/>
        </w:rPr>
      </w:pPr>
    </w:p>
    <w:p w:rsidR="009A48E5" w:rsidRDefault="00A2378B">
      <w:pPr>
        <w:pStyle w:val="NoSpacing"/>
        <w:rPr>
          <w:b/>
          <w:color w:val="000000"/>
          <w:sz w:val="32"/>
          <w:szCs w:val="32"/>
        </w:rPr>
      </w:pPr>
      <w:r>
        <w:rPr>
          <w:b/>
          <w:color w:val="000000"/>
          <w:sz w:val="32"/>
          <w:szCs w:val="32"/>
        </w:rPr>
        <w:t>F</w:t>
      </w:r>
      <w:r w:rsidR="00627720">
        <w:rPr>
          <w:b/>
          <w:color w:val="000000"/>
          <w:sz w:val="32"/>
          <w:szCs w:val="32"/>
        </w:rPr>
        <w:t>ederal Fiscal Year</w:t>
      </w:r>
      <w:r>
        <w:rPr>
          <w:b/>
          <w:color w:val="000000"/>
          <w:sz w:val="32"/>
          <w:szCs w:val="32"/>
        </w:rPr>
        <w:t xml:space="preserve"> 201</w:t>
      </w:r>
      <w:r w:rsidR="00C60356">
        <w:rPr>
          <w:b/>
          <w:color w:val="000000"/>
          <w:sz w:val="32"/>
          <w:szCs w:val="32"/>
        </w:rPr>
        <w:t>9</w:t>
      </w:r>
      <w:r w:rsidR="009A48E5" w:rsidRPr="009A48E5">
        <w:rPr>
          <w:b/>
          <w:color w:val="000000"/>
          <w:sz w:val="32"/>
          <w:szCs w:val="32"/>
        </w:rPr>
        <w:t>-</w:t>
      </w:r>
      <w:r w:rsidR="00C60356">
        <w:rPr>
          <w:b/>
          <w:color w:val="000000"/>
          <w:sz w:val="32"/>
          <w:szCs w:val="32"/>
        </w:rPr>
        <w:t>21</w:t>
      </w:r>
    </w:p>
    <w:p w:rsidR="006730AD" w:rsidRDefault="006730AD">
      <w:pPr>
        <w:pStyle w:val="NoSpacing"/>
        <w:rPr>
          <w:b/>
          <w:color w:val="000000"/>
          <w:sz w:val="32"/>
          <w:szCs w:val="32"/>
        </w:rPr>
      </w:pPr>
    </w:p>
    <w:p w:rsidR="006730AD" w:rsidRPr="009A48E5" w:rsidRDefault="006730AD">
      <w:pPr>
        <w:pStyle w:val="NoSpacing"/>
        <w:rPr>
          <w:rFonts w:ascii="Cambria" w:eastAsia="Times New Roman" w:hAnsi="Cambria" w:cs="Times New Roman"/>
          <w:sz w:val="36"/>
          <w:szCs w:val="36"/>
        </w:rPr>
      </w:pPr>
    </w:p>
    <w:p w:rsidR="009A48E5" w:rsidRPr="009A48E5" w:rsidRDefault="009A48E5">
      <w:pPr>
        <w:pStyle w:val="NoSpacing"/>
        <w:rPr>
          <w:rFonts w:ascii="Cambria" w:eastAsia="Times New Roman" w:hAnsi="Cambria" w:cs="Times New Roman"/>
          <w:sz w:val="36"/>
          <w:szCs w:val="36"/>
        </w:rPr>
      </w:pPr>
    </w:p>
    <w:p w:rsidR="009A48E5" w:rsidRPr="009A48E5" w:rsidRDefault="009A48E5">
      <w:pPr>
        <w:pStyle w:val="NoSpacing"/>
        <w:rPr>
          <w:rFonts w:ascii="Cambria" w:eastAsia="Times New Roman" w:hAnsi="Cambria" w:cs="Times New Roman"/>
          <w:sz w:val="36"/>
          <w:szCs w:val="36"/>
        </w:rPr>
      </w:pPr>
    </w:p>
    <w:p w:rsidR="0077345D" w:rsidRPr="004A37FA" w:rsidRDefault="00C60356">
      <w:pPr>
        <w:pStyle w:val="NoSpacing"/>
        <w:rPr>
          <w:rFonts w:ascii="Times New Roman" w:hAnsi="Times New Roman" w:cs="Times New Roman"/>
          <w:sz w:val="24"/>
          <w:szCs w:val="24"/>
        </w:rPr>
      </w:pPr>
      <w:r>
        <w:rPr>
          <w:rFonts w:ascii="Times New Roman" w:hAnsi="Times New Roman" w:cs="Times New Roman"/>
          <w:sz w:val="24"/>
          <w:szCs w:val="24"/>
        </w:rPr>
        <w:t>Amy E. Hughes</w:t>
      </w:r>
      <w:r w:rsidR="0077345D" w:rsidRPr="004A37FA">
        <w:rPr>
          <w:rFonts w:ascii="Times New Roman" w:hAnsi="Times New Roman" w:cs="Times New Roman"/>
          <w:sz w:val="24"/>
          <w:szCs w:val="24"/>
        </w:rPr>
        <w:t>, Director</w:t>
      </w:r>
      <w:r>
        <w:rPr>
          <w:rFonts w:ascii="Times New Roman" w:hAnsi="Times New Roman" w:cs="Times New Roman"/>
          <w:sz w:val="24"/>
          <w:szCs w:val="24"/>
        </w:rPr>
        <w:t>,</w:t>
      </w:r>
      <w:r w:rsidR="0077345D" w:rsidRPr="004A37FA">
        <w:rPr>
          <w:rFonts w:ascii="Times New Roman" w:hAnsi="Times New Roman" w:cs="Times New Roman"/>
          <w:sz w:val="24"/>
          <w:szCs w:val="24"/>
        </w:rPr>
        <w:t xml:space="preserve"> Civil Rights Office</w:t>
      </w:r>
    </w:p>
    <w:p w:rsidR="009A48E5" w:rsidRPr="004A37FA" w:rsidRDefault="009A48E5">
      <w:pPr>
        <w:pStyle w:val="NoSpacing"/>
        <w:rPr>
          <w:rFonts w:ascii="Times New Roman" w:hAnsi="Times New Roman" w:cs="Times New Roman"/>
          <w:sz w:val="24"/>
          <w:szCs w:val="24"/>
        </w:rPr>
      </w:pPr>
      <w:r w:rsidRPr="004A37FA">
        <w:rPr>
          <w:rFonts w:ascii="Times New Roman" w:hAnsi="Times New Roman" w:cs="Times New Roman"/>
          <w:sz w:val="24"/>
          <w:szCs w:val="24"/>
        </w:rPr>
        <w:t>Department of Transportation</w:t>
      </w:r>
    </w:p>
    <w:p w:rsidR="009A48E5" w:rsidRDefault="009A48E5">
      <w:pPr>
        <w:pStyle w:val="NoSpacing"/>
        <w:rPr>
          <w:rFonts w:ascii="Times New Roman" w:hAnsi="Times New Roman" w:cs="Times New Roman"/>
          <w:sz w:val="24"/>
          <w:szCs w:val="24"/>
        </w:rPr>
      </w:pPr>
      <w:r w:rsidRPr="004A37FA">
        <w:rPr>
          <w:rFonts w:ascii="Times New Roman" w:hAnsi="Times New Roman" w:cs="Times New Roman"/>
          <w:sz w:val="24"/>
          <w:szCs w:val="24"/>
        </w:rPr>
        <w:t>State of Maine</w:t>
      </w:r>
    </w:p>
    <w:p w:rsidR="00627720" w:rsidRDefault="00627720">
      <w:pPr>
        <w:pStyle w:val="NoSpacing"/>
        <w:rPr>
          <w:rFonts w:ascii="Times New Roman" w:hAnsi="Times New Roman" w:cs="Times New Roman"/>
          <w:sz w:val="24"/>
          <w:szCs w:val="24"/>
        </w:rPr>
      </w:pPr>
      <w:r>
        <w:rPr>
          <w:rFonts w:ascii="Times New Roman" w:hAnsi="Times New Roman" w:cs="Times New Roman"/>
          <w:sz w:val="24"/>
          <w:szCs w:val="24"/>
        </w:rPr>
        <w:t xml:space="preserve">Submitted:  </w:t>
      </w:r>
      <w:r w:rsidR="00BB31B8">
        <w:rPr>
          <w:rFonts w:ascii="Times New Roman" w:hAnsi="Times New Roman" w:cs="Times New Roman"/>
          <w:sz w:val="24"/>
          <w:szCs w:val="24"/>
        </w:rPr>
        <w:t>August 1</w:t>
      </w:r>
      <w:r>
        <w:rPr>
          <w:rFonts w:ascii="Times New Roman" w:hAnsi="Times New Roman" w:cs="Times New Roman"/>
          <w:sz w:val="24"/>
          <w:szCs w:val="24"/>
        </w:rPr>
        <w:t>, 2018</w:t>
      </w:r>
    </w:p>
    <w:p w:rsidR="00627720" w:rsidRDefault="00627720">
      <w:pPr>
        <w:pStyle w:val="NoSpacing"/>
        <w:rPr>
          <w:rFonts w:ascii="Times New Roman" w:hAnsi="Times New Roman" w:cs="Times New Roman"/>
          <w:sz w:val="24"/>
          <w:szCs w:val="24"/>
        </w:rPr>
      </w:pPr>
    </w:p>
    <w:p w:rsidR="00627720" w:rsidRDefault="00627720">
      <w:pPr>
        <w:pStyle w:val="NoSpacing"/>
        <w:rPr>
          <w:rFonts w:ascii="Times New Roman" w:hAnsi="Times New Roman" w:cs="Times New Roman"/>
          <w:sz w:val="24"/>
          <w:szCs w:val="24"/>
        </w:rPr>
      </w:pPr>
    </w:p>
    <w:p w:rsidR="00627720" w:rsidRPr="00627720" w:rsidRDefault="00627720">
      <w:pPr>
        <w:pStyle w:val="NoSpacing"/>
        <w:rPr>
          <w:b/>
        </w:rPr>
      </w:pPr>
      <w:r>
        <w:rPr>
          <w:rFonts w:ascii="Times New Roman" w:hAnsi="Times New Roman" w:cs="Times New Roman"/>
          <w:b/>
          <w:sz w:val="24"/>
          <w:szCs w:val="24"/>
        </w:rPr>
        <w:t>In compliance with Title 49, Part 26 of the Code of Federal Regulations (49 CFR Part 26)</w:t>
      </w:r>
    </w:p>
    <w:p w:rsidR="0077345D" w:rsidRDefault="0077345D">
      <w:pPr>
        <w:pStyle w:val="NoSpacing"/>
      </w:pPr>
    </w:p>
    <w:p w:rsidR="0077345D" w:rsidRDefault="0077345D">
      <w:pPr>
        <w:pStyle w:val="NoSpacing"/>
      </w:pPr>
    </w:p>
    <w:p w:rsidR="0077345D" w:rsidRDefault="0077345D">
      <w:pPr>
        <w:pStyle w:val="NoSpacing"/>
      </w:pPr>
    </w:p>
    <w:p w:rsidR="0077345D" w:rsidRDefault="0077345D">
      <w:pPr>
        <w:pStyle w:val="NoSpacing"/>
      </w:pPr>
    </w:p>
    <w:p w:rsidR="0077345D" w:rsidRDefault="0077345D">
      <w:pPr>
        <w:pStyle w:val="NoSpacing"/>
      </w:pPr>
    </w:p>
    <w:p w:rsidR="0077345D" w:rsidRDefault="0077345D">
      <w:pPr>
        <w:pStyle w:val="NoSpacing"/>
      </w:pPr>
    </w:p>
    <w:p w:rsidR="0077345D" w:rsidRDefault="0077345D">
      <w:pPr>
        <w:pStyle w:val="NoSpacing"/>
      </w:pPr>
    </w:p>
    <w:p w:rsidR="009A48E5" w:rsidRDefault="009A48E5"/>
    <w:p w:rsidR="0077345D" w:rsidRDefault="0077345D" w:rsidP="009A48E5">
      <w:pPr>
        <w:autoSpaceDE w:val="0"/>
        <w:autoSpaceDN w:val="0"/>
        <w:adjustRightInd w:val="0"/>
        <w:jc w:val="center"/>
        <w:rPr>
          <w:color w:val="000000"/>
        </w:rPr>
      </w:pPr>
    </w:p>
    <w:p w:rsidR="0077345D" w:rsidRDefault="0077345D" w:rsidP="009A48E5">
      <w:pPr>
        <w:autoSpaceDE w:val="0"/>
        <w:autoSpaceDN w:val="0"/>
        <w:adjustRightInd w:val="0"/>
        <w:jc w:val="center"/>
        <w:rPr>
          <w:color w:val="000000"/>
        </w:rPr>
      </w:pPr>
    </w:p>
    <w:p w:rsidR="00A471E5" w:rsidRPr="00A1786D" w:rsidRDefault="00627720" w:rsidP="00A471E5">
      <w:pPr>
        <w:autoSpaceDE w:val="0"/>
        <w:autoSpaceDN w:val="0"/>
        <w:adjustRightInd w:val="0"/>
        <w:rPr>
          <w:b/>
          <w:color w:val="000000"/>
          <w:sz w:val="32"/>
          <w:szCs w:val="32"/>
        </w:rPr>
      </w:pPr>
      <w:r>
        <w:rPr>
          <w:b/>
          <w:color w:val="000000"/>
          <w:sz w:val="32"/>
          <w:szCs w:val="32"/>
        </w:rPr>
        <w:lastRenderedPageBreak/>
        <w:t>I</w:t>
      </w:r>
      <w:r w:rsidR="00A1786D" w:rsidRPr="00A1786D">
        <w:rPr>
          <w:b/>
          <w:color w:val="000000"/>
          <w:sz w:val="32"/>
          <w:szCs w:val="32"/>
        </w:rPr>
        <w:t>ntroduction</w:t>
      </w:r>
    </w:p>
    <w:p w:rsidR="00A1786D" w:rsidRPr="00A1786D" w:rsidRDefault="00A1786D" w:rsidP="00A471E5">
      <w:pPr>
        <w:autoSpaceDE w:val="0"/>
        <w:autoSpaceDN w:val="0"/>
        <w:adjustRightInd w:val="0"/>
        <w:rPr>
          <w:color w:val="000000"/>
          <w:sz w:val="32"/>
          <w:szCs w:val="32"/>
        </w:rPr>
      </w:pPr>
    </w:p>
    <w:p w:rsidR="005A7C75" w:rsidRDefault="005A7C75" w:rsidP="00A471E5">
      <w:pPr>
        <w:autoSpaceDE w:val="0"/>
        <w:autoSpaceDN w:val="0"/>
        <w:adjustRightInd w:val="0"/>
        <w:rPr>
          <w:b/>
          <w:color w:val="000000"/>
        </w:rPr>
      </w:pPr>
      <w:r>
        <w:rPr>
          <w:b/>
          <w:color w:val="000000"/>
        </w:rPr>
        <w:t xml:space="preserve">MaineDOT’s Annual </w:t>
      </w:r>
      <w:r w:rsidR="00D73AE7">
        <w:rPr>
          <w:b/>
          <w:color w:val="000000"/>
        </w:rPr>
        <w:t xml:space="preserve">DBE </w:t>
      </w:r>
      <w:r w:rsidR="00A2378B">
        <w:rPr>
          <w:b/>
          <w:color w:val="000000"/>
        </w:rPr>
        <w:t>Goal for FFY 201</w:t>
      </w:r>
      <w:r w:rsidR="007F7727">
        <w:rPr>
          <w:b/>
          <w:color w:val="000000"/>
        </w:rPr>
        <w:t>9</w:t>
      </w:r>
      <w:r w:rsidR="00A2378B">
        <w:rPr>
          <w:b/>
          <w:color w:val="000000"/>
        </w:rPr>
        <w:t>-</w:t>
      </w:r>
      <w:r w:rsidR="007F7727">
        <w:rPr>
          <w:b/>
          <w:color w:val="000000"/>
        </w:rPr>
        <w:t>2</w:t>
      </w:r>
      <w:r w:rsidR="00A2378B">
        <w:rPr>
          <w:b/>
          <w:color w:val="000000"/>
        </w:rPr>
        <w:t>1</w:t>
      </w:r>
      <w:r w:rsidR="00A1786D">
        <w:rPr>
          <w:b/>
          <w:color w:val="000000"/>
        </w:rPr>
        <w:t xml:space="preserve"> </w:t>
      </w:r>
    </w:p>
    <w:p w:rsidR="005A7C75" w:rsidRDefault="005A7C75" w:rsidP="00A471E5">
      <w:pPr>
        <w:autoSpaceDE w:val="0"/>
        <w:autoSpaceDN w:val="0"/>
        <w:adjustRightInd w:val="0"/>
        <w:rPr>
          <w:b/>
          <w:color w:val="000000"/>
        </w:rPr>
      </w:pPr>
    </w:p>
    <w:p w:rsidR="00745B50" w:rsidRDefault="005A7C75" w:rsidP="00A471E5">
      <w:pPr>
        <w:autoSpaceDE w:val="0"/>
        <w:autoSpaceDN w:val="0"/>
        <w:adjustRightInd w:val="0"/>
        <w:rPr>
          <w:color w:val="000000"/>
        </w:rPr>
      </w:pPr>
      <w:r w:rsidRPr="005A7C75">
        <w:rPr>
          <w:color w:val="000000"/>
        </w:rPr>
        <w:t>Pursuant</w:t>
      </w:r>
      <w:r w:rsidR="00745B50" w:rsidRPr="005A7C75">
        <w:rPr>
          <w:color w:val="000000"/>
        </w:rPr>
        <w:t xml:space="preserve"> to 49 CFR 26</w:t>
      </w:r>
      <w:r w:rsidR="00C06CCF">
        <w:rPr>
          <w:color w:val="000000"/>
        </w:rPr>
        <w:t>,</w:t>
      </w:r>
      <w:r w:rsidR="00745B50" w:rsidRPr="005A7C75">
        <w:rPr>
          <w:color w:val="000000"/>
        </w:rPr>
        <w:t xml:space="preserve"> </w:t>
      </w:r>
      <w:r w:rsidR="00D42CAE">
        <w:rPr>
          <w:color w:val="000000"/>
        </w:rPr>
        <w:t xml:space="preserve">the </w:t>
      </w:r>
      <w:r w:rsidR="00745B50" w:rsidRPr="005A7C75">
        <w:rPr>
          <w:color w:val="000000"/>
        </w:rPr>
        <w:t>Maine</w:t>
      </w:r>
      <w:r w:rsidR="00D42CAE">
        <w:rPr>
          <w:color w:val="000000"/>
        </w:rPr>
        <w:t xml:space="preserve"> </w:t>
      </w:r>
      <w:r w:rsidR="00745B50" w:rsidRPr="005A7C75">
        <w:rPr>
          <w:color w:val="000000"/>
        </w:rPr>
        <w:t>D</w:t>
      </w:r>
      <w:r w:rsidR="00D42CAE">
        <w:rPr>
          <w:color w:val="000000"/>
        </w:rPr>
        <w:t>epartment of Transportation (MaineDOT)</w:t>
      </w:r>
      <w:r w:rsidR="00745B50" w:rsidRPr="005A7C75">
        <w:rPr>
          <w:color w:val="000000"/>
        </w:rPr>
        <w:t xml:space="preserve"> </w:t>
      </w:r>
      <w:r w:rsidR="00ED7FFB">
        <w:rPr>
          <w:color w:val="000000"/>
        </w:rPr>
        <w:t xml:space="preserve">has analyzed data and </w:t>
      </w:r>
      <w:r w:rsidR="00C06CCF">
        <w:rPr>
          <w:color w:val="000000"/>
        </w:rPr>
        <w:t>determined that, for federal fiscal year</w:t>
      </w:r>
      <w:r w:rsidR="00D42CAE">
        <w:rPr>
          <w:color w:val="000000"/>
        </w:rPr>
        <w:t>s</w:t>
      </w:r>
      <w:r w:rsidR="00C06CCF">
        <w:rPr>
          <w:color w:val="000000"/>
        </w:rPr>
        <w:t xml:space="preserve"> (FFY) 20</w:t>
      </w:r>
      <w:r w:rsidR="00EE54B9">
        <w:rPr>
          <w:color w:val="000000"/>
        </w:rPr>
        <w:t>19</w:t>
      </w:r>
      <w:r w:rsidR="00C06CCF">
        <w:rPr>
          <w:color w:val="000000"/>
        </w:rPr>
        <w:t>-</w:t>
      </w:r>
      <w:r w:rsidR="00EE54B9">
        <w:rPr>
          <w:color w:val="000000"/>
        </w:rPr>
        <w:t>21</w:t>
      </w:r>
      <w:r w:rsidR="00C06CCF">
        <w:rPr>
          <w:color w:val="000000"/>
        </w:rPr>
        <w:t xml:space="preserve"> </w:t>
      </w:r>
      <w:r w:rsidR="0089228D">
        <w:rPr>
          <w:color w:val="000000"/>
        </w:rPr>
        <w:t>the</w:t>
      </w:r>
      <w:r w:rsidR="00745B50" w:rsidRPr="005A7C75">
        <w:rPr>
          <w:color w:val="000000"/>
        </w:rPr>
        <w:t xml:space="preserve"> overall </w:t>
      </w:r>
      <w:r w:rsidR="00ED7FFB">
        <w:rPr>
          <w:color w:val="000000"/>
        </w:rPr>
        <w:t>annual D</w:t>
      </w:r>
      <w:r w:rsidR="00D73AE7">
        <w:rPr>
          <w:color w:val="000000"/>
        </w:rPr>
        <w:t xml:space="preserve">isadvantaged </w:t>
      </w:r>
      <w:r w:rsidR="00ED7FFB">
        <w:rPr>
          <w:color w:val="000000"/>
        </w:rPr>
        <w:t>B</w:t>
      </w:r>
      <w:r w:rsidR="00D73AE7">
        <w:rPr>
          <w:color w:val="000000"/>
        </w:rPr>
        <w:t xml:space="preserve">usiness </w:t>
      </w:r>
      <w:r w:rsidR="00ED7FFB">
        <w:rPr>
          <w:color w:val="000000"/>
        </w:rPr>
        <w:t>E</w:t>
      </w:r>
      <w:r w:rsidR="00D73AE7">
        <w:rPr>
          <w:color w:val="000000"/>
        </w:rPr>
        <w:t>nterprise (DBE)</w:t>
      </w:r>
      <w:r w:rsidR="00ED7FFB">
        <w:rPr>
          <w:color w:val="000000"/>
        </w:rPr>
        <w:t xml:space="preserve"> attainment</w:t>
      </w:r>
      <w:r w:rsidR="00151482">
        <w:rPr>
          <w:color w:val="000000"/>
        </w:rPr>
        <w:t xml:space="preserve"> on F</w:t>
      </w:r>
      <w:r w:rsidR="00C271BE">
        <w:rPr>
          <w:color w:val="000000"/>
        </w:rPr>
        <w:t>ederal Highway Administration (F</w:t>
      </w:r>
      <w:r w:rsidR="00151482">
        <w:rPr>
          <w:color w:val="000000"/>
        </w:rPr>
        <w:t>HWA</w:t>
      </w:r>
      <w:r w:rsidR="00C271BE">
        <w:rPr>
          <w:color w:val="000000"/>
        </w:rPr>
        <w:t>)</w:t>
      </w:r>
      <w:r w:rsidR="00151482">
        <w:rPr>
          <w:color w:val="000000"/>
        </w:rPr>
        <w:t xml:space="preserve"> funded projects</w:t>
      </w:r>
      <w:r w:rsidR="00ED7FFB">
        <w:rPr>
          <w:color w:val="000000"/>
        </w:rPr>
        <w:t xml:space="preserve"> is</w:t>
      </w:r>
      <w:r w:rsidR="007F080C">
        <w:rPr>
          <w:color w:val="000000"/>
        </w:rPr>
        <w:t xml:space="preserve"> </w:t>
      </w:r>
      <w:r w:rsidR="00787852" w:rsidRPr="00AB0595">
        <w:rPr>
          <w:b/>
          <w:color w:val="000000"/>
        </w:rPr>
        <w:t>2</w:t>
      </w:r>
      <w:r w:rsidR="00AB0595">
        <w:rPr>
          <w:b/>
          <w:color w:val="000000"/>
        </w:rPr>
        <w:t>.</w:t>
      </w:r>
      <w:r w:rsidR="005B16E8">
        <w:rPr>
          <w:b/>
          <w:color w:val="000000"/>
        </w:rPr>
        <w:t>4</w:t>
      </w:r>
      <w:r w:rsidR="007F080C" w:rsidRPr="00787852">
        <w:rPr>
          <w:b/>
          <w:color w:val="000000"/>
        </w:rPr>
        <w:t>%</w:t>
      </w:r>
      <w:r w:rsidR="007F080C">
        <w:rPr>
          <w:color w:val="000000"/>
        </w:rPr>
        <w:t>.</w:t>
      </w:r>
      <w:r w:rsidR="001A68A4">
        <w:rPr>
          <w:color w:val="000000"/>
        </w:rPr>
        <w:t xml:space="preserve"> </w:t>
      </w:r>
    </w:p>
    <w:p w:rsidR="005F0377" w:rsidRDefault="005F0377" w:rsidP="005F0377">
      <w:pPr>
        <w:autoSpaceDE w:val="0"/>
        <w:autoSpaceDN w:val="0"/>
        <w:adjustRightInd w:val="0"/>
        <w:rPr>
          <w:bCs/>
        </w:rPr>
      </w:pPr>
    </w:p>
    <w:p w:rsidR="002F77C7" w:rsidRPr="005B16E8" w:rsidRDefault="005B16E8" w:rsidP="002F77C7">
      <w:pPr>
        <w:autoSpaceDE w:val="0"/>
        <w:autoSpaceDN w:val="0"/>
        <w:adjustRightInd w:val="0"/>
        <w:rPr>
          <w:b/>
          <w:color w:val="000000"/>
          <w:sz w:val="28"/>
          <w:szCs w:val="28"/>
        </w:rPr>
      </w:pPr>
      <w:r>
        <w:rPr>
          <w:b/>
          <w:color w:val="000000"/>
          <w:sz w:val="28"/>
          <w:szCs w:val="28"/>
        </w:rPr>
        <w:t>MaineDOT Relevant Market Area</w:t>
      </w:r>
    </w:p>
    <w:p w:rsidR="002F77C7" w:rsidRDefault="002F77C7" w:rsidP="002F77C7">
      <w:pPr>
        <w:autoSpaceDE w:val="0"/>
        <w:autoSpaceDN w:val="0"/>
        <w:adjustRightInd w:val="0"/>
        <w:spacing w:before="100" w:after="100"/>
        <w:rPr>
          <w:color w:val="000000"/>
        </w:rPr>
      </w:pPr>
      <w:r>
        <w:rPr>
          <w:color w:val="000000"/>
        </w:rPr>
        <w:t xml:space="preserve">MaineDOT defines its </w:t>
      </w:r>
      <w:r w:rsidR="00EB4ECA">
        <w:rPr>
          <w:color w:val="000000"/>
        </w:rPr>
        <w:t xml:space="preserve">geographic </w:t>
      </w:r>
      <w:r>
        <w:rPr>
          <w:color w:val="000000"/>
        </w:rPr>
        <w:t xml:space="preserve">market area </w:t>
      </w:r>
      <w:r w:rsidR="00EB4ECA">
        <w:rPr>
          <w:color w:val="000000"/>
        </w:rPr>
        <w:t xml:space="preserve">(“GMA”) </w:t>
      </w:r>
      <w:r>
        <w:rPr>
          <w:color w:val="000000"/>
        </w:rPr>
        <w:t>as the State of Maine. To determine th</w:t>
      </w:r>
      <w:r w:rsidR="005B16E8">
        <w:rPr>
          <w:color w:val="000000"/>
        </w:rPr>
        <w:t>e GMA</w:t>
      </w:r>
      <w:r>
        <w:rPr>
          <w:color w:val="000000"/>
        </w:rPr>
        <w:t xml:space="preserve">, we analyzed the ratio of </w:t>
      </w:r>
      <w:r w:rsidR="00DD7D4C">
        <w:rPr>
          <w:color w:val="000000"/>
        </w:rPr>
        <w:t xml:space="preserve">federal </w:t>
      </w:r>
      <w:r>
        <w:rPr>
          <w:color w:val="000000"/>
        </w:rPr>
        <w:t xml:space="preserve">program dollars awarded to in-state prime contractors to total </w:t>
      </w:r>
      <w:r w:rsidR="00DD7D4C">
        <w:rPr>
          <w:color w:val="000000"/>
        </w:rPr>
        <w:t xml:space="preserve">federal </w:t>
      </w:r>
      <w:r>
        <w:rPr>
          <w:color w:val="000000"/>
        </w:rPr>
        <w:t xml:space="preserve">program dollars awarded, and the amount of program dollars awarded </w:t>
      </w:r>
      <w:r w:rsidR="00471C62">
        <w:rPr>
          <w:color w:val="000000"/>
        </w:rPr>
        <w:t>to</w:t>
      </w:r>
      <w:r>
        <w:rPr>
          <w:color w:val="000000"/>
        </w:rPr>
        <w:t xml:space="preserve"> in-state subcontractors to the total amount of subcontract dollars awarded during FFY 2017</w:t>
      </w:r>
      <w:r w:rsidR="00A22604">
        <w:rPr>
          <w:color w:val="000000"/>
        </w:rPr>
        <w:t>.</w:t>
      </w:r>
      <w:r w:rsidR="000804F9">
        <w:rPr>
          <w:rStyle w:val="FootnoteReference"/>
          <w:color w:val="000000"/>
        </w:rPr>
        <w:footnoteReference w:id="2"/>
      </w:r>
      <w:r>
        <w:rPr>
          <w:color w:val="000000"/>
        </w:rPr>
        <w:t xml:space="preserve"> We found that a substantial majority of prime contract dollars (</w:t>
      </w:r>
      <w:r w:rsidRPr="005B16E8">
        <w:rPr>
          <w:b/>
          <w:color w:val="000000"/>
        </w:rPr>
        <w:t>77.80</w:t>
      </w:r>
      <w:r w:rsidRPr="002F77C7">
        <w:rPr>
          <w:b/>
          <w:color w:val="000000"/>
        </w:rPr>
        <w:t>%</w:t>
      </w:r>
      <w:r>
        <w:rPr>
          <w:color w:val="000000"/>
        </w:rPr>
        <w:t xml:space="preserve">) were awarded </w:t>
      </w:r>
      <w:r w:rsidR="0081186F">
        <w:rPr>
          <w:color w:val="000000"/>
        </w:rPr>
        <w:t xml:space="preserve">to </w:t>
      </w:r>
      <w:r>
        <w:rPr>
          <w:color w:val="000000"/>
        </w:rPr>
        <w:t>in-state contractors and a substantial number of subcontracts (</w:t>
      </w:r>
      <w:r w:rsidRPr="002F77C7">
        <w:rPr>
          <w:b/>
          <w:color w:val="000000"/>
        </w:rPr>
        <w:t>76.12%</w:t>
      </w:r>
      <w:r>
        <w:rPr>
          <w:color w:val="000000"/>
        </w:rPr>
        <w:t xml:space="preserve">) were awarded to in-state firms, as shown in </w:t>
      </w:r>
      <w:r w:rsidR="005B16E8" w:rsidRPr="00A506FA">
        <w:rPr>
          <w:b/>
          <w:color w:val="000000"/>
        </w:rPr>
        <w:t>Figure 1</w:t>
      </w:r>
      <w:r w:rsidR="005B16E8">
        <w:rPr>
          <w:color w:val="000000"/>
        </w:rPr>
        <w:t xml:space="preserve"> b</w:t>
      </w:r>
      <w:r>
        <w:rPr>
          <w:color w:val="000000"/>
        </w:rPr>
        <w:t xml:space="preserve">elow.  </w:t>
      </w:r>
    </w:p>
    <w:p w:rsidR="002F77C7" w:rsidRDefault="002F77C7" w:rsidP="002F77C7">
      <w:pPr>
        <w:rPr>
          <w:color w:val="1F497D"/>
        </w:rPr>
      </w:pPr>
    </w:p>
    <w:tbl>
      <w:tblPr>
        <w:tblW w:w="8879" w:type="dxa"/>
        <w:tblInd w:w="-23" w:type="dxa"/>
        <w:tblCellMar>
          <w:left w:w="0" w:type="dxa"/>
          <w:right w:w="0" w:type="dxa"/>
        </w:tblCellMar>
        <w:tblLook w:val="04A0" w:firstRow="1" w:lastRow="0" w:firstColumn="1" w:lastColumn="0" w:noHBand="0" w:noVBand="1"/>
      </w:tblPr>
      <w:tblGrid>
        <w:gridCol w:w="3368"/>
        <w:gridCol w:w="1836"/>
        <w:gridCol w:w="2038"/>
        <w:gridCol w:w="1637"/>
      </w:tblGrid>
      <w:tr w:rsidR="002F77C7" w:rsidTr="002F77C7">
        <w:trPr>
          <w:trHeight w:val="701"/>
        </w:trPr>
        <w:tc>
          <w:tcPr>
            <w:tcW w:w="336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F77C7" w:rsidRDefault="002F77C7">
            <w:pPr>
              <w:jc w:val="center"/>
              <w:rPr>
                <w:rFonts w:ascii="Calibri" w:eastAsiaTheme="minorHAnsi" w:hAnsi="Calibri"/>
                <w:b/>
                <w:bCs/>
                <w:color w:val="000000"/>
                <w:sz w:val="22"/>
                <w:szCs w:val="22"/>
              </w:rPr>
            </w:pPr>
            <w:r>
              <w:rPr>
                <w:b/>
                <w:bCs/>
                <w:color w:val="000000"/>
              </w:rPr>
              <w:t>Data Description</w:t>
            </w:r>
          </w:p>
        </w:tc>
        <w:tc>
          <w:tcPr>
            <w:tcW w:w="183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F77C7" w:rsidRDefault="002F77C7">
            <w:pPr>
              <w:jc w:val="center"/>
              <w:rPr>
                <w:rFonts w:ascii="Calibri" w:eastAsiaTheme="minorHAnsi" w:hAnsi="Calibri"/>
                <w:b/>
                <w:bCs/>
                <w:color w:val="000000"/>
                <w:sz w:val="22"/>
                <w:szCs w:val="22"/>
              </w:rPr>
            </w:pPr>
            <w:r>
              <w:rPr>
                <w:b/>
                <w:bCs/>
                <w:color w:val="000000"/>
              </w:rPr>
              <w:t>Total Program Awards</w:t>
            </w:r>
          </w:p>
        </w:tc>
        <w:tc>
          <w:tcPr>
            <w:tcW w:w="203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F77C7" w:rsidRDefault="002F77C7">
            <w:pPr>
              <w:jc w:val="center"/>
              <w:rPr>
                <w:rFonts w:ascii="Calibri" w:eastAsiaTheme="minorHAnsi" w:hAnsi="Calibri"/>
                <w:b/>
                <w:bCs/>
                <w:color w:val="000000"/>
                <w:sz w:val="22"/>
                <w:szCs w:val="22"/>
              </w:rPr>
            </w:pPr>
            <w:r>
              <w:rPr>
                <w:b/>
                <w:bCs/>
                <w:color w:val="000000"/>
              </w:rPr>
              <w:t>Amount Represented by Maine Firms</w:t>
            </w:r>
          </w:p>
        </w:tc>
        <w:tc>
          <w:tcPr>
            <w:tcW w:w="16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F77C7" w:rsidRDefault="002F77C7">
            <w:pPr>
              <w:jc w:val="center"/>
              <w:rPr>
                <w:rFonts w:ascii="Calibri" w:eastAsiaTheme="minorHAnsi" w:hAnsi="Calibri"/>
                <w:b/>
                <w:bCs/>
                <w:color w:val="000000"/>
                <w:sz w:val="22"/>
                <w:szCs w:val="22"/>
              </w:rPr>
            </w:pPr>
            <w:r>
              <w:rPr>
                <w:b/>
                <w:bCs/>
                <w:color w:val="000000"/>
              </w:rPr>
              <w:t>Maine Market %</w:t>
            </w:r>
          </w:p>
        </w:tc>
      </w:tr>
      <w:tr w:rsidR="002F77C7" w:rsidTr="002F77C7">
        <w:trPr>
          <w:trHeight w:val="689"/>
        </w:trPr>
        <w:tc>
          <w:tcPr>
            <w:tcW w:w="33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F77C7" w:rsidRDefault="002F77C7">
            <w:pPr>
              <w:jc w:val="center"/>
              <w:rPr>
                <w:rFonts w:ascii="Calibri" w:eastAsiaTheme="minorHAnsi" w:hAnsi="Calibri"/>
                <w:b/>
                <w:bCs/>
                <w:color w:val="000000"/>
                <w:sz w:val="22"/>
                <w:szCs w:val="22"/>
              </w:rPr>
            </w:pPr>
            <w:r>
              <w:rPr>
                <w:b/>
                <w:bCs/>
                <w:color w:val="000000"/>
              </w:rPr>
              <w:t>Geographic distribution of Prime Contract $</w:t>
            </w:r>
          </w:p>
        </w:tc>
        <w:tc>
          <w:tcPr>
            <w:tcW w:w="18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77C7" w:rsidRDefault="002F77C7">
            <w:pPr>
              <w:jc w:val="center"/>
              <w:rPr>
                <w:color w:val="000000"/>
              </w:rPr>
            </w:pPr>
            <w:r>
              <w:rPr>
                <w:color w:val="000000"/>
              </w:rPr>
              <w:t xml:space="preserve">$256,772,942.00 </w:t>
            </w:r>
          </w:p>
        </w:tc>
        <w:tc>
          <w:tcPr>
            <w:tcW w:w="20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77C7" w:rsidRDefault="002F77C7">
            <w:pPr>
              <w:jc w:val="right"/>
              <w:rPr>
                <w:color w:val="000000"/>
              </w:rPr>
            </w:pPr>
            <w:r>
              <w:rPr>
                <w:color w:val="000000"/>
              </w:rPr>
              <w:t>$199,774,429.00</w:t>
            </w:r>
          </w:p>
        </w:tc>
        <w:tc>
          <w:tcPr>
            <w:tcW w:w="16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77C7" w:rsidRDefault="002F77C7">
            <w:pPr>
              <w:jc w:val="center"/>
              <w:rPr>
                <w:color w:val="000000"/>
              </w:rPr>
            </w:pPr>
            <w:r>
              <w:rPr>
                <w:color w:val="000000"/>
              </w:rPr>
              <w:t>77.80%</w:t>
            </w:r>
          </w:p>
        </w:tc>
      </w:tr>
      <w:tr w:rsidR="002F77C7" w:rsidTr="002F77C7">
        <w:trPr>
          <w:trHeight w:val="701"/>
        </w:trPr>
        <w:tc>
          <w:tcPr>
            <w:tcW w:w="33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F77C7" w:rsidRDefault="002F77C7">
            <w:pPr>
              <w:jc w:val="center"/>
              <w:rPr>
                <w:rFonts w:ascii="Calibri" w:eastAsiaTheme="minorHAnsi" w:hAnsi="Calibri"/>
                <w:b/>
                <w:bCs/>
                <w:color w:val="000000"/>
                <w:sz w:val="22"/>
                <w:szCs w:val="22"/>
              </w:rPr>
            </w:pPr>
            <w:r>
              <w:rPr>
                <w:b/>
                <w:bCs/>
                <w:color w:val="000000"/>
              </w:rPr>
              <w:t>Geographic distribution of Participating Subcontract $</w:t>
            </w:r>
          </w:p>
        </w:tc>
        <w:tc>
          <w:tcPr>
            <w:tcW w:w="18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77C7" w:rsidRDefault="002F77C7">
            <w:pPr>
              <w:jc w:val="center"/>
              <w:rPr>
                <w:color w:val="000000"/>
              </w:rPr>
            </w:pPr>
            <w:r>
              <w:rPr>
                <w:color w:val="000000"/>
              </w:rPr>
              <w:t xml:space="preserve">$53,939,924.00 </w:t>
            </w:r>
          </w:p>
        </w:tc>
        <w:tc>
          <w:tcPr>
            <w:tcW w:w="20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77C7" w:rsidRDefault="002F77C7">
            <w:pPr>
              <w:jc w:val="center"/>
              <w:rPr>
                <w:color w:val="000000"/>
              </w:rPr>
            </w:pPr>
            <w:r>
              <w:rPr>
                <w:color w:val="000000"/>
              </w:rPr>
              <w:t xml:space="preserve">  $41,061,762.00</w:t>
            </w:r>
          </w:p>
        </w:tc>
        <w:tc>
          <w:tcPr>
            <w:tcW w:w="16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77C7" w:rsidRDefault="002F77C7">
            <w:pPr>
              <w:jc w:val="center"/>
              <w:rPr>
                <w:color w:val="000000"/>
              </w:rPr>
            </w:pPr>
            <w:r>
              <w:rPr>
                <w:color w:val="000000"/>
              </w:rPr>
              <w:t>76.12%</w:t>
            </w:r>
          </w:p>
        </w:tc>
      </w:tr>
      <w:tr w:rsidR="002F77C7" w:rsidTr="002F77C7">
        <w:trPr>
          <w:trHeight w:val="859"/>
        </w:trPr>
        <w:tc>
          <w:tcPr>
            <w:tcW w:w="33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F77C7" w:rsidRDefault="002F77C7">
            <w:pPr>
              <w:jc w:val="center"/>
              <w:rPr>
                <w:rFonts w:eastAsiaTheme="minorHAnsi"/>
                <w:b/>
                <w:bCs/>
                <w:color w:val="000000"/>
                <w:sz w:val="22"/>
                <w:szCs w:val="22"/>
              </w:rPr>
            </w:pPr>
            <w:r>
              <w:rPr>
                <w:rFonts w:eastAsiaTheme="minorHAnsi"/>
                <w:b/>
                <w:bCs/>
                <w:color w:val="000000"/>
                <w:sz w:val="22"/>
                <w:szCs w:val="22"/>
              </w:rPr>
              <w:t>Total State Market %</w:t>
            </w:r>
          </w:p>
        </w:tc>
        <w:tc>
          <w:tcPr>
            <w:tcW w:w="18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7C7" w:rsidRDefault="002F77C7">
            <w:pPr>
              <w:jc w:val="center"/>
              <w:rPr>
                <w:color w:val="000000"/>
              </w:rPr>
            </w:pPr>
            <w:r>
              <w:rPr>
                <w:color w:val="000000"/>
              </w:rPr>
              <w:t>$310,712,866.00</w:t>
            </w:r>
          </w:p>
        </w:tc>
        <w:tc>
          <w:tcPr>
            <w:tcW w:w="20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7C7" w:rsidRDefault="002F77C7">
            <w:pPr>
              <w:jc w:val="center"/>
              <w:rPr>
                <w:color w:val="000000"/>
              </w:rPr>
            </w:pPr>
            <w:r>
              <w:rPr>
                <w:color w:val="000000"/>
              </w:rPr>
              <w:t xml:space="preserve">  $240,836,191.00</w:t>
            </w:r>
          </w:p>
        </w:tc>
        <w:tc>
          <w:tcPr>
            <w:tcW w:w="16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77C7" w:rsidRDefault="002F77C7">
            <w:pPr>
              <w:jc w:val="center"/>
              <w:rPr>
                <w:color w:val="000000"/>
              </w:rPr>
            </w:pPr>
            <w:r>
              <w:rPr>
                <w:color w:val="000000"/>
              </w:rPr>
              <w:t>76.96%</w:t>
            </w:r>
          </w:p>
        </w:tc>
      </w:tr>
    </w:tbl>
    <w:p w:rsidR="002F77C7" w:rsidRDefault="005B16E8" w:rsidP="00147EA1">
      <w:pPr>
        <w:autoSpaceDE w:val="0"/>
        <w:autoSpaceDN w:val="0"/>
        <w:adjustRightInd w:val="0"/>
        <w:rPr>
          <w:b/>
          <w:bCs/>
          <w:color w:val="000000"/>
          <w:sz w:val="16"/>
          <w:szCs w:val="16"/>
        </w:rPr>
      </w:pPr>
      <w:r>
        <w:rPr>
          <w:b/>
          <w:bCs/>
          <w:color w:val="000000"/>
          <w:sz w:val="16"/>
          <w:szCs w:val="16"/>
        </w:rPr>
        <w:t>Figure 1</w:t>
      </w:r>
    </w:p>
    <w:p w:rsidR="005B16E8" w:rsidRDefault="005B16E8" w:rsidP="00147EA1">
      <w:pPr>
        <w:autoSpaceDE w:val="0"/>
        <w:autoSpaceDN w:val="0"/>
        <w:adjustRightInd w:val="0"/>
        <w:rPr>
          <w:b/>
          <w:bCs/>
          <w:color w:val="000000"/>
          <w:sz w:val="16"/>
          <w:szCs w:val="16"/>
        </w:rPr>
      </w:pPr>
    </w:p>
    <w:p w:rsidR="005B16E8" w:rsidRDefault="005B16E8" w:rsidP="005B16E8">
      <w:pPr>
        <w:autoSpaceDE w:val="0"/>
        <w:autoSpaceDN w:val="0"/>
        <w:adjustRightInd w:val="0"/>
        <w:rPr>
          <w:b/>
          <w:color w:val="000000"/>
          <w:sz w:val="32"/>
          <w:szCs w:val="32"/>
        </w:rPr>
      </w:pPr>
      <w:r>
        <w:rPr>
          <w:b/>
          <w:color w:val="000000"/>
          <w:sz w:val="32"/>
          <w:szCs w:val="32"/>
        </w:rPr>
        <w:t xml:space="preserve">Goal Methodology </w:t>
      </w:r>
    </w:p>
    <w:p w:rsidR="00CD7BE4" w:rsidRPr="00CD7BE4" w:rsidRDefault="00CD7BE4" w:rsidP="005B16E8">
      <w:pPr>
        <w:autoSpaceDE w:val="0"/>
        <w:autoSpaceDN w:val="0"/>
        <w:adjustRightInd w:val="0"/>
        <w:rPr>
          <w:b/>
          <w:bCs/>
          <w:color w:val="000000"/>
          <w:u w:val="single"/>
        </w:rPr>
      </w:pPr>
    </w:p>
    <w:p w:rsidR="005B16E8" w:rsidRDefault="005B16E8" w:rsidP="005B16E8">
      <w:pPr>
        <w:autoSpaceDE w:val="0"/>
        <w:autoSpaceDN w:val="0"/>
        <w:adjustRightInd w:val="0"/>
        <w:rPr>
          <w:b/>
          <w:bCs/>
          <w:color w:val="000000"/>
          <w:sz w:val="28"/>
          <w:szCs w:val="28"/>
          <w:u w:val="single"/>
        </w:rPr>
      </w:pPr>
      <w:r>
        <w:rPr>
          <w:b/>
          <w:bCs/>
          <w:color w:val="000000"/>
          <w:sz w:val="28"/>
          <w:szCs w:val="28"/>
          <w:u w:val="single"/>
        </w:rPr>
        <w:t xml:space="preserve">Step 1 - MaineDOT Base Goal Setting </w:t>
      </w:r>
    </w:p>
    <w:p w:rsidR="005B16E8" w:rsidRPr="005B16E8" w:rsidRDefault="005B16E8" w:rsidP="00147EA1">
      <w:pPr>
        <w:autoSpaceDE w:val="0"/>
        <w:autoSpaceDN w:val="0"/>
        <w:adjustRightInd w:val="0"/>
        <w:rPr>
          <w:b/>
          <w:bCs/>
          <w:color w:val="000000"/>
        </w:rPr>
      </w:pPr>
    </w:p>
    <w:p w:rsidR="00895D90" w:rsidRPr="00A019B7" w:rsidRDefault="00A506FA" w:rsidP="00A471E5">
      <w:pPr>
        <w:autoSpaceDE w:val="0"/>
        <w:autoSpaceDN w:val="0"/>
        <w:adjustRightInd w:val="0"/>
        <w:rPr>
          <w:b/>
          <w:bCs/>
          <w:i/>
          <w:color w:val="000000"/>
        </w:rPr>
      </w:pPr>
      <w:r>
        <w:rPr>
          <w:b/>
          <w:bCs/>
          <w:i/>
          <w:color w:val="000000"/>
        </w:rPr>
        <w:t xml:space="preserve">DBE Directories and </w:t>
      </w:r>
      <w:r w:rsidR="002E4E49" w:rsidRPr="00A019B7">
        <w:rPr>
          <w:b/>
          <w:bCs/>
          <w:i/>
          <w:color w:val="000000"/>
        </w:rPr>
        <w:t>Census Data</w:t>
      </w:r>
      <w:r>
        <w:rPr>
          <w:b/>
          <w:bCs/>
          <w:i/>
          <w:color w:val="000000"/>
        </w:rPr>
        <w:t xml:space="preserve"> </w:t>
      </w:r>
    </w:p>
    <w:p w:rsidR="00960A03" w:rsidRDefault="00560893" w:rsidP="00560893">
      <w:pPr>
        <w:pStyle w:val="NormalWeb"/>
        <w:rPr>
          <w:color w:val="000000"/>
        </w:rPr>
      </w:pPr>
      <w:r>
        <w:rPr>
          <w:color w:val="000000"/>
        </w:rPr>
        <w:t>Pursuant to 49</w:t>
      </w:r>
      <w:r w:rsidR="007F2E38">
        <w:rPr>
          <w:color w:val="000000"/>
        </w:rPr>
        <w:t xml:space="preserve"> </w:t>
      </w:r>
      <w:r>
        <w:rPr>
          <w:color w:val="000000"/>
        </w:rPr>
        <w:t>CFR 26.45</w:t>
      </w:r>
      <w:r w:rsidR="005B16E8">
        <w:rPr>
          <w:color w:val="000000"/>
        </w:rPr>
        <w:t>(c)(1)</w:t>
      </w:r>
      <w:r w:rsidR="002A7A8C">
        <w:rPr>
          <w:color w:val="000000"/>
        </w:rPr>
        <w:t xml:space="preserve">, </w:t>
      </w:r>
      <w:r w:rsidR="00C06CCF">
        <w:rPr>
          <w:color w:val="000000"/>
        </w:rPr>
        <w:t>t</w:t>
      </w:r>
      <w:r>
        <w:rPr>
          <w:color w:val="000000"/>
        </w:rPr>
        <w:t xml:space="preserve">o determine the </w:t>
      </w:r>
      <w:r w:rsidR="00ED7FFB" w:rsidRPr="00ED7FFB">
        <w:rPr>
          <w:b/>
          <w:color w:val="000000"/>
        </w:rPr>
        <w:t>b</w:t>
      </w:r>
      <w:r w:rsidRPr="00ED7FFB">
        <w:rPr>
          <w:b/>
          <w:color w:val="000000"/>
        </w:rPr>
        <w:t>aseline figure</w:t>
      </w:r>
      <w:r w:rsidR="00AE28C3">
        <w:rPr>
          <w:color w:val="000000"/>
        </w:rPr>
        <w:t xml:space="preserve"> for </w:t>
      </w:r>
      <w:r w:rsidR="00DD7D4C">
        <w:rPr>
          <w:color w:val="000000"/>
        </w:rPr>
        <w:t>our</w:t>
      </w:r>
      <w:r w:rsidR="00AE28C3">
        <w:rPr>
          <w:color w:val="000000"/>
        </w:rPr>
        <w:t xml:space="preserve"> 20</w:t>
      </w:r>
      <w:r w:rsidR="007F6C23">
        <w:rPr>
          <w:color w:val="000000"/>
        </w:rPr>
        <w:t>19</w:t>
      </w:r>
      <w:r>
        <w:rPr>
          <w:color w:val="000000"/>
        </w:rPr>
        <w:t>-20</w:t>
      </w:r>
      <w:r w:rsidR="007F6C23">
        <w:rPr>
          <w:color w:val="000000"/>
        </w:rPr>
        <w:t>21</w:t>
      </w:r>
      <w:r w:rsidR="00C06CCF">
        <w:rPr>
          <w:color w:val="000000"/>
        </w:rPr>
        <w:t xml:space="preserve"> DBE goal </w:t>
      </w:r>
      <w:r w:rsidR="00627720">
        <w:rPr>
          <w:color w:val="000000"/>
        </w:rPr>
        <w:t xml:space="preserve">we </w:t>
      </w:r>
      <w:r>
        <w:rPr>
          <w:color w:val="000000"/>
        </w:rPr>
        <w:t>used</w:t>
      </w:r>
      <w:r w:rsidR="00C06CCF">
        <w:rPr>
          <w:color w:val="000000"/>
        </w:rPr>
        <w:t xml:space="preserve"> the </w:t>
      </w:r>
      <w:r w:rsidR="0081186F">
        <w:rPr>
          <w:color w:val="000000"/>
        </w:rPr>
        <w:t xml:space="preserve">current </w:t>
      </w:r>
      <w:r w:rsidR="0014482F">
        <w:rPr>
          <w:color w:val="000000"/>
        </w:rPr>
        <w:t xml:space="preserve">MaineDOT DBE Directory and the </w:t>
      </w:r>
      <w:r>
        <w:rPr>
          <w:color w:val="000000"/>
        </w:rPr>
        <w:t xml:space="preserve">most </w:t>
      </w:r>
      <w:r w:rsidRPr="007F080C">
        <w:rPr>
          <w:color w:val="000000"/>
        </w:rPr>
        <w:t xml:space="preserve">recent </w:t>
      </w:r>
      <w:r>
        <w:rPr>
          <w:color w:val="000000"/>
        </w:rPr>
        <w:t xml:space="preserve">US Census </w:t>
      </w:r>
      <w:r w:rsidR="00D42CAE">
        <w:rPr>
          <w:color w:val="000000"/>
        </w:rPr>
        <w:t xml:space="preserve">County Business Patterns </w:t>
      </w:r>
      <w:r w:rsidR="00627720">
        <w:rPr>
          <w:color w:val="000000"/>
        </w:rPr>
        <w:t xml:space="preserve">(“CBP”) </w:t>
      </w:r>
      <w:r>
        <w:rPr>
          <w:color w:val="000000"/>
        </w:rPr>
        <w:t xml:space="preserve">data </w:t>
      </w:r>
      <w:r w:rsidR="00B557DD">
        <w:rPr>
          <w:color w:val="000000"/>
        </w:rPr>
        <w:t>available</w:t>
      </w:r>
      <w:r w:rsidR="0014482F">
        <w:rPr>
          <w:color w:val="000000"/>
        </w:rPr>
        <w:t xml:space="preserve"> t</w:t>
      </w:r>
      <w:r>
        <w:rPr>
          <w:color w:val="000000"/>
        </w:rPr>
        <w:t xml:space="preserve">o determine the </w:t>
      </w:r>
      <w:r w:rsidR="00B557DD">
        <w:rPr>
          <w:color w:val="000000"/>
        </w:rPr>
        <w:t xml:space="preserve">percentage </w:t>
      </w:r>
      <w:r>
        <w:rPr>
          <w:color w:val="000000"/>
        </w:rPr>
        <w:t xml:space="preserve">of ready, willing and able </w:t>
      </w:r>
      <w:r w:rsidR="00DD7D4C">
        <w:rPr>
          <w:color w:val="000000"/>
        </w:rPr>
        <w:t xml:space="preserve">Maine </w:t>
      </w:r>
      <w:r>
        <w:rPr>
          <w:color w:val="000000"/>
        </w:rPr>
        <w:t xml:space="preserve">DBEs </w:t>
      </w:r>
      <w:r w:rsidR="00A506FA">
        <w:rPr>
          <w:color w:val="000000"/>
        </w:rPr>
        <w:t xml:space="preserve">compared to the number of ready, willing and able </w:t>
      </w:r>
      <w:r w:rsidR="00A506FA">
        <w:rPr>
          <w:color w:val="000000"/>
        </w:rPr>
        <w:lastRenderedPageBreak/>
        <w:t xml:space="preserve">businesses available in the GMA that perform </w:t>
      </w:r>
      <w:r w:rsidR="0081186F">
        <w:rPr>
          <w:color w:val="000000"/>
        </w:rPr>
        <w:t xml:space="preserve">work in </w:t>
      </w:r>
      <w:r w:rsidR="00A506FA">
        <w:rPr>
          <w:color w:val="000000"/>
        </w:rPr>
        <w:t>the same North American Industry Classification Systems (“NAICS”) codes</w:t>
      </w:r>
      <w:r w:rsidR="005A7C75">
        <w:rPr>
          <w:color w:val="000000"/>
        </w:rPr>
        <w:t xml:space="preserve">. </w:t>
      </w:r>
      <w:r w:rsidR="00A506FA">
        <w:rPr>
          <w:color w:val="000000"/>
        </w:rPr>
        <w:t xml:space="preserve"> </w:t>
      </w:r>
    </w:p>
    <w:p w:rsidR="00960A03" w:rsidRDefault="007B644C" w:rsidP="00560893">
      <w:pPr>
        <w:pStyle w:val="NormalWeb"/>
        <w:rPr>
          <w:color w:val="000000"/>
        </w:rPr>
      </w:pPr>
      <w:r>
        <w:rPr>
          <w:color w:val="000000"/>
        </w:rPr>
        <w:t>First,</w:t>
      </w:r>
      <w:r w:rsidR="00960A03">
        <w:rPr>
          <w:color w:val="000000"/>
        </w:rPr>
        <w:t xml:space="preserve"> we determined the number of ready, willing and able DBEs in the GMA from the MaineDOT DBE directory along with the NAICS codes that correspond to the types of transportation-related work performed by each DBE.</w:t>
      </w:r>
      <w:r w:rsidR="00DD7D4C">
        <w:rPr>
          <w:color w:val="000000"/>
        </w:rPr>
        <w:t xml:space="preserve">  (Although several DBEs have more than one NAICS code, </w:t>
      </w:r>
      <w:r w:rsidR="00A320C3">
        <w:rPr>
          <w:color w:val="000000"/>
        </w:rPr>
        <w:t>we used only one such code per firm to avoid duplication.)</w:t>
      </w:r>
      <w:r w:rsidR="00960A03">
        <w:rPr>
          <w:color w:val="000000"/>
        </w:rPr>
        <w:t xml:space="preserve">  </w:t>
      </w:r>
      <w:r w:rsidR="00A320C3">
        <w:rPr>
          <w:color w:val="000000"/>
        </w:rPr>
        <w:t>Using US Census CBP data for Maine, w</w:t>
      </w:r>
      <w:r w:rsidR="00960A03">
        <w:rPr>
          <w:color w:val="000000"/>
        </w:rPr>
        <w:t xml:space="preserve">e then determined the number of all ready, willing and able businesses available in the GMA that </w:t>
      </w:r>
      <w:r w:rsidR="00A320C3">
        <w:rPr>
          <w:color w:val="000000"/>
        </w:rPr>
        <w:t xml:space="preserve">use the </w:t>
      </w:r>
      <w:r w:rsidR="0081186F">
        <w:rPr>
          <w:color w:val="000000"/>
        </w:rPr>
        <w:t>same</w:t>
      </w:r>
      <w:r w:rsidR="00A320C3">
        <w:rPr>
          <w:color w:val="000000"/>
        </w:rPr>
        <w:t xml:space="preserve"> </w:t>
      </w:r>
      <w:r w:rsidR="00960A03">
        <w:rPr>
          <w:color w:val="000000"/>
        </w:rPr>
        <w:t>NAICS codes.</w:t>
      </w:r>
    </w:p>
    <w:p w:rsidR="00AE28C3" w:rsidRDefault="008E6F04" w:rsidP="00F52FF7">
      <w:pPr>
        <w:autoSpaceDE w:val="0"/>
        <w:autoSpaceDN w:val="0"/>
        <w:adjustRightInd w:val="0"/>
      </w:pPr>
      <w:r>
        <w:t>To supplement our DBE Directory, t</w:t>
      </w:r>
      <w:r w:rsidR="00F52FF7">
        <w:t>he Civil Rights Office</w:t>
      </w:r>
      <w:r w:rsidR="00C06CCF">
        <w:t xml:space="preserve"> staff </w:t>
      </w:r>
      <w:r w:rsidR="00F52FF7">
        <w:t>also search</w:t>
      </w:r>
      <w:r w:rsidR="00627720">
        <w:t>ed f</w:t>
      </w:r>
      <w:r w:rsidR="00F52FF7">
        <w:t>o</w:t>
      </w:r>
      <w:r w:rsidR="00627720">
        <w:t>r</w:t>
      </w:r>
      <w:r w:rsidR="00F52FF7">
        <w:t xml:space="preserve"> potential and real DBE businesses</w:t>
      </w:r>
      <w:r w:rsidR="00F448D7">
        <w:t xml:space="preserve">.  </w:t>
      </w:r>
      <w:r w:rsidR="00C06CCF">
        <w:t xml:space="preserve">The search included </w:t>
      </w:r>
      <w:r w:rsidR="009A46FF">
        <w:t xml:space="preserve">an estimate of women-owned firms </w:t>
      </w:r>
      <w:r>
        <w:t>provided by the Mai</w:t>
      </w:r>
      <w:r w:rsidR="00F81AAC">
        <w:t>ne Women’s Business Center (2018</w:t>
      </w:r>
      <w:r>
        <w:t xml:space="preserve">) </w:t>
      </w:r>
      <w:r w:rsidR="009A46FF">
        <w:t>that do business in the applicable NAICS codes</w:t>
      </w:r>
      <w:r w:rsidR="007F2E38">
        <w:t xml:space="preserve">.  </w:t>
      </w:r>
      <w:r w:rsidR="009A46FF">
        <w:t xml:space="preserve">We </w:t>
      </w:r>
      <w:r w:rsidR="007F2E38">
        <w:t xml:space="preserve">also </w:t>
      </w:r>
      <w:r w:rsidR="009A46FF">
        <w:t xml:space="preserve">obtained </w:t>
      </w:r>
      <w:r w:rsidR="007C3944">
        <w:t>the S</w:t>
      </w:r>
      <w:r w:rsidR="0081186F">
        <w:t xml:space="preserve">mall </w:t>
      </w:r>
      <w:r w:rsidR="007C3944">
        <w:t>B</w:t>
      </w:r>
      <w:r w:rsidR="0081186F">
        <w:t xml:space="preserve">usiness </w:t>
      </w:r>
      <w:r w:rsidR="00450902">
        <w:t>Administration Business</w:t>
      </w:r>
      <w:r w:rsidR="00001EF8">
        <w:t xml:space="preserve"> Development program</w:t>
      </w:r>
      <w:r w:rsidR="00634A62">
        <w:t>’</w:t>
      </w:r>
      <w:r w:rsidR="00001EF8">
        <w:t xml:space="preserve">s </w:t>
      </w:r>
      <w:r w:rsidR="00471C62">
        <w:t xml:space="preserve">Section </w:t>
      </w:r>
      <w:r w:rsidR="003F3BF4">
        <w:t xml:space="preserve">8(a) certification list </w:t>
      </w:r>
      <w:r w:rsidR="00F83A45">
        <w:t>(201</w:t>
      </w:r>
      <w:r w:rsidR="00F81AAC">
        <w:t>7</w:t>
      </w:r>
      <w:r w:rsidR="00F83A45">
        <w:t>)</w:t>
      </w:r>
      <w:r w:rsidR="00F81AAC">
        <w:t xml:space="preserve"> </w:t>
      </w:r>
      <w:r w:rsidR="003F3BF4">
        <w:t xml:space="preserve">and found businesses on that </w:t>
      </w:r>
      <w:r w:rsidR="00AE28C3">
        <w:t xml:space="preserve">list </w:t>
      </w:r>
      <w:r w:rsidR="003F3BF4">
        <w:t xml:space="preserve">that </w:t>
      </w:r>
      <w:r w:rsidR="00001EF8">
        <w:t>are</w:t>
      </w:r>
      <w:r w:rsidR="003F3BF4">
        <w:t xml:space="preserve"> minority</w:t>
      </w:r>
      <w:r w:rsidR="007F2E38">
        <w:t>-</w:t>
      </w:r>
      <w:r w:rsidR="003F3BF4">
        <w:t xml:space="preserve">owned </w:t>
      </w:r>
      <w:r w:rsidR="00133A52">
        <w:t>and transportation</w:t>
      </w:r>
      <w:r w:rsidR="007F2E38">
        <w:t>-</w:t>
      </w:r>
      <w:r w:rsidR="003F3BF4">
        <w:t xml:space="preserve">related. </w:t>
      </w:r>
      <w:r w:rsidR="00775843">
        <w:t xml:space="preserve"> </w:t>
      </w:r>
      <w:r w:rsidR="007F2E38">
        <w:t>We</w:t>
      </w:r>
      <w:r w:rsidR="00633B0F">
        <w:rPr>
          <w:color w:val="000000"/>
        </w:rPr>
        <w:t xml:space="preserve"> </w:t>
      </w:r>
      <w:r w:rsidR="00CD2224">
        <w:rPr>
          <w:color w:val="000000"/>
        </w:rPr>
        <w:t xml:space="preserve">identified </w:t>
      </w:r>
      <w:r w:rsidR="00A320C3">
        <w:rPr>
          <w:color w:val="000000"/>
        </w:rPr>
        <w:t xml:space="preserve">a total of </w:t>
      </w:r>
      <w:r w:rsidR="009A46FF" w:rsidRPr="00AB0595">
        <w:rPr>
          <w:b/>
          <w:color w:val="000000"/>
        </w:rPr>
        <w:t>3</w:t>
      </w:r>
      <w:r w:rsidR="000D3DDF">
        <w:rPr>
          <w:b/>
          <w:color w:val="000000"/>
        </w:rPr>
        <w:t>6</w:t>
      </w:r>
      <w:r w:rsidR="00633B0F">
        <w:rPr>
          <w:b/>
          <w:color w:val="000000"/>
        </w:rPr>
        <w:t xml:space="preserve"> </w:t>
      </w:r>
      <w:r w:rsidR="00633B0F">
        <w:rPr>
          <w:color w:val="000000"/>
        </w:rPr>
        <w:t>potential firms from the above</w:t>
      </w:r>
      <w:r w:rsidR="00062DC4">
        <w:rPr>
          <w:color w:val="000000"/>
        </w:rPr>
        <w:t>-</w:t>
      </w:r>
      <w:r w:rsidR="00633B0F">
        <w:rPr>
          <w:color w:val="000000"/>
        </w:rPr>
        <w:t xml:space="preserve">mentioned sources.  </w:t>
      </w:r>
      <w:r w:rsidR="003F3BF4">
        <w:t xml:space="preserve"> </w:t>
      </w:r>
    </w:p>
    <w:p w:rsidR="00633B0F" w:rsidRDefault="00633B0F" w:rsidP="00F52FF7">
      <w:pPr>
        <w:autoSpaceDE w:val="0"/>
        <w:autoSpaceDN w:val="0"/>
        <w:adjustRightInd w:val="0"/>
      </w:pPr>
    </w:p>
    <w:p w:rsidR="002A35FD" w:rsidRDefault="00DB3C90" w:rsidP="00560893">
      <w:pPr>
        <w:autoSpaceDE w:val="0"/>
        <w:autoSpaceDN w:val="0"/>
        <w:adjustRightInd w:val="0"/>
        <w:rPr>
          <w:b/>
          <w:color w:val="000000"/>
        </w:rPr>
      </w:pPr>
      <w:r>
        <w:rPr>
          <w:color w:val="000000"/>
        </w:rPr>
        <w:t xml:space="preserve">At the time of this calculation, </w:t>
      </w:r>
      <w:r w:rsidR="00EE3DF5">
        <w:rPr>
          <w:color w:val="000000"/>
        </w:rPr>
        <w:t>Maine</w:t>
      </w:r>
      <w:r>
        <w:rPr>
          <w:color w:val="000000"/>
        </w:rPr>
        <w:t xml:space="preserve">DOT </w:t>
      </w:r>
      <w:r w:rsidR="00C06CCF">
        <w:rPr>
          <w:color w:val="000000"/>
        </w:rPr>
        <w:t xml:space="preserve">found </w:t>
      </w:r>
      <w:r w:rsidR="003F14D4">
        <w:rPr>
          <w:color w:val="000000"/>
        </w:rPr>
        <w:t xml:space="preserve">a total of </w:t>
      </w:r>
      <w:r w:rsidR="00094690">
        <w:rPr>
          <w:color w:val="000000"/>
        </w:rPr>
        <w:t>59</w:t>
      </w:r>
      <w:bookmarkStart w:id="0" w:name="_GoBack"/>
      <w:bookmarkEnd w:id="0"/>
      <w:r w:rsidR="00570BC5">
        <w:rPr>
          <w:color w:val="000000"/>
        </w:rPr>
        <w:t xml:space="preserve"> DBE firms</w:t>
      </w:r>
      <w:r>
        <w:rPr>
          <w:color w:val="000000"/>
        </w:rPr>
        <w:t xml:space="preserve"> in its directory</w:t>
      </w:r>
      <w:r w:rsidR="00570BC5">
        <w:rPr>
          <w:color w:val="000000"/>
        </w:rPr>
        <w:t xml:space="preserve"> determined </w:t>
      </w:r>
      <w:r w:rsidR="009E2726">
        <w:rPr>
          <w:color w:val="000000"/>
        </w:rPr>
        <w:t>to be</w:t>
      </w:r>
      <w:r w:rsidR="00570BC5">
        <w:rPr>
          <w:color w:val="000000"/>
        </w:rPr>
        <w:t xml:space="preserve"> ready willing and able </w:t>
      </w:r>
      <w:r w:rsidR="00F06A1A">
        <w:rPr>
          <w:color w:val="000000"/>
        </w:rPr>
        <w:t xml:space="preserve">to work on </w:t>
      </w:r>
      <w:r w:rsidR="00A320C3">
        <w:rPr>
          <w:color w:val="000000"/>
        </w:rPr>
        <w:t xml:space="preserve">federally </w:t>
      </w:r>
      <w:r w:rsidR="00F06A1A">
        <w:rPr>
          <w:color w:val="000000"/>
        </w:rPr>
        <w:t>funded projects in the defined market area</w:t>
      </w:r>
      <w:r w:rsidR="00F81AAC">
        <w:rPr>
          <w:color w:val="000000"/>
        </w:rPr>
        <w:t xml:space="preserve"> and in transportation-related NAICS codes</w:t>
      </w:r>
      <w:r w:rsidR="00F06A1A">
        <w:rPr>
          <w:color w:val="000000"/>
        </w:rPr>
        <w:t xml:space="preserve">. </w:t>
      </w:r>
      <w:r w:rsidR="00570BC5">
        <w:rPr>
          <w:color w:val="000000"/>
        </w:rPr>
        <w:t xml:space="preserve"> This number includes both construction and consultant firms. </w:t>
      </w:r>
      <w:r w:rsidR="00F81AAC">
        <w:rPr>
          <w:color w:val="000000"/>
        </w:rPr>
        <w:t xml:space="preserve">We then tallied the number of Maine firms in the corresponding NAICS codes from the CBP </w:t>
      </w:r>
      <w:r w:rsidR="007B644C">
        <w:rPr>
          <w:color w:val="000000"/>
        </w:rPr>
        <w:t>database</w:t>
      </w:r>
      <w:r w:rsidR="00F81AAC">
        <w:rPr>
          <w:color w:val="000000"/>
        </w:rPr>
        <w:t xml:space="preserve">.  </w:t>
      </w:r>
      <w:r w:rsidR="00570BC5">
        <w:rPr>
          <w:color w:val="000000"/>
        </w:rPr>
        <w:t>The NAICS codes for those firms yield a tot</w:t>
      </w:r>
      <w:r w:rsidR="003F3BF4">
        <w:rPr>
          <w:color w:val="000000"/>
        </w:rPr>
        <w:t xml:space="preserve">al of </w:t>
      </w:r>
      <w:r w:rsidR="000D3DDF">
        <w:rPr>
          <w:color w:val="000000"/>
        </w:rPr>
        <w:t>3901</w:t>
      </w:r>
      <w:r w:rsidR="003F3BF4">
        <w:rPr>
          <w:color w:val="000000"/>
        </w:rPr>
        <w:t xml:space="preserve"> </w:t>
      </w:r>
      <w:r w:rsidR="00570BC5">
        <w:rPr>
          <w:color w:val="000000"/>
        </w:rPr>
        <w:t>firms.  B</w:t>
      </w:r>
      <w:r w:rsidR="003F3BF4">
        <w:rPr>
          <w:color w:val="000000"/>
        </w:rPr>
        <w:t xml:space="preserve">y dividing </w:t>
      </w:r>
      <w:r w:rsidR="003F14D4">
        <w:rPr>
          <w:color w:val="000000"/>
        </w:rPr>
        <w:t xml:space="preserve">by </w:t>
      </w:r>
      <w:r w:rsidR="00F81AAC" w:rsidRPr="00F81AAC">
        <w:rPr>
          <w:b/>
          <w:color w:val="000000"/>
        </w:rPr>
        <w:t>9</w:t>
      </w:r>
      <w:r w:rsidR="00062167">
        <w:rPr>
          <w:b/>
          <w:color w:val="000000"/>
        </w:rPr>
        <w:t>5</w:t>
      </w:r>
      <w:r w:rsidR="00F81AAC">
        <w:rPr>
          <w:color w:val="000000"/>
        </w:rPr>
        <w:t xml:space="preserve"> (</w:t>
      </w:r>
      <w:r w:rsidR="00E27CDA">
        <w:rPr>
          <w:color w:val="000000"/>
        </w:rPr>
        <w:t>59</w:t>
      </w:r>
      <w:r w:rsidR="00F81AAC">
        <w:rPr>
          <w:color w:val="000000"/>
        </w:rPr>
        <w:t>+3</w:t>
      </w:r>
      <w:r w:rsidR="00986C0E">
        <w:rPr>
          <w:color w:val="000000"/>
        </w:rPr>
        <w:t>6</w:t>
      </w:r>
      <w:r w:rsidR="00F81AAC">
        <w:rPr>
          <w:color w:val="000000"/>
        </w:rPr>
        <w:t>)</w:t>
      </w:r>
      <w:r w:rsidR="00A80B08">
        <w:rPr>
          <w:color w:val="000000"/>
        </w:rPr>
        <w:t xml:space="preserve"> by </w:t>
      </w:r>
      <w:r w:rsidR="00E27CDA">
        <w:rPr>
          <w:color w:val="000000"/>
        </w:rPr>
        <w:t>3901</w:t>
      </w:r>
      <w:r w:rsidR="00570BC5">
        <w:rPr>
          <w:color w:val="000000"/>
        </w:rPr>
        <w:t xml:space="preserve"> </w:t>
      </w:r>
      <w:r w:rsidR="005A7C75">
        <w:rPr>
          <w:color w:val="000000"/>
        </w:rPr>
        <w:t>we find that DBE</w:t>
      </w:r>
      <w:r w:rsidR="00D937D7">
        <w:rPr>
          <w:color w:val="000000"/>
        </w:rPr>
        <w:t xml:space="preserve"> firms</w:t>
      </w:r>
      <w:r w:rsidR="00657C67">
        <w:rPr>
          <w:color w:val="000000"/>
        </w:rPr>
        <w:t xml:space="preserve"> and potential DBE</w:t>
      </w:r>
      <w:r w:rsidR="003F14D4">
        <w:rPr>
          <w:color w:val="000000"/>
        </w:rPr>
        <w:t xml:space="preserve"> firms</w:t>
      </w:r>
      <w:r w:rsidR="003F3BF4">
        <w:rPr>
          <w:color w:val="000000"/>
        </w:rPr>
        <w:t xml:space="preserve"> make up </w:t>
      </w:r>
      <w:r w:rsidR="00A80B08" w:rsidRPr="00A80B08">
        <w:rPr>
          <w:b/>
          <w:color w:val="000000"/>
        </w:rPr>
        <w:t>2.</w:t>
      </w:r>
      <w:r w:rsidR="00986C0E">
        <w:rPr>
          <w:b/>
          <w:color w:val="000000"/>
        </w:rPr>
        <w:t>4</w:t>
      </w:r>
      <w:r w:rsidR="00593AC3" w:rsidRPr="00A80B08">
        <w:rPr>
          <w:b/>
          <w:color w:val="000000"/>
        </w:rPr>
        <w:t>%</w:t>
      </w:r>
      <w:r w:rsidR="00593AC3">
        <w:rPr>
          <w:color w:val="000000"/>
        </w:rPr>
        <w:t xml:space="preserve"> </w:t>
      </w:r>
      <w:r w:rsidR="00570BC5">
        <w:rPr>
          <w:color w:val="000000"/>
        </w:rPr>
        <w:t>of the</w:t>
      </w:r>
      <w:r w:rsidR="00CD2224">
        <w:rPr>
          <w:color w:val="000000"/>
        </w:rPr>
        <w:t xml:space="preserve"> total number in Maine</w:t>
      </w:r>
      <w:r w:rsidR="00570BC5">
        <w:rPr>
          <w:color w:val="000000"/>
        </w:rPr>
        <w:t xml:space="preserve">. </w:t>
      </w:r>
      <w:r w:rsidR="007F5323">
        <w:rPr>
          <w:b/>
          <w:color w:val="000000"/>
        </w:rPr>
        <w:t xml:space="preserve"> </w:t>
      </w:r>
    </w:p>
    <w:p w:rsidR="00F13C79" w:rsidRDefault="00F13C79" w:rsidP="00560893">
      <w:pPr>
        <w:autoSpaceDE w:val="0"/>
        <w:autoSpaceDN w:val="0"/>
        <w:adjustRightInd w:val="0"/>
        <w:rPr>
          <w:color w:val="000000"/>
        </w:rPr>
      </w:pPr>
    </w:p>
    <w:tbl>
      <w:tblPr>
        <w:tblW w:w="7880" w:type="dxa"/>
        <w:tblLook w:val="04A0" w:firstRow="1" w:lastRow="0" w:firstColumn="1" w:lastColumn="0" w:noHBand="0" w:noVBand="1"/>
      </w:tblPr>
      <w:tblGrid>
        <w:gridCol w:w="1760"/>
        <w:gridCol w:w="2600"/>
        <w:gridCol w:w="1760"/>
        <w:gridCol w:w="1760"/>
      </w:tblGrid>
      <w:tr w:rsidR="00044992" w:rsidRPr="00CD7BE4" w:rsidTr="00A80B08">
        <w:trPr>
          <w:cantSplit/>
          <w:trHeight w:val="1099"/>
        </w:trPr>
        <w:tc>
          <w:tcPr>
            <w:tcW w:w="1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2018 NAICS Code</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044992" w:rsidRPr="00CD7BE4" w:rsidRDefault="006B5C1B">
            <w:pPr>
              <w:rPr>
                <w:b/>
                <w:bCs/>
                <w:color w:val="000000"/>
                <w:sz w:val="22"/>
                <w:szCs w:val="22"/>
              </w:rPr>
            </w:pPr>
            <w:r w:rsidRPr="00CD7BE4">
              <w:rPr>
                <w:b/>
                <w:bCs/>
                <w:color w:val="000000"/>
                <w:sz w:val="22"/>
                <w:szCs w:val="22"/>
              </w:rPr>
              <w:t>Description</w:t>
            </w:r>
          </w:p>
        </w:tc>
        <w:tc>
          <w:tcPr>
            <w:tcW w:w="1760" w:type="dxa"/>
            <w:tcBorders>
              <w:top w:val="single" w:sz="4" w:space="0" w:color="auto"/>
              <w:left w:val="nil"/>
              <w:bottom w:val="single" w:sz="4" w:space="0" w:color="auto"/>
              <w:right w:val="single" w:sz="4" w:space="0" w:color="auto"/>
            </w:tcBorders>
            <w:shd w:val="clear" w:color="000000" w:fill="FFFFFF"/>
            <w:vAlign w:val="bottom"/>
            <w:hideMark/>
          </w:tcPr>
          <w:p w:rsidR="00044992" w:rsidRPr="00CD7BE4" w:rsidRDefault="006B5C1B">
            <w:pPr>
              <w:rPr>
                <w:b/>
                <w:bCs/>
                <w:color w:val="000000"/>
                <w:sz w:val="22"/>
                <w:szCs w:val="22"/>
              </w:rPr>
            </w:pPr>
            <w:r w:rsidRPr="00CD7BE4">
              <w:rPr>
                <w:b/>
                <w:bCs/>
                <w:color w:val="000000"/>
                <w:sz w:val="22"/>
                <w:szCs w:val="22"/>
              </w:rPr>
              <w:t>Number of Maine DBE firms</w:t>
            </w:r>
          </w:p>
        </w:tc>
        <w:tc>
          <w:tcPr>
            <w:tcW w:w="1760" w:type="dxa"/>
            <w:tcBorders>
              <w:top w:val="single" w:sz="4" w:space="0" w:color="auto"/>
              <w:left w:val="nil"/>
              <w:bottom w:val="single" w:sz="4" w:space="0" w:color="auto"/>
              <w:right w:val="single" w:sz="4" w:space="0" w:color="auto"/>
            </w:tcBorders>
            <w:shd w:val="clear" w:color="000000" w:fill="FFFFFF"/>
            <w:vAlign w:val="bottom"/>
            <w:hideMark/>
          </w:tcPr>
          <w:p w:rsidR="00044992" w:rsidRPr="00CD7BE4" w:rsidRDefault="006B5C1B">
            <w:pPr>
              <w:rPr>
                <w:b/>
                <w:bCs/>
                <w:color w:val="000000"/>
                <w:sz w:val="22"/>
                <w:szCs w:val="22"/>
              </w:rPr>
            </w:pPr>
            <w:r w:rsidRPr="00CD7BE4">
              <w:rPr>
                <w:b/>
                <w:bCs/>
                <w:color w:val="000000"/>
                <w:sz w:val="22"/>
                <w:szCs w:val="22"/>
              </w:rPr>
              <w:t xml:space="preserve">Number of Maine firms </w:t>
            </w:r>
            <w:r w:rsidR="007B644C" w:rsidRPr="00CD7BE4">
              <w:rPr>
                <w:b/>
                <w:bCs/>
                <w:color w:val="000000"/>
                <w:sz w:val="22"/>
                <w:szCs w:val="22"/>
              </w:rPr>
              <w:t>per</w:t>
            </w:r>
            <w:r w:rsidRPr="00CD7BE4">
              <w:rPr>
                <w:b/>
                <w:bCs/>
                <w:color w:val="000000"/>
                <w:sz w:val="22"/>
                <w:szCs w:val="22"/>
              </w:rPr>
              <w:t xml:space="preserve"> CBP database</w:t>
            </w:r>
          </w:p>
        </w:tc>
      </w:tr>
      <w:tr w:rsidR="00044992" w:rsidRPr="00CD7BE4" w:rsidTr="00A80B08">
        <w:trPr>
          <w:cantSplit/>
          <w:trHeight w:val="1002"/>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2</w:t>
            </w:r>
            <w:r w:rsidR="00AB0595" w:rsidRPr="00CD7BE4">
              <w:rPr>
                <w:color w:val="000000"/>
                <w:sz w:val="22"/>
                <w:szCs w:val="22"/>
              </w:rPr>
              <w:t>1</w:t>
            </w:r>
            <w:r w:rsidRPr="00CD7BE4">
              <w:rPr>
                <w:color w:val="000000"/>
                <w:sz w:val="22"/>
                <w:szCs w:val="22"/>
              </w:rPr>
              <w:t>2321</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Construction Sand and Gravel Mining</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986C0E">
            <w:pPr>
              <w:rPr>
                <w:b/>
                <w:bCs/>
                <w:sz w:val="22"/>
                <w:szCs w:val="22"/>
              </w:rPr>
            </w:pPr>
            <w:r w:rsidRPr="00CD7BE4">
              <w:rPr>
                <w:b/>
                <w:bCs/>
                <w:sz w:val="22"/>
                <w:szCs w:val="22"/>
              </w:rPr>
              <w:t>1</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8</w:t>
            </w:r>
          </w:p>
        </w:tc>
      </w:tr>
      <w:tr w:rsidR="00044992" w:rsidRPr="00CD7BE4" w:rsidTr="00A80B08">
        <w:trPr>
          <w:cantSplit/>
          <w:trHeight w:val="1200"/>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237310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Highway/Street/Bridge Construction</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A169AB">
            <w:pPr>
              <w:rPr>
                <w:b/>
                <w:bCs/>
                <w:color w:val="000000"/>
                <w:sz w:val="22"/>
                <w:szCs w:val="22"/>
              </w:rPr>
            </w:pPr>
            <w:r w:rsidRPr="00CD7BE4">
              <w:rPr>
                <w:b/>
                <w:bCs/>
                <w:color w:val="000000"/>
                <w:sz w:val="22"/>
                <w:szCs w:val="22"/>
              </w:rPr>
              <w:t>6</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85</w:t>
            </w:r>
          </w:p>
        </w:tc>
      </w:tr>
      <w:tr w:rsidR="00044992" w:rsidRPr="00CD7BE4" w:rsidTr="00A80B08">
        <w:trPr>
          <w:cantSplit/>
          <w:trHeight w:val="1200"/>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237990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Heavy and Civil Engineering</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EC517B">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38</w:t>
            </w:r>
          </w:p>
        </w:tc>
      </w:tr>
      <w:tr w:rsidR="00044992" w:rsidRPr="00CD7BE4" w:rsidTr="00A80B08">
        <w:trPr>
          <w:cantSplit/>
          <w:trHeight w:val="94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238110</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Poured Concrete Foundation and Structure Contractors</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159</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lastRenderedPageBreak/>
              <w:t>238140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Masonry Contractor</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EC517B">
            <w:pPr>
              <w:rPr>
                <w:b/>
                <w:bCs/>
                <w:color w:val="000000"/>
                <w:sz w:val="22"/>
                <w:szCs w:val="22"/>
              </w:rPr>
            </w:pPr>
            <w:r w:rsidRPr="00CD7BE4">
              <w:rPr>
                <w:b/>
                <w:bCs/>
                <w:color w:val="000000"/>
                <w:sz w:val="22"/>
                <w:szCs w:val="22"/>
              </w:rPr>
              <w:t>3</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140</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238910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Site Preparation</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EC517B">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515</w:t>
            </w:r>
          </w:p>
        </w:tc>
      </w:tr>
      <w:tr w:rsidR="00044992" w:rsidRPr="00CD7BE4" w:rsidTr="00A80B08">
        <w:trPr>
          <w:cantSplit/>
          <w:trHeight w:val="1260"/>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238990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Paving, Driveway/Parking Lots, Guardrail - All Other Specialty Trade Contractors</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EC517B">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168</w:t>
            </w:r>
          </w:p>
        </w:tc>
      </w:tr>
      <w:tr w:rsidR="00044992" w:rsidRPr="00CD7BE4" w:rsidTr="00A80B08">
        <w:trPr>
          <w:cantSplit/>
          <w:trHeight w:val="630"/>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423840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Industrial Supplies Merchant</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24</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484110</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General Freight Trucking</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119</w:t>
            </w:r>
          </w:p>
        </w:tc>
      </w:tr>
      <w:tr w:rsidR="00044992" w:rsidRPr="00CD7BE4" w:rsidTr="00A80B08">
        <w:trPr>
          <w:cantSplit/>
          <w:trHeight w:val="94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484210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Dump truck hauling, heavy hauling - Used Household &amp; Office Goods Moving</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34</w:t>
            </w:r>
          </w:p>
        </w:tc>
      </w:tr>
      <w:tr w:rsidR="00044992" w:rsidRPr="00CD7BE4" w:rsidTr="00A80B08">
        <w:trPr>
          <w:cantSplit/>
          <w:trHeight w:val="600"/>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484220</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Specialized trucking, local</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BB31B8">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293</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485111</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Mixed mode transit</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15</w:t>
            </w:r>
          </w:p>
        </w:tc>
      </w:tr>
      <w:tr w:rsidR="00044992" w:rsidRPr="00CD7BE4" w:rsidTr="00A80B08">
        <w:trPr>
          <w:cantSplit/>
          <w:trHeight w:val="630"/>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488490</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Other support activities for road transportation</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BB31B8">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19</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541320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Landscape Architecture</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5</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22</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541330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Engineering Services</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1</w:t>
            </w:r>
            <w:r w:rsidR="00BB31B8"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307</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541340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Drafting Services</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2</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15</w:t>
            </w:r>
          </w:p>
        </w:tc>
      </w:tr>
      <w:tr w:rsidR="00044992" w:rsidRPr="00CD7BE4" w:rsidTr="00A80B08">
        <w:trPr>
          <w:cantSplit/>
          <w:trHeight w:val="630"/>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541360</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Geophysical surveying and mapping</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2</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541370</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Surveying and Mapping</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BB31B8">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101</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541380</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Testing Laboratories</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EC517B">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32</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541430</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Graphic Design</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4</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63</w:t>
            </w:r>
          </w:p>
        </w:tc>
      </w:tr>
      <w:tr w:rsidR="00044992" w:rsidRPr="00CD7BE4" w:rsidTr="00A80B08">
        <w:trPr>
          <w:cantSplit/>
          <w:trHeight w:val="94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FFFFFF"/>
                <w:sz w:val="22"/>
                <w:szCs w:val="22"/>
              </w:rPr>
            </w:pPr>
            <w:r w:rsidRPr="00CD7BE4">
              <w:rPr>
                <w:color w:val="FFFFFF"/>
                <w:sz w:val="22"/>
                <w:szCs w:val="22"/>
              </w:rPr>
              <w:t>541611</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Administrative management/general management</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986C0E">
            <w:pPr>
              <w:rPr>
                <w:b/>
                <w:color w:val="000000"/>
                <w:sz w:val="22"/>
                <w:szCs w:val="22"/>
              </w:rPr>
            </w:pPr>
            <w:r w:rsidRPr="00CD7BE4">
              <w:rPr>
                <w:b/>
                <w:color w:val="000000"/>
                <w:sz w:val="22"/>
                <w:szCs w:val="22"/>
              </w:rPr>
              <w:t>1</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239</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541613</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Marketing Consulting</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986C0E">
            <w:pPr>
              <w:rPr>
                <w:b/>
                <w:bCs/>
                <w:color w:val="000000"/>
                <w:sz w:val="22"/>
                <w:szCs w:val="22"/>
              </w:rPr>
            </w:pPr>
            <w:r w:rsidRPr="00CD7BE4">
              <w:rPr>
                <w:b/>
                <w:bCs/>
                <w:color w:val="000000"/>
                <w:sz w:val="22"/>
                <w:szCs w:val="22"/>
              </w:rPr>
              <w:t>3</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120</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541620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sz w:val="22"/>
                <w:szCs w:val="22"/>
              </w:rPr>
            </w:pPr>
            <w:r w:rsidRPr="00CD7BE4">
              <w:rPr>
                <w:sz w:val="22"/>
                <w:szCs w:val="22"/>
              </w:rPr>
              <w:t>Environmental Consulting</w:t>
            </w:r>
          </w:p>
        </w:tc>
        <w:tc>
          <w:tcPr>
            <w:tcW w:w="1760" w:type="dxa"/>
            <w:tcBorders>
              <w:top w:val="nil"/>
              <w:left w:val="nil"/>
              <w:bottom w:val="single" w:sz="4" w:space="0" w:color="auto"/>
              <w:right w:val="single" w:sz="4" w:space="0" w:color="auto"/>
            </w:tcBorders>
            <w:shd w:val="clear" w:color="000000" w:fill="FFFFFF"/>
            <w:vAlign w:val="bottom"/>
          </w:tcPr>
          <w:p w:rsidR="00044992" w:rsidRPr="00CD7BE4" w:rsidRDefault="00BB31B8">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70</w:t>
            </w:r>
          </w:p>
        </w:tc>
      </w:tr>
      <w:tr w:rsidR="00044992" w:rsidRPr="00CD7BE4" w:rsidTr="00A80B08">
        <w:trPr>
          <w:cantSplit/>
          <w:trHeight w:val="94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541690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Other Scientific and Technical Consulting Services</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BB31B8">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72</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541820</w:t>
            </w:r>
          </w:p>
        </w:tc>
        <w:tc>
          <w:tcPr>
            <w:tcW w:w="260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color w:val="000000"/>
                <w:sz w:val="22"/>
                <w:szCs w:val="22"/>
              </w:rPr>
            </w:pPr>
            <w:r w:rsidRPr="00CD7BE4">
              <w:rPr>
                <w:color w:val="000000"/>
                <w:sz w:val="22"/>
                <w:szCs w:val="22"/>
              </w:rPr>
              <w:t>Public Relations Agencies</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EC517B">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auto" w:fill="auto"/>
            <w:vAlign w:val="bottom"/>
            <w:hideMark/>
          </w:tcPr>
          <w:p w:rsidR="00044992" w:rsidRPr="00CD7BE4" w:rsidRDefault="00044992">
            <w:pPr>
              <w:rPr>
                <w:b/>
                <w:bCs/>
                <w:color w:val="000000"/>
                <w:sz w:val="22"/>
                <w:szCs w:val="22"/>
              </w:rPr>
            </w:pPr>
            <w:r w:rsidRPr="00CD7BE4">
              <w:rPr>
                <w:b/>
                <w:bCs/>
                <w:color w:val="000000"/>
                <w:sz w:val="22"/>
                <w:szCs w:val="22"/>
              </w:rPr>
              <w:t>31</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561320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Temporary Help Services</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color w:val="000000"/>
                <w:sz w:val="22"/>
                <w:szCs w:val="22"/>
              </w:rPr>
            </w:pPr>
            <w:r w:rsidRPr="00CD7BE4">
              <w:rPr>
                <w:b/>
                <w:color w:val="000000"/>
                <w:sz w:val="22"/>
                <w:szCs w:val="22"/>
              </w:rPr>
              <w:t>4</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118</w:t>
            </w:r>
          </w:p>
        </w:tc>
      </w:tr>
      <w:tr w:rsidR="00044992" w:rsidRPr="00CD7BE4" w:rsidTr="00A80B08">
        <w:trPr>
          <w:cantSplit/>
          <w:trHeight w:val="630"/>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561720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Janitorial Services/Site Cleaning</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2</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350</w:t>
            </w:r>
          </w:p>
        </w:tc>
      </w:tr>
      <w:tr w:rsidR="00044992"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561730</w:t>
            </w:r>
          </w:p>
        </w:tc>
        <w:tc>
          <w:tcPr>
            <w:tcW w:w="260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color w:val="000000"/>
                <w:sz w:val="22"/>
                <w:szCs w:val="22"/>
              </w:rPr>
            </w:pPr>
            <w:r w:rsidRPr="00CD7BE4">
              <w:rPr>
                <w:color w:val="000000"/>
                <w:sz w:val="22"/>
                <w:szCs w:val="22"/>
              </w:rPr>
              <w:t>Landscaping</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EC517B">
            <w:pPr>
              <w:rPr>
                <w:b/>
                <w:bCs/>
                <w:color w:val="000000"/>
                <w:sz w:val="22"/>
                <w:szCs w:val="22"/>
              </w:rPr>
            </w:pPr>
            <w:r w:rsidRPr="00CD7BE4">
              <w:rPr>
                <w:b/>
                <w:bCs/>
                <w:color w:val="000000"/>
                <w:sz w:val="22"/>
                <w:szCs w:val="22"/>
              </w:rPr>
              <w:t>1</w:t>
            </w:r>
          </w:p>
        </w:tc>
        <w:tc>
          <w:tcPr>
            <w:tcW w:w="1760" w:type="dxa"/>
            <w:tcBorders>
              <w:top w:val="nil"/>
              <w:left w:val="nil"/>
              <w:bottom w:val="single" w:sz="4" w:space="0" w:color="auto"/>
              <w:right w:val="single" w:sz="4" w:space="0" w:color="auto"/>
            </w:tcBorders>
            <w:shd w:val="clear" w:color="000000" w:fill="FFFFFF"/>
            <w:vAlign w:val="bottom"/>
            <w:hideMark/>
          </w:tcPr>
          <w:p w:rsidR="00044992" w:rsidRPr="00CD7BE4" w:rsidRDefault="00044992">
            <w:pPr>
              <w:rPr>
                <w:b/>
                <w:bCs/>
                <w:color w:val="000000"/>
                <w:sz w:val="22"/>
                <w:szCs w:val="22"/>
              </w:rPr>
            </w:pPr>
            <w:r w:rsidRPr="00CD7BE4">
              <w:rPr>
                <w:b/>
                <w:bCs/>
                <w:color w:val="000000"/>
                <w:sz w:val="22"/>
                <w:szCs w:val="22"/>
              </w:rPr>
              <w:t>742</w:t>
            </w:r>
          </w:p>
        </w:tc>
      </w:tr>
      <w:tr w:rsidR="00A80B08" w:rsidRPr="00CD7BE4" w:rsidTr="00A80B08">
        <w:trPr>
          <w:cantSplit/>
          <w:trHeight w:val="315"/>
        </w:trPr>
        <w:tc>
          <w:tcPr>
            <w:tcW w:w="1760" w:type="dxa"/>
            <w:tcBorders>
              <w:top w:val="nil"/>
              <w:left w:val="single" w:sz="4" w:space="0" w:color="auto"/>
              <w:bottom w:val="single" w:sz="4" w:space="0" w:color="auto"/>
              <w:right w:val="single" w:sz="4" w:space="0" w:color="auto"/>
            </w:tcBorders>
            <w:shd w:val="clear" w:color="000000" w:fill="FFFFFF"/>
            <w:vAlign w:val="bottom"/>
          </w:tcPr>
          <w:p w:rsidR="00A80B08" w:rsidRPr="00CD7BE4" w:rsidRDefault="00A80B08">
            <w:pPr>
              <w:rPr>
                <w:color w:val="000000"/>
                <w:sz w:val="22"/>
                <w:szCs w:val="22"/>
              </w:rPr>
            </w:pPr>
          </w:p>
        </w:tc>
        <w:tc>
          <w:tcPr>
            <w:tcW w:w="2600" w:type="dxa"/>
            <w:tcBorders>
              <w:top w:val="nil"/>
              <w:left w:val="nil"/>
              <w:bottom w:val="single" w:sz="4" w:space="0" w:color="auto"/>
              <w:right w:val="single" w:sz="4" w:space="0" w:color="auto"/>
            </w:tcBorders>
            <w:shd w:val="clear" w:color="000000" w:fill="FFFFFF"/>
            <w:vAlign w:val="bottom"/>
          </w:tcPr>
          <w:p w:rsidR="00A80B08" w:rsidRPr="00CD7BE4" w:rsidRDefault="00A80B08">
            <w:pPr>
              <w:rPr>
                <w:b/>
                <w:color w:val="000000"/>
                <w:sz w:val="22"/>
                <w:szCs w:val="22"/>
              </w:rPr>
            </w:pPr>
            <w:r w:rsidRPr="00CD7BE4">
              <w:rPr>
                <w:b/>
                <w:color w:val="000000"/>
                <w:sz w:val="22"/>
                <w:szCs w:val="22"/>
              </w:rPr>
              <w:t>TOTALS</w:t>
            </w:r>
          </w:p>
        </w:tc>
        <w:tc>
          <w:tcPr>
            <w:tcW w:w="1760" w:type="dxa"/>
            <w:tcBorders>
              <w:top w:val="nil"/>
              <w:left w:val="nil"/>
              <w:bottom w:val="single" w:sz="4" w:space="0" w:color="auto"/>
              <w:right w:val="single" w:sz="4" w:space="0" w:color="auto"/>
            </w:tcBorders>
            <w:shd w:val="clear" w:color="000000" w:fill="FFFFFF"/>
            <w:vAlign w:val="bottom"/>
          </w:tcPr>
          <w:p w:rsidR="00A80B08" w:rsidRPr="00CD7BE4" w:rsidRDefault="000D3DDF">
            <w:pPr>
              <w:rPr>
                <w:b/>
                <w:bCs/>
                <w:color w:val="000000"/>
                <w:sz w:val="22"/>
                <w:szCs w:val="22"/>
              </w:rPr>
            </w:pPr>
            <w:r>
              <w:rPr>
                <w:b/>
                <w:bCs/>
                <w:color w:val="000000"/>
                <w:sz w:val="22"/>
                <w:szCs w:val="22"/>
              </w:rPr>
              <w:t>59</w:t>
            </w:r>
          </w:p>
        </w:tc>
        <w:tc>
          <w:tcPr>
            <w:tcW w:w="1760" w:type="dxa"/>
            <w:tcBorders>
              <w:top w:val="nil"/>
              <w:left w:val="nil"/>
              <w:bottom w:val="single" w:sz="4" w:space="0" w:color="auto"/>
              <w:right w:val="single" w:sz="4" w:space="0" w:color="auto"/>
            </w:tcBorders>
            <w:shd w:val="clear" w:color="000000" w:fill="FFFFFF"/>
            <w:vAlign w:val="bottom"/>
          </w:tcPr>
          <w:p w:rsidR="00A80B08" w:rsidRPr="00CD7BE4" w:rsidRDefault="000D3DDF">
            <w:pPr>
              <w:rPr>
                <w:b/>
                <w:bCs/>
                <w:color w:val="000000"/>
                <w:sz w:val="22"/>
                <w:szCs w:val="22"/>
              </w:rPr>
            </w:pPr>
            <w:r>
              <w:rPr>
                <w:b/>
                <w:bCs/>
                <w:color w:val="000000"/>
                <w:sz w:val="22"/>
                <w:szCs w:val="22"/>
              </w:rPr>
              <w:t>3901</w:t>
            </w:r>
          </w:p>
        </w:tc>
      </w:tr>
      <w:tr w:rsidR="00044992" w:rsidRPr="00CD7BE4" w:rsidTr="00A80B08">
        <w:trPr>
          <w:cantSplit/>
          <w:trHeight w:val="300"/>
        </w:trPr>
        <w:tc>
          <w:tcPr>
            <w:tcW w:w="1760" w:type="dxa"/>
            <w:tcBorders>
              <w:top w:val="nil"/>
              <w:left w:val="nil"/>
              <w:bottom w:val="nil"/>
              <w:right w:val="nil"/>
            </w:tcBorders>
            <w:shd w:val="clear" w:color="auto" w:fill="auto"/>
            <w:noWrap/>
            <w:vAlign w:val="bottom"/>
            <w:hideMark/>
          </w:tcPr>
          <w:p w:rsidR="00044992" w:rsidRPr="00A320C3" w:rsidRDefault="00A320C3">
            <w:pPr>
              <w:rPr>
                <w:b/>
                <w:bCs/>
                <w:color w:val="000000"/>
                <w:sz w:val="16"/>
                <w:szCs w:val="16"/>
              </w:rPr>
            </w:pPr>
            <w:r>
              <w:rPr>
                <w:b/>
                <w:bCs/>
                <w:color w:val="000000"/>
                <w:sz w:val="16"/>
                <w:szCs w:val="16"/>
              </w:rPr>
              <w:t>Figure 2</w:t>
            </w:r>
          </w:p>
        </w:tc>
        <w:tc>
          <w:tcPr>
            <w:tcW w:w="2600" w:type="dxa"/>
            <w:tcBorders>
              <w:top w:val="nil"/>
              <w:left w:val="nil"/>
              <w:bottom w:val="nil"/>
              <w:right w:val="nil"/>
            </w:tcBorders>
            <w:shd w:val="clear" w:color="auto" w:fill="auto"/>
            <w:noWrap/>
            <w:vAlign w:val="bottom"/>
            <w:hideMark/>
          </w:tcPr>
          <w:p w:rsidR="00044992" w:rsidRPr="00CD7BE4" w:rsidRDefault="00044992">
            <w:pPr>
              <w:rPr>
                <w:sz w:val="22"/>
                <w:szCs w:val="22"/>
              </w:rPr>
            </w:pPr>
          </w:p>
        </w:tc>
        <w:tc>
          <w:tcPr>
            <w:tcW w:w="1760" w:type="dxa"/>
            <w:tcBorders>
              <w:top w:val="nil"/>
              <w:left w:val="nil"/>
              <w:bottom w:val="nil"/>
              <w:right w:val="nil"/>
            </w:tcBorders>
            <w:shd w:val="clear" w:color="auto" w:fill="auto"/>
            <w:noWrap/>
            <w:vAlign w:val="bottom"/>
            <w:hideMark/>
          </w:tcPr>
          <w:p w:rsidR="00044992" w:rsidRPr="00CD7BE4" w:rsidRDefault="00044992">
            <w:pPr>
              <w:jc w:val="right"/>
              <w:rPr>
                <w:color w:val="000000"/>
                <w:sz w:val="22"/>
                <w:szCs w:val="22"/>
              </w:rPr>
            </w:pPr>
          </w:p>
        </w:tc>
        <w:tc>
          <w:tcPr>
            <w:tcW w:w="1760" w:type="dxa"/>
            <w:tcBorders>
              <w:top w:val="nil"/>
              <w:left w:val="nil"/>
              <w:bottom w:val="nil"/>
              <w:right w:val="nil"/>
            </w:tcBorders>
            <w:shd w:val="clear" w:color="auto" w:fill="auto"/>
            <w:noWrap/>
            <w:vAlign w:val="bottom"/>
            <w:hideMark/>
          </w:tcPr>
          <w:p w:rsidR="00044992" w:rsidRPr="00CD7BE4" w:rsidRDefault="00044992">
            <w:pPr>
              <w:jc w:val="right"/>
              <w:rPr>
                <w:color w:val="000000"/>
                <w:sz w:val="22"/>
                <w:szCs w:val="22"/>
              </w:rPr>
            </w:pPr>
          </w:p>
        </w:tc>
      </w:tr>
      <w:tr w:rsidR="00044992" w:rsidRPr="00CD7BE4" w:rsidTr="00A80B08">
        <w:trPr>
          <w:cantSplit/>
          <w:trHeight w:val="300"/>
        </w:trPr>
        <w:tc>
          <w:tcPr>
            <w:tcW w:w="1760" w:type="dxa"/>
            <w:tcBorders>
              <w:top w:val="nil"/>
              <w:left w:val="nil"/>
              <w:bottom w:val="nil"/>
              <w:right w:val="nil"/>
            </w:tcBorders>
            <w:shd w:val="clear" w:color="auto" w:fill="auto"/>
            <w:noWrap/>
            <w:vAlign w:val="bottom"/>
          </w:tcPr>
          <w:p w:rsidR="00044992" w:rsidRPr="00CD7BE4" w:rsidRDefault="00044992">
            <w:pPr>
              <w:jc w:val="right"/>
              <w:rPr>
                <w:color w:val="000000"/>
                <w:sz w:val="22"/>
                <w:szCs w:val="22"/>
              </w:rPr>
            </w:pPr>
          </w:p>
        </w:tc>
        <w:tc>
          <w:tcPr>
            <w:tcW w:w="2600" w:type="dxa"/>
            <w:tcBorders>
              <w:top w:val="nil"/>
              <w:left w:val="nil"/>
              <w:bottom w:val="nil"/>
              <w:right w:val="nil"/>
            </w:tcBorders>
            <w:shd w:val="clear" w:color="auto" w:fill="auto"/>
            <w:noWrap/>
            <w:vAlign w:val="bottom"/>
            <w:hideMark/>
          </w:tcPr>
          <w:p w:rsidR="00044992" w:rsidRPr="00CD7BE4" w:rsidRDefault="00044992">
            <w:pPr>
              <w:rPr>
                <w:sz w:val="22"/>
                <w:szCs w:val="22"/>
              </w:rPr>
            </w:pPr>
          </w:p>
        </w:tc>
        <w:tc>
          <w:tcPr>
            <w:tcW w:w="1760" w:type="dxa"/>
            <w:tcBorders>
              <w:top w:val="nil"/>
              <w:left w:val="nil"/>
              <w:bottom w:val="nil"/>
              <w:right w:val="nil"/>
            </w:tcBorders>
            <w:shd w:val="clear" w:color="auto" w:fill="auto"/>
            <w:noWrap/>
            <w:vAlign w:val="bottom"/>
            <w:hideMark/>
          </w:tcPr>
          <w:p w:rsidR="00044992" w:rsidRPr="00CD7BE4" w:rsidRDefault="00044992">
            <w:pPr>
              <w:rPr>
                <w:sz w:val="22"/>
                <w:szCs w:val="22"/>
              </w:rPr>
            </w:pPr>
          </w:p>
        </w:tc>
        <w:tc>
          <w:tcPr>
            <w:tcW w:w="1760" w:type="dxa"/>
            <w:tcBorders>
              <w:top w:val="nil"/>
              <w:left w:val="nil"/>
              <w:bottom w:val="nil"/>
              <w:right w:val="nil"/>
            </w:tcBorders>
            <w:shd w:val="clear" w:color="auto" w:fill="auto"/>
            <w:noWrap/>
            <w:vAlign w:val="bottom"/>
            <w:hideMark/>
          </w:tcPr>
          <w:p w:rsidR="00044992" w:rsidRPr="00CD7BE4" w:rsidRDefault="00044992">
            <w:pPr>
              <w:jc w:val="right"/>
              <w:rPr>
                <w:color w:val="000000"/>
                <w:sz w:val="22"/>
                <w:szCs w:val="22"/>
              </w:rPr>
            </w:pPr>
          </w:p>
        </w:tc>
      </w:tr>
    </w:tbl>
    <w:p w:rsidR="00986C0E" w:rsidRPr="00A620B8" w:rsidRDefault="00A620B8" w:rsidP="00846ABF">
      <w:pPr>
        <w:autoSpaceDE w:val="0"/>
        <w:autoSpaceDN w:val="0"/>
        <w:adjustRightInd w:val="0"/>
      </w:pPr>
      <w:r>
        <w:t xml:space="preserve">The </w:t>
      </w:r>
      <w:r w:rsidRPr="000E38BB">
        <w:rPr>
          <w:b/>
        </w:rPr>
        <w:t>base figure</w:t>
      </w:r>
      <w:r>
        <w:t xml:space="preserve"> for the relative availability of DBEs in MaineDOT GMA was derived by dividing the number of DBEs by the number of all businesses in the corresponding NAICS codes</w:t>
      </w:r>
      <w:r w:rsidR="00A320C3">
        <w:t xml:space="preserve"> </w:t>
      </w:r>
      <w:r w:rsidR="00C04E2E">
        <w:t xml:space="preserve">as </w:t>
      </w:r>
      <w:r w:rsidR="00A320C3">
        <w:t xml:space="preserve">shown in </w:t>
      </w:r>
      <w:r w:rsidR="00A320C3">
        <w:rPr>
          <w:b/>
        </w:rPr>
        <w:t>Figure 2</w:t>
      </w:r>
      <w:r w:rsidR="00A320C3">
        <w:t>, above</w:t>
      </w:r>
      <w:r>
        <w:t>:</w:t>
      </w:r>
    </w:p>
    <w:p w:rsidR="00986C0E" w:rsidRDefault="00986C0E" w:rsidP="00846ABF">
      <w:pPr>
        <w:autoSpaceDE w:val="0"/>
        <w:autoSpaceDN w:val="0"/>
        <w:adjustRightInd w:val="0"/>
        <w:rPr>
          <w:b/>
          <w:u w:val="single"/>
        </w:rPr>
      </w:pPr>
    </w:p>
    <w:p w:rsidR="00C70E81" w:rsidRPr="004E317A" w:rsidRDefault="004E1672" w:rsidP="00846ABF">
      <w:pPr>
        <w:autoSpaceDE w:val="0"/>
        <w:autoSpaceDN w:val="0"/>
        <w:adjustRightInd w:val="0"/>
        <w:rPr>
          <w:rFonts w:ascii="Cambria Math" w:hAnsi="Cambria Math"/>
          <w:oMath/>
        </w:rPr>
      </w:pPr>
      <m:oMathPara>
        <m:oMathParaPr>
          <m:jc m:val="center"/>
        </m:oMathParaPr>
        <m:oMath>
          <m:r>
            <m:rPr>
              <m:sty m:val="bi"/>
            </m:rPr>
            <w:rPr>
              <w:rFonts w:ascii="Cambria Math" w:hAnsi="Cambria Math"/>
              <w:u w:val="single"/>
            </w:rPr>
            <m:t>95(59 total DBE firms + 36 potential DBE firms)</m:t>
          </m:r>
          <m:r>
            <m:rPr>
              <m:sty m:val="bi"/>
            </m:rPr>
            <w:rPr>
              <w:rFonts w:ascii="Cambria Math" w:hAnsi="Cambria Math"/>
            </w:rPr>
            <m:t xml:space="preserve"> = 2.40%</m:t>
          </m:r>
        </m:oMath>
      </m:oMathPara>
    </w:p>
    <w:p w:rsidR="00C70E81" w:rsidRPr="004E317A" w:rsidRDefault="00A80B08" w:rsidP="00846ABF">
      <w:pPr>
        <w:autoSpaceDE w:val="0"/>
        <w:autoSpaceDN w:val="0"/>
        <w:adjustRightInd w:val="0"/>
        <w:rPr>
          <w:rFonts w:ascii="Cambria Math" w:hAnsi="Cambria Math"/>
          <w:oMath/>
        </w:rPr>
      </w:pPr>
      <m:oMathPara>
        <m:oMathParaPr>
          <m:jc m:val="center"/>
        </m:oMathParaPr>
        <m:oMath>
          <m:r>
            <m:rPr>
              <m:sty m:val="bi"/>
            </m:rPr>
            <w:rPr>
              <w:rFonts w:ascii="Cambria Math" w:hAnsi="Cambria Math"/>
            </w:rPr>
            <m:t xml:space="preserve">        3901 (CBP data all firms)</m:t>
          </m:r>
        </m:oMath>
      </m:oMathPara>
    </w:p>
    <w:p w:rsidR="00A620B8" w:rsidRDefault="00A620B8" w:rsidP="00846ABF">
      <w:pPr>
        <w:autoSpaceDE w:val="0"/>
        <w:autoSpaceDN w:val="0"/>
        <w:adjustRightInd w:val="0"/>
        <w:rPr>
          <w:b/>
          <w:u w:val="single"/>
        </w:rPr>
      </w:pPr>
    </w:p>
    <w:p w:rsidR="00A4640D" w:rsidRDefault="00A4640D" w:rsidP="00846ABF">
      <w:pPr>
        <w:autoSpaceDE w:val="0"/>
        <w:autoSpaceDN w:val="0"/>
        <w:adjustRightInd w:val="0"/>
        <w:rPr>
          <w:b/>
          <w:u w:val="single"/>
        </w:rPr>
      </w:pPr>
      <w:r w:rsidRPr="00A4640D">
        <w:rPr>
          <w:b/>
          <w:u w:val="single"/>
        </w:rPr>
        <w:t>Other Methods Considered</w:t>
      </w:r>
    </w:p>
    <w:p w:rsidR="00EB4ECA" w:rsidRDefault="00EB4ECA" w:rsidP="00846ABF">
      <w:pPr>
        <w:autoSpaceDE w:val="0"/>
        <w:autoSpaceDN w:val="0"/>
        <w:adjustRightInd w:val="0"/>
        <w:rPr>
          <w:b/>
          <w:u w:val="single"/>
        </w:rPr>
      </w:pPr>
    </w:p>
    <w:p w:rsidR="00EB4ECA" w:rsidRDefault="00EB4ECA" w:rsidP="00846ABF">
      <w:pPr>
        <w:autoSpaceDE w:val="0"/>
        <w:autoSpaceDN w:val="0"/>
        <w:adjustRightInd w:val="0"/>
        <w:rPr>
          <w:b/>
          <w:i/>
        </w:rPr>
      </w:pPr>
      <w:r>
        <w:rPr>
          <w:b/>
          <w:i/>
        </w:rPr>
        <w:t>Weighting by Work Type</w:t>
      </w:r>
    </w:p>
    <w:p w:rsidR="00EB4ECA" w:rsidRDefault="00EB4ECA" w:rsidP="00846ABF">
      <w:pPr>
        <w:autoSpaceDE w:val="0"/>
        <w:autoSpaceDN w:val="0"/>
        <w:adjustRightInd w:val="0"/>
        <w:rPr>
          <w:b/>
          <w:i/>
        </w:rPr>
      </w:pPr>
    </w:p>
    <w:p w:rsidR="00EB4ECA" w:rsidRPr="00EB4ECA" w:rsidRDefault="000E38BB" w:rsidP="00846ABF">
      <w:pPr>
        <w:autoSpaceDE w:val="0"/>
        <w:autoSpaceDN w:val="0"/>
        <w:adjustRightInd w:val="0"/>
      </w:pPr>
      <w:r>
        <w:t xml:space="preserve">MaineDOT acknowledges that weighting by work type may help ensure that our goal calculation figure is accurate because it </w:t>
      </w:r>
      <w:r w:rsidR="005150F8">
        <w:t xml:space="preserve">would reveal a base figure that reflects the proportion of dollars </w:t>
      </w:r>
      <w:r w:rsidR="000D3DDF">
        <w:t xml:space="preserve">to be </w:t>
      </w:r>
      <w:r w:rsidR="005150F8">
        <w:t>spent within each industry</w:t>
      </w:r>
      <w:r>
        <w:t xml:space="preserve"> </w:t>
      </w:r>
      <w:r w:rsidR="005150F8">
        <w:t xml:space="preserve">to the total contract dollars </w:t>
      </w:r>
      <w:r w:rsidR="000D3DDF">
        <w:t xml:space="preserve">to be </w:t>
      </w:r>
      <w:r w:rsidR="005150F8">
        <w:t>spent</w:t>
      </w:r>
      <w:r w:rsidR="00C7469D">
        <w:t>; however,</w:t>
      </w:r>
      <w:r w:rsidR="005150F8">
        <w:t xml:space="preserve"> we do not </w:t>
      </w:r>
      <w:r w:rsidR="00AB7011">
        <w:t xml:space="preserve">currently </w:t>
      </w:r>
      <w:r w:rsidR="005150F8">
        <w:t xml:space="preserve">have data available to show the proportion of dollars anticipated to be </w:t>
      </w:r>
      <w:r w:rsidR="00471C62">
        <w:t>expended</w:t>
      </w:r>
      <w:r w:rsidR="005150F8">
        <w:t xml:space="preserve"> on specific industries for </w:t>
      </w:r>
      <w:r w:rsidR="00C7469D">
        <w:t>our</w:t>
      </w:r>
      <w:r w:rsidR="005150F8">
        <w:t xml:space="preserve"> federally funded projects.  </w:t>
      </w:r>
      <w:r w:rsidR="00001EF8">
        <w:t>Consequently</w:t>
      </w:r>
      <w:r w:rsidR="005150F8">
        <w:t xml:space="preserve">, we do not use weighting. </w:t>
      </w:r>
      <w:r w:rsidR="00C7469D">
        <w:t xml:space="preserve">  Prior to preparing MaineDOT’s next DBE goal setting methodology in 2021, we </w:t>
      </w:r>
      <w:r w:rsidR="00001EF8">
        <w:t>hope to</w:t>
      </w:r>
      <w:r w:rsidR="00C7469D">
        <w:t xml:space="preserve"> work with our information technology office to develop a program that will assist the CRO in compiling sufficient dat</w:t>
      </w:r>
      <w:r w:rsidR="00471C62">
        <w:t>a</w:t>
      </w:r>
      <w:r w:rsidR="00C7469D">
        <w:t xml:space="preserve"> to weight the proportion of dollars expected to be spent on our upcoming projects by specific work types.</w:t>
      </w:r>
    </w:p>
    <w:p w:rsidR="00AB0595" w:rsidRPr="00A80B08" w:rsidRDefault="00AB0595" w:rsidP="00846ABF">
      <w:pPr>
        <w:autoSpaceDE w:val="0"/>
        <w:autoSpaceDN w:val="0"/>
        <w:adjustRightInd w:val="0"/>
        <w:rPr>
          <w:b/>
        </w:rPr>
      </w:pPr>
    </w:p>
    <w:p w:rsidR="00846ABF" w:rsidRDefault="00846ABF" w:rsidP="00846ABF">
      <w:pPr>
        <w:autoSpaceDE w:val="0"/>
        <w:autoSpaceDN w:val="0"/>
        <w:adjustRightInd w:val="0"/>
        <w:rPr>
          <w:b/>
          <w:i/>
        </w:rPr>
      </w:pPr>
      <w:r>
        <w:rPr>
          <w:b/>
          <w:i/>
        </w:rPr>
        <w:t>Bidders List</w:t>
      </w:r>
    </w:p>
    <w:p w:rsidR="00A4640D" w:rsidRDefault="00A4640D" w:rsidP="00846ABF">
      <w:pPr>
        <w:autoSpaceDE w:val="0"/>
        <w:autoSpaceDN w:val="0"/>
        <w:adjustRightInd w:val="0"/>
        <w:rPr>
          <w:b/>
          <w:i/>
        </w:rPr>
      </w:pPr>
    </w:p>
    <w:p w:rsidR="00846ABF" w:rsidRDefault="00846ABF" w:rsidP="00846ABF">
      <w:pPr>
        <w:autoSpaceDE w:val="0"/>
        <w:autoSpaceDN w:val="0"/>
        <w:adjustRightInd w:val="0"/>
      </w:pPr>
      <w:r>
        <w:t xml:space="preserve">In accordance with </w:t>
      </w:r>
      <w:r w:rsidR="00471C62">
        <w:t xml:space="preserve">the </w:t>
      </w:r>
      <w:r>
        <w:t>requirements of 49 CFR Part 26, MaineDO</w:t>
      </w:r>
      <w:r w:rsidR="00206047">
        <w:t>T</w:t>
      </w:r>
      <w:r>
        <w:t xml:space="preserve"> e-mailed all </w:t>
      </w:r>
      <w:r w:rsidR="00C7469D">
        <w:t>p</w:t>
      </w:r>
      <w:r>
        <w:t xml:space="preserve">rime </w:t>
      </w:r>
      <w:r w:rsidR="00C7469D">
        <w:t>c</w:t>
      </w:r>
      <w:r>
        <w:t xml:space="preserve">ontractors asking them to identify DBE and non-DBE firms that submitted quotes as subcontractors from April 1, </w:t>
      </w:r>
      <w:r w:rsidR="00AB0595">
        <w:t>2017</w:t>
      </w:r>
      <w:r w:rsidR="00C70E81">
        <w:t xml:space="preserve"> </w:t>
      </w:r>
      <w:r>
        <w:t xml:space="preserve">- </w:t>
      </w:r>
      <w:r w:rsidR="00CD2224">
        <w:t>March 31</w:t>
      </w:r>
      <w:r>
        <w:t>,</w:t>
      </w:r>
      <w:r w:rsidR="00AB0595">
        <w:t xml:space="preserve"> 2018</w:t>
      </w:r>
      <w:r>
        <w:t xml:space="preserve">.   </w:t>
      </w:r>
      <w:r w:rsidR="00C06CCF">
        <w:t xml:space="preserve">However, </w:t>
      </w:r>
      <w:r>
        <w:t xml:space="preserve">MaineDOT opts not to use this information because it does not reflect the real availability of DBE contractors. </w:t>
      </w:r>
    </w:p>
    <w:p w:rsidR="00846ABF" w:rsidRDefault="00FB302F" w:rsidP="00846ABF">
      <w:pPr>
        <w:autoSpaceDE w:val="0"/>
        <w:autoSpaceDN w:val="0"/>
        <w:adjustRightInd w:val="0"/>
      </w:pPr>
      <w:r>
        <w:t xml:space="preserve">Maine’s </w:t>
      </w:r>
      <w:r w:rsidR="00C06CCF">
        <w:t xml:space="preserve">short construction season requires that </w:t>
      </w:r>
      <w:r w:rsidR="00F448D7">
        <w:t xml:space="preserve">much of our highway </w:t>
      </w:r>
      <w:r w:rsidR="00846ABF">
        <w:t xml:space="preserve">work for the year must </w:t>
      </w:r>
      <w:r w:rsidR="00535ADF">
        <w:t xml:space="preserve">be performed within a </w:t>
      </w:r>
      <w:r w:rsidR="00846ABF">
        <w:t>5</w:t>
      </w:r>
      <w:r w:rsidR="004146DF">
        <w:t>-</w:t>
      </w:r>
      <w:r w:rsidR="00846ABF">
        <w:t>month time frame. This limits the capacity of smaller firms. Specialty work, like striping, guardrail and landscaping</w:t>
      </w:r>
      <w:r w:rsidR="00C06CCF">
        <w:t xml:space="preserve">, </w:t>
      </w:r>
      <w:r w:rsidR="00846ABF">
        <w:t>often happen</w:t>
      </w:r>
      <w:r w:rsidR="00C06CCF">
        <w:t>s</w:t>
      </w:r>
      <w:r w:rsidR="00846ABF">
        <w:t xml:space="preserve"> at the end of the season and must be done in a limited time for projects statewide.  Some of our smaller firms are in high demand and </w:t>
      </w:r>
      <w:r w:rsidR="00CA176E">
        <w:t xml:space="preserve">may </w:t>
      </w:r>
      <w:r w:rsidR="00846ABF">
        <w:t>refuse</w:t>
      </w:r>
      <w:r w:rsidR="00C06CCF">
        <w:t xml:space="preserve"> multiple</w:t>
      </w:r>
      <w:r w:rsidR="00CA176E">
        <w:t xml:space="preserve"> </w:t>
      </w:r>
      <w:r w:rsidR="00846ABF">
        <w:t xml:space="preserve">offers.  Expanding a small business is often a great challenge to owners who do not wish to take on the added employee responsibility. </w:t>
      </w:r>
      <w:r w:rsidR="00F448D7">
        <w:t xml:space="preserve">Maine’s large geographical area </w:t>
      </w:r>
      <w:r w:rsidR="00846ABF">
        <w:t>is also an issue, as smaller companies may find it difficult to mobilize long distance</w:t>
      </w:r>
      <w:r w:rsidR="00CA176E">
        <w:t>s</w:t>
      </w:r>
      <w:r w:rsidR="003B0511">
        <w:t xml:space="preserve"> for projects</w:t>
      </w:r>
      <w:r w:rsidR="00846ABF">
        <w:t xml:space="preserve">, but may bid on </w:t>
      </w:r>
      <w:r w:rsidR="003B0511">
        <w:t xml:space="preserve">the </w:t>
      </w:r>
      <w:r w:rsidR="00846ABF">
        <w:t>project</w:t>
      </w:r>
      <w:r w:rsidR="003B0511">
        <w:t>s</w:t>
      </w:r>
      <w:r w:rsidR="00846ABF">
        <w:t xml:space="preserve"> just to ensure that they are considered.  </w:t>
      </w:r>
    </w:p>
    <w:p w:rsidR="002B59E9" w:rsidRDefault="002B59E9" w:rsidP="00846ABF">
      <w:pPr>
        <w:autoSpaceDE w:val="0"/>
        <w:autoSpaceDN w:val="0"/>
        <w:adjustRightInd w:val="0"/>
      </w:pPr>
    </w:p>
    <w:p w:rsidR="00846ABF" w:rsidRDefault="00846ABF" w:rsidP="00846ABF">
      <w:pPr>
        <w:autoSpaceDE w:val="0"/>
        <w:autoSpaceDN w:val="0"/>
        <w:adjustRightInd w:val="0"/>
      </w:pPr>
      <w:r>
        <w:t>The difficulty in quantifying these concerns makes the Bidders List a poor measure of DBE attainment</w:t>
      </w:r>
      <w:r w:rsidR="00E25BBF">
        <w:t xml:space="preserve"> for MaineDOT</w:t>
      </w:r>
      <w:r>
        <w:t xml:space="preserve">. For </w:t>
      </w:r>
      <w:r w:rsidR="003B0511">
        <w:t xml:space="preserve">all </w:t>
      </w:r>
      <w:r>
        <w:t>these reasons</w:t>
      </w:r>
      <w:r w:rsidR="003B0511">
        <w:t>,</w:t>
      </w:r>
      <w:r>
        <w:t xml:space="preserve"> we choose not to use the Bidders List. </w:t>
      </w:r>
    </w:p>
    <w:p w:rsidR="00F81AAC" w:rsidRDefault="00F81AAC" w:rsidP="00846ABF">
      <w:pPr>
        <w:autoSpaceDE w:val="0"/>
        <w:autoSpaceDN w:val="0"/>
        <w:adjustRightInd w:val="0"/>
      </w:pPr>
    </w:p>
    <w:p w:rsidR="000D3DDF" w:rsidRDefault="000D3DDF" w:rsidP="00F81AAC">
      <w:pPr>
        <w:autoSpaceDE w:val="0"/>
        <w:autoSpaceDN w:val="0"/>
        <w:adjustRightInd w:val="0"/>
        <w:rPr>
          <w:b/>
          <w:i/>
        </w:rPr>
      </w:pPr>
    </w:p>
    <w:p w:rsidR="000D3DDF" w:rsidRDefault="000D3DDF" w:rsidP="00F81AAC">
      <w:pPr>
        <w:autoSpaceDE w:val="0"/>
        <w:autoSpaceDN w:val="0"/>
        <w:adjustRightInd w:val="0"/>
        <w:rPr>
          <w:b/>
          <w:i/>
        </w:rPr>
      </w:pPr>
    </w:p>
    <w:p w:rsidR="000D3DDF" w:rsidRDefault="000D3DDF" w:rsidP="00F81AAC">
      <w:pPr>
        <w:autoSpaceDE w:val="0"/>
        <w:autoSpaceDN w:val="0"/>
        <w:adjustRightInd w:val="0"/>
        <w:rPr>
          <w:b/>
          <w:i/>
        </w:rPr>
      </w:pPr>
    </w:p>
    <w:p w:rsidR="00F81AAC" w:rsidRDefault="00F81AAC" w:rsidP="00F81AAC">
      <w:pPr>
        <w:autoSpaceDE w:val="0"/>
        <w:autoSpaceDN w:val="0"/>
        <w:adjustRightInd w:val="0"/>
        <w:rPr>
          <w:b/>
          <w:i/>
        </w:rPr>
      </w:pPr>
      <w:r>
        <w:rPr>
          <w:b/>
          <w:i/>
        </w:rPr>
        <w:lastRenderedPageBreak/>
        <w:t>Disparity Studies</w:t>
      </w:r>
    </w:p>
    <w:p w:rsidR="00F81AAC" w:rsidRDefault="00F81AAC" w:rsidP="00F81AAC">
      <w:pPr>
        <w:autoSpaceDE w:val="0"/>
        <w:autoSpaceDN w:val="0"/>
        <w:adjustRightInd w:val="0"/>
        <w:rPr>
          <w:i/>
        </w:rPr>
      </w:pPr>
    </w:p>
    <w:p w:rsidR="00F81AAC" w:rsidRDefault="00F81AAC" w:rsidP="00F81AAC">
      <w:pPr>
        <w:autoSpaceDE w:val="0"/>
        <w:autoSpaceDN w:val="0"/>
        <w:adjustRightInd w:val="0"/>
      </w:pPr>
      <w:r>
        <w:t xml:space="preserve">MaineDOT has contacted major airports and Municipal Planning Organizations in the </w:t>
      </w:r>
      <w:r w:rsidR="00330477">
        <w:t>GMA</w:t>
      </w:r>
      <w:r>
        <w:t xml:space="preserve"> and found that no disparity studies exist for this area.  </w:t>
      </w:r>
    </w:p>
    <w:p w:rsidR="00540D3A" w:rsidRDefault="00540D3A" w:rsidP="00F81AAC">
      <w:pPr>
        <w:autoSpaceDE w:val="0"/>
        <w:autoSpaceDN w:val="0"/>
        <w:adjustRightInd w:val="0"/>
      </w:pPr>
    </w:p>
    <w:p w:rsidR="00A471E5" w:rsidRDefault="009F4824" w:rsidP="00A471E5">
      <w:pPr>
        <w:autoSpaceDE w:val="0"/>
        <w:autoSpaceDN w:val="0"/>
        <w:adjustRightInd w:val="0"/>
        <w:rPr>
          <w:b/>
          <w:bCs/>
          <w:color w:val="000000"/>
          <w:u w:val="single"/>
        </w:rPr>
      </w:pPr>
      <w:r>
        <w:rPr>
          <w:b/>
          <w:bCs/>
          <w:color w:val="000000"/>
          <w:u w:val="single"/>
        </w:rPr>
        <w:t>St</w:t>
      </w:r>
      <w:r w:rsidR="00A471E5" w:rsidRPr="00486289">
        <w:rPr>
          <w:b/>
          <w:bCs/>
          <w:color w:val="000000"/>
          <w:u w:val="single"/>
        </w:rPr>
        <w:t xml:space="preserve">ep 2 </w:t>
      </w:r>
      <w:r w:rsidR="00486289" w:rsidRPr="00486289">
        <w:rPr>
          <w:b/>
          <w:bCs/>
          <w:color w:val="000000"/>
          <w:u w:val="single"/>
        </w:rPr>
        <w:t>–</w:t>
      </w:r>
      <w:r w:rsidR="00A471E5" w:rsidRPr="00486289">
        <w:rPr>
          <w:b/>
          <w:bCs/>
          <w:color w:val="000000"/>
          <w:u w:val="single"/>
        </w:rPr>
        <w:t xml:space="preserve"> </w:t>
      </w:r>
      <w:r w:rsidR="00486289" w:rsidRPr="00486289">
        <w:rPr>
          <w:b/>
          <w:bCs/>
          <w:color w:val="000000"/>
          <w:u w:val="single"/>
        </w:rPr>
        <w:t xml:space="preserve">Adjustments </w:t>
      </w:r>
      <w:r w:rsidR="00A471E5" w:rsidRPr="00486289">
        <w:rPr>
          <w:b/>
          <w:bCs/>
          <w:color w:val="000000"/>
          <w:u w:val="single"/>
        </w:rPr>
        <w:t>to Goal</w:t>
      </w:r>
      <w:r w:rsidR="00486289" w:rsidRPr="00486289">
        <w:rPr>
          <w:b/>
          <w:bCs/>
          <w:color w:val="000000"/>
          <w:u w:val="single"/>
        </w:rPr>
        <w:t xml:space="preserve"> – Section 26.45(d)</w:t>
      </w:r>
      <w:r w:rsidR="00A471E5" w:rsidRPr="00486289">
        <w:rPr>
          <w:b/>
          <w:bCs/>
          <w:color w:val="000000"/>
          <w:u w:val="single"/>
        </w:rPr>
        <w:t xml:space="preserve">: </w:t>
      </w:r>
    </w:p>
    <w:p w:rsidR="00486289" w:rsidRDefault="00486289" w:rsidP="00A471E5">
      <w:pPr>
        <w:autoSpaceDE w:val="0"/>
        <w:autoSpaceDN w:val="0"/>
        <w:adjustRightInd w:val="0"/>
        <w:rPr>
          <w:b/>
          <w:bCs/>
          <w:color w:val="000000"/>
          <w:u w:val="single"/>
        </w:rPr>
      </w:pPr>
    </w:p>
    <w:p w:rsidR="00486289" w:rsidRPr="00486289" w:rsidRDefault="00486289" w:rsidP="00A471E5">
      <w:pPr>
        <w:autoSpaceDE w:val="0"/>
        <w:autoSpaceDN w:val="0"/>
        <w:adjustRightInd w:val="0"/>
        <w:rPr>
          <w:b/>
          <w:bCs/>
          <w:i/>
          <w:color w:val="000000"/>
        </w:rPr>
      </w:pPr>
      <w:r>
        <w:rPr>
          <w:b/>
          <w:bCs/>
          <w:i/>
          <w:color w:val="000000"/>
        </w:rPr>
        <w:t>Evidence Considered:</w:t>
      </w:r>
    </w:p>
    <w:p w:rsidR="002F0E40" w:rsidRPr="00486289" w:rsidRDefault="002F0E40" w:rsidP="00A471E5">
      <w:pPr>
        <w:autoSpaceDE w:val="0"/>
        <w:autoSpaceDN w:val="0"/>
        <w:adjustRightInd w:val="0"/>
        <w:rPr>
          <w:b/>
          <w:bCs/>
          <w:color w:val="000000"/>
          <w:u w:val="single"/>
        </w:rPr>
      </w:pPr>
    </w:p>
    <w:p w:rsidR="00FE7CF3" w:rsidRDefault="00FE7CF3" w:rsidP="00FE7CF3">
      <w:pPr>
        <w:autoSpaceDE w:val="0"/>
        <w:autoSpaceDN w:val="0"/>
        <w:adjustRightInd w:val="0"/>
        <w:rPr>
          <w:bCs/>
          <w:color w:val="000000"/>
        </w:rPr>
      </w:pPr>
      <w:r>
        <w:rPr>
          <w:bCs/>
          <w:color w:val="000000"/>
        </w:rPr>
        <w:t>Pursuant to 49 CFR 26.45 (5)(d)</w:t>
      </w:r>
      <w:r w:rsidR="003B0511">
        <w:rPr>
          <w:bCs/>
          <w:color w:val="000000"/>
        </w:rPr>
        <w:t>,</w:t>
      </w:r>
      <w:r>
        <w:rPr>
          <w:bCs/>
          <w:color w:val="000000"/>
        </w:rPr>
        <w:t xml:space="preserve"> MaineDOT </w:t>
      </w:r>
      <w:r w:rsidR="003B0511">
        <w:rPr>
          <w:bCs/>
          <w:color w:val="000000"/>
        </w:rPr>
        <w:t xml:space="preserve">staff </w:t>
      </w:r>
      <w:r>
        <w:rPr>
          <w:bCs/>
          <w:color w:val="000000"/>
        </w:rPr>
        <w:t xml:space="preserve">has examined all evidence available to determine what adjustments may be necessary to the base figure above. Based on this examination MaineDOT has determined that the base figure is sufficient to both encourage DBE participation and to </w:t>
      </w:r>
      <w:r w:rsidR="003B0511">
        <w:rPr>
          <w:bCs/>
          <w:color w:val="000000"/>
        </w:rPr>
        <w:t>take into account</w:t>
      </w:r>
      <w:r>
        <w:rPr>
          <w:bCs/>
          <w:color w:val="000000"/>
        </w:rPr>
        <w:t xml:space="preserve"> recent and future changes that </w:t>
      </w:r>
      <w:r w:rsidR="003B1809">
        <w:rPr>
          <w:bCs/>
          <w:color w:val="000000"/>
        </w:rPr>
        <w:t>might</w:t>
      </w:r>
      <w:r>
        <w:rPr>
          <w:bCs/>
          <w:color w:val="000000"/>
        </w:rPr>
        <w:t xml:space="preserve"> impact our attainment in the coming years. </w:t>
      </w:r>
    </w:p>
    <w:p w:rsidR="00FE7CF3" w:rsidRPr="00FE7CF3" w:rsidRDefault="00FE7CF3" w:rsidP="00FE7CF3">
      <w:pPr>
        <w:autoSpaceDE w:val="0"/>
        <w:autoSpaceDN w:val="0"/>
        <w:adjustRightInd w:val="0"/>
        <w:ind w:left="720"/>
        <w:rPr>
          <w:bCs/>
          <w:color w:val="000000"/>
        </w:rPr>
      </w:pPr>
    </w:p>
    <w:p w:rsidR="00A471E5" w:rsidRDefault="00486289" w:rsidP="006D3E52">
      <w:pPr>
        <w:autoSpaceDE w:val="0"/>
        <w:autoSpaceDN w:val="0"/>
        <w:adjustRightInd w:val="0"/>
        <w:rPr>
          <w:b/>
          <w:bCs/>
          <w:color w:val="000000"/>
        </w:rPr>
      </w:pPr>
      <w:r>
        <w:rPr>
          <w:b/>
          <w:bCs/>
          <w:color w:val="000000"/>
        </w:rPr>
        <w:t xml:space="preserve">1.  </w:t>
      </w:r>
      <w:r w:rsidR="005B1118">
        <w:rPr>
          <w:b/>
          <w:bCs/>
          <w:color w:val="000000"/>
        </w:rPr>
        <w:t xml:space="preserve">Median </w:t>
      </w:r>
      <w:r w:rsidR="0083630A" w:rsidRPr="002B59E9">
        <w:rPr>
          <w:b/>
          <w:bCs/>
          <w:color w:val="000000"/>
        </w:rPr>
        <w:t xml:space="preserve">Past </w:t>
      </w:r>
      <w:r w:rsidR="005B1118">
        <w:rPr>
          <w:b/>
          <w:bCs/>
          <w:color w:val="000000"/>
        </w:rPr>
        <w:t xml:space="preserve">DBE </w:t>
      </w:r>
      <w:r w:rsidR="0083630A" w:rsidRPr="002B59E9">
        <w:rPr>
          <w:b/>
          <w:bCs/>
          <w:color w:val="000000"/>
        </w:rPr>
        <w:t>P</w:t>
      </w:r>
      <w:r w:rsidR="00A471E5" w:rsidRPr="002B59E9">
        <w:rPr>
          <w:b/>
          <w:bCs/>
          <w:color w:val="000000"/>
        </w:rPr>
        <w:t>articipation</w:t>
      </w:r>
      <w:r w:rsidR="006D3E52" w:rsidRPr="002B59E9">
        <w:rPr>
          <w:b/>
          <w:bCs/>
          <w:color w:val="000000"/>
        </w:rPr>
        <w:t xml:space="preserve"> </w:t>
      </w:r>
    </w:p>
    <w:p w:rsidR="005B1118" w:rsidRPr="002B59E9" w:rsidRDefault="005B1118" w:rsidP="006D3E52">
      <w:pPr>
        <w:autoSpaceDE w:val="0"/>
        <w:autoSpaceDN w:val="0"/>
        <w:adjustRightInd w:val="0"/>
        <w:rPr>
          <w:b/>
          <w:bCs/>
          <w:color w:val="000000"/>
        </w:rPr>
      </w:pPr>
    </w:p>
    <w:p w:rsidR="00EB1CE6" w:rsidRDefault="003B0511" w:rsidP="006D3E52">
      <w:pPr>
        <w:autoSpaceDE w:val="0"/>
        <w:autoSpaceDN w:val="0"/>
        <w:adjustRightInd w:val="0"/>
      </w:pPr>
      <w:r>
        <w:t>MaineDOT has assessed</w:t>
      </w:r>
      <w:r w:rsidR="005950D8">
        <w:t xml:space="preserve"> participati</w:t>
      </w:r>
      <w:r>
        <w:t xml:space="preserve">on in our </w:t>
      </w:r>
      <w:r w:rsidR="00F81AAC">
        <w:t xml:space="preserve">DBE </w:t>
      </w:r>
      <w:r>
        <w:t xml:space="preserve">program for the past </w:t>
      </w:r>
      <w:r w:rsidR="0020099B">
        <w:t>5</w:t>
      </w:r>
      <w:r>
        <w:t xml:space="preserve"> FFY</w:t>
      </w:r>
      <w:r w:rsidR="005950D8">
        <w:t xml:space="preserve"> years.  That assessment provides a median attainment of </w:t>
      </w:r>
      <w:r w:rsidR="0020099B">
        <w:t>2.9</w:t>
      </w:r>
      <w:r w:rsidR="005950D8">
        <w:t>5 % (</w:t>
      </w:r>
      <w:r w:rsidR="005950D8" w:rsidRPr="002F0E40">
        <w:rPr>
          <w:b/>
        </w:rPr>
        <w:t xml:space="preserve">Figure </w:t>
      </w:r>
      <w:r w:rsidR="002F0E40" w:rsidRPr="002F0E40">
        <w:rPr>
          <w:b/>
        </w:rPr>
        <w:t>3</w:t>
      </w:r>
      <w:r w:rsidR="005950D8">
        <w:t>)</w:t>
      </w:r>
      <w:r w:rsidR="00E504C9">
        <w:t xml:space="preserve"> We believe that the median past participation attainment is similar enough to the base figure </w:t>
      </w:r>
      <w:r w:rsidR="007B644C">
        <w:t>to</w:t>
      </w:r>
      <w:r w:rsidR="00E504C9">
        <w:t xml:space="preserve"> not make an adjustment for past participation.</w:t>
      </w:r>
    </w:p>
    <w:p w:rsidR="0063018A" w:rsidRDefault="0063018A" w:rsidP="00EB1CE6">
      <w:pPr>
        <w:ind w:firstLine="360"/>
        <w:rPr>
          <w:b/>
          <w:bCs/>
          <w:color w:val="000000"/>
        </w:rPr>
      </w:pPr>
    </w:p>
    <w:p w:rsidR="00EB1CE6" w:rsidRDefault="00EB1CE6" w:rsidP="0063018A">
      <w:r>
        <w:t>Past Participation</w:t>
      </w:r>
    </w:p>
    <w:tbl>
      <w:tblPr>
        <w:tblStyle w:val="TableGrid"/>
        <w:tblW w:w="0" w:type="auto"/>
        <w:tblInd w:w="468" w:type="dxa"/>
        <w:tblLook w:val="04A0" w:firstRow="1" w:lastRow="0" w:firstColumn="1" w:lastColumn="0" w:noHBand="0" w:noVBand="1"/>
      </w:tblPr>
      <w:tblGrid>
        <w:gridCol w:w="3960"/>
        <w:gridCol w:w="4050"/>
      </w:tblGrid>
      <w:tr w:rsidR="00EB1CE6" w:rsidTr="007F2E38">
        <w:tc>
          <w:tcPr>
            <w:tcW w:w="3960" w:type="dxa"/>
          </w:tcPr>
          <w:p w:rsidR="00EB1CE6" w:rsidRDefault="00EB1CE6" w:rsidP="007F2E38">
            <w:r>
              <w:t xml:space="preserve">Year </w:t>
            </w:r>
          </w:p>
        </w:tc>
        <w:tc>
          <w:tcPr>
            <w:tcW w:w="4050" w:type="dxa"/>
          </w:tcPr>
          <w:p w:rsidR="00EB1CE6" w:rsidRDefault="00EB1CE6" w:rsidP="007F2E38">
            <w:r>
              <w:t>Attainment</w:t>
            </w:r>
          </w:p>
        </w:tc>
      </w:tr>
      <w:tr w:rsidR="00FB302F" w:rsidTr="007F2E38">
        <w:tc>
          <w:tcPr>
            <w:tcW w:w="3960" w:type="dxa"/>
          </w:tcPr>
          <w:p w:rsidR="00FB302F" w:rsidRDefault="00FB302F" w:rsidP="007F2E38">
            <w:r>
              <w:t>20</w:t>
            </w:r>
            <w:r w:rsidR="0020099B">
              <w:t>17</w:t>
            </w:r>
          </w:p>
        </w:tc>
        <w:tc>
          <w:tcPr>
            <w:tcW w:w="4050" w:type="dxa"/>
          </w:tcPr>
          <w:p w:rsidR="00FB302F" w:rsidRDefault="00FB302F" w:rsidP="007F2E38">
            <w:r>
              <w:t>2.</w:t>
            </w:r>
            <w:r w:rsidR="0020099B">
              <w:t>25%</w:t>
            </w:r>
          </w:p>
        </w:tc>
      </w:tr>
      <w:tr w:rsidR="00FB302F" w:rsidTr="007F2E38">
        <w:tc>
          <w:tcPr>
            <w:tcW w:w="3960" w:type="dxa"/>
          </w:tcPr>
          <w:p w:rsidR="00FB302F" w:rsidRDefault="00FB302F" w:rsidP="007F2E38">
            <w:r>
              <w:t>201</w:t>
            </w:r>
            <w:r w:rsidR="0020099B">
              <w:t>3</w:t>
            </w:r>
          </w:p>
        </w:tc>
        <w:tc>
          <w:tcPr>
            <w:tcW w:w="4050" w:type="dxa"/>
          </w:tcPr>
          <w:p w:rsidR="00FB302F" w:rsidRDefault="0020099B" w:rsidP="007F2E38">
            <w:r>
              <w:t>2.60%</w:t>
            </w:r>
          </w:p>
        </w:tc>
      </w:tr>
      <w:tr w:rsidR="00EB1CE6" w:rsidTr="007F2E38">
        <w:tc>
          <w:tcPr>
            <w:tcW w:w="3960" w:type="dxa"/>
          </w:tcPr>
          <w:p w:rsidR="00EB1CE6" w:rsidRDefault="00EB1CE6" w:rsidP="007F2E38">
            <w:r>
              <w:t>20</w:t>
            </w:r>
            <w:r w:rsidR="004146DF">
              <w:t>1</w:t>
            </w:r>
            <w:r w:rsidR="0020099B">
              <w:t>6</w:t>
            </w:r>
          </w:p>
        </w:tc>
        <w:tc>
          <w:tcPr>
            <w:tcW w:w="4050" w:type="dxa"/>
          </w:tcPr>
          <w:p w:rsidR="00EB1CE6" w:rsidRDefault="0020099B" w:rsidP="007F2E38">
            <w:r>
              <w:t>2.95</w:t>
            </w:r>
            <w:r w:rsidR="00FB302F">
              <w:t xml:space="preserve"> </w:t>
            </w:r>
            <w:r>
              <w:t>%</w:t>
            </w:r>
            <w:r w:rsidR="00FB302F">
              <w:t>(median)</w:t>
            </w:r>
          </w:p>
        </w:tc>
      </w:tr>
      <w:tr w:rsidR="00EB1CE6" w:rsidTr="007F2E38">
        <w:tc>
          <w:tcPr>
            <w:tcW w:w="3960" w:type="dxa"/>
          </w:tcPr>
          <w:p w:rsidR="00EB1CE6" w:rsidRDefault="00EB1CE6" w:rsidP="007F2E38">
            <w:r>
              <w:t>20</w:t>
            </w:r>
            <w:r w:rsidR="004146DF">
              <w:t>1</w:t>
            </w:r>
            <w:r w:rsidR="0020099B">
              <w:t>4</w:t>
            </w:r>
          </w:p>
        </w:tc>
        <w:tc>
          <w:tcPr>
            <w:tcW w:w="4050" w:type="dxa"/>
          </w:tcPr>
          <w:p w:rsidR="00EB1CE6" w:rsidRDefault="0020099B" w:rsidP="007F2E38">
            <w:r>
              <w:t>3.50</w:t>
            </w:r>
            <w:r w:rsidR="00EB1CE6">
              <w:t xml:space="preserve"> %</w:t>
            </w:r>
            <w:r w:rsidR="004146DF">
              <w:t xml:space="preserve"> </w:t>
            </w:r>
          </w:p>
        </w:tc>
      </w:tr>
      <w:tr w:rsidR="00EB1CE6" w:rsidTr="007F2E38">
        <w:tc>
          <w:tcPr>
            <w:tcW w:w="3960" w:type="dxa"/>
          </w:tcPr>
          <w:p w:rsidR="00EB1CE6" w:rsidRDefault="00EB1CE6" w:rsidP="007F2E38">
            <w:r>
              <w:t>20</w:t>
            </w:r>
            <w:r w:rsidR="004146DF">
              <w:t>1</w:t>
            </w:r>
            <w:r w:rsidR="0020099B">
              <w:t>5</w:t>
            </w:r>
          </w:p>
        </w:tc>
        <w:tc>
          <w:tcPr>
            <w:tcW w:w="4050" w:type="dxa"/>
          </w:tcPr>
          <w:p w:rsidR="00EB1CE6" w:rsidRDefault="0020099B" w:rsidP="007F2E38">
            <w:r>
              <w:t>5.19</w:t>
            </w:r>
            <w:r w:rsidR="00EB1CE6" w:rsidRPr="00D73424">
              <w:t xml:space="preserve"> %</w:t>
            </w:r>
            <w:r w:rsidR="00EB1CE6">
              <w:t xml:space="preserve"> </w:t>
            </w:r>
          </w:p>
        </w:tc>
      </w:tr>
    </w:tbl>
    <w:p w:rsidR="00EB1CE6" w:rsidRDefault="009F17BF" w:rsidP="006D3E52">
      <w:pPr>
        <w:autoSpaceDE w:val="0"/>
        <w:autoSpaceDN w:val="0"/>
        <w:adjustRightInd w:val="0"/>
        <w:rPr>
          <w:b/>
          <w:bCs/>
          <w:color w:val="000000"/>
          <w:sz w:val="16"/>
          <w:szCs w:val="16"/>
        </w:rPr>
      </w:pPr>
      <w:r>
        <w:rPr>
          <w:b/>
          <w:bCs/>
          <w:color w:val="000000"/>
        </w:rPr>
        <w:t xml:space="preserve">      </w:t>
      </w:r>
      <w:r w:rsidRPr="008D6F8F">
        <w:rPr>
          <w:b/>
          <w:bCs/>
          <w:color w:val="000000"/>
          <w:sz w:val="16"/>
          <w:szCs w:val="16"/>
        </w:rPr>
        <w:t>(Figure</w:t>
      </w:r>
      <w:r w:rsidR="002F0E40">
        <w:rPr>
          <w:b/>
          <w:bCs/>
          <w:color w:val="000000"/>
          <w:sz w:val="16"/>
          <w:szCs w:val="16"/>
        </w:rPr>
        <w:t xml:space="preserve"> 3</w:t>
      </w:r>
      <w:r w:rsidRPr="008D6F8F">
        <w:rPr>
          <w:b/>
          <w:bCs/>
          <w:color w:val="000000"/>
          <w:sz w:val="16"/>
          <w:szCs w:val="16"/>
        </w:rPr>
        <w:t>)</w:t>
      </w:r>
    </w:p>
    <w:p w:rsidR="00E504C9" w:rsidRDefault="00E504C9" w:rsidP="006D3E52">
      <w:pPr>
        <w:autoSpaceDE w:val="0"/>
        <w:autoSpaceDN w:val="0"/>
        <w:adjustRightInd w:val="0"/>
        <w:rPr>
          <w:b/>
          <w:bCs/>
          <w:color w:val="000000"/>
          <w:sz w:val="16"/>
          <w:szCs w:val="16"/>
        </w:rPr>
      </w:pPr>
    </w:p>
    <w:p w:rsidR="009F17BF" w:rsidRDefault="009F17BF" w:rsidP="009F17BF">
      <w:r>
        <w:t>We also assessed actual subcontract</w:t>
      </w:r>
      <w:r w:rsidR="003B0511">
        <w:t>ing</w:t>
      </w:r>
      <w:r>
        <w:t xml:space="preserve"> attainment and f</w:t>
      </w:r>
      <w:r w:rsidR="00882B4F">
        <w:t>ou</w:t>
      </w:r>
      <w:r>
        <w:t xml:space="preserve">nd that Maine prime contractors are making a good faith effort to hire DBE firms on our projects. In the past </w:t>
      </w:r>
      <w:r w:rsidR="00F56813">
        <w:t>five</w:t>
      </w:r>
      <w:r>
        <w:t xml:space="preserve"> fiscal years</w:t>
      </w:r>
      <w:r w:rsidR="003B0511">
        <w:t>,</w:t>
      </w:r>
      <w:r>
        <w:t xml:space="preserve"> Maine primes have hired</w:t>
      </w:r>
      <w:r w:rsidR="003B0511">
        <w:t xml:space="preserve"> DBE firms</w:t>
      </w:r>
      <w:r w:rsidR="00D73424">
        <w:t>, on average,</w:t>
      </w:r>
      <w:r w:rsidR="003B0511">
        <w:t xml:space="preserve"> for</w:t>
      </w:r>
      <w:r>
        <w:t xml:space="preserve"> </w:t>
      </w:r>
      <w:r w:rsidR="00D73424">
        <w:t xml:space="preserve">approximately 29% </w:t>
      </w:r>
      <w:r>
        <w:t>or more of their subc</w:t>
      </w:r>
      <w:r w:rsidR="00542957">
        <w:t>ontracting</w:t>
      </w:r>
      <w:r w:rsidR="003B0511">
        <w:t xml:space="preserve"> </w:t>
      </w:r>
      <w:r w:rsidR="00542957">
        <w:t>(</w:t>
      </w:r>
      <w:r w:rsidR="00542957" w:rsidRPr="005B1118">
        <w:rPr>
          <w:b/>
        </w:rPr>
        <w:t>Figure</w:t>
      </w:r>
      <w:r w:rsidR="00F177D0" w:rsidRPr="005B1118">
        <w:rPr>
          <w:b/>
        </w:rPr>
        <w:t xml:space="preserve"> </w:t>
      </w:r>
      <w:r w:rsidR="005B1118" w:rsidRPr="005B1118">
        <w:rPr>
          <w:b/>
        </w:rPr>
        <w:t>4</w:t>
      </w:r>
      <w:r>
        <w:t>)</w:t>
      </w:r>
      <w:r w:rsidR="00C0738F">
        <w:t>.</w:t>
      </w:r>
      <w:r>
        <w:t xml:space="preserve"> The issues around attainment relate more to the dollar value of subcontracts v</w:t>
      </w:r>
      <w:r w:rsidR="00790806">
        <w:t>ersus</w:t>
      </w:r>
      <w:r>
        <w:t xml:space="preserve"> the DBE community working on our contracts.  These firms are crucial to our project work; however, they are limited in their ability to produce large contract amounts. </w:t>
      </w:r>
    </w:p>
    <w:p w:rsidR="009F17BF" w:rsidRDefault="009F17BF" w:rsidP="009F17BF"/>
    <w:p w:rsidR="009F17BF" w:rsidRDefault="009F17BF" w:rsidP="009F17BF">
      <w:r>
        <w:t xml:space="preserve">Percentage of Subcontracts </w:t>
      </w:r>
    </w:p>
    <w:tbl>
      <w:tblPr>
        <w:tblStyle w:val="TableGrid"/>
        <w:tblW w:w="0" w:type="auto"/>
        <w:tblInd w:w="378" w:type="dxa"/>
        <w:tblLook w:val="04A0" w:firstRow="1" w:lastRow="0" w:firstColumn="1" w:lastColumn="0" w:noHBand="0" w:noVBand="1"/>
      </w:tblPr>
      <w:tblGrid>
        <w:gridCol w:w="890"/>
        <w:gridCol w:w="2639"/>
        <w:gridCol w:w="2583"/>
        <w:gridCol w:w="2140"/>
      </w:tblGrid>
      <w:tr w:rsidR="009F17BF" w:rsidTr="007F2E38">
        <w:tc>
          <w:tcPr>
            <w:tcW w:w="900" w:type="dxa"/>
          </w:tcPr>
          <w:p w:rsidR="009F17BF" w:rsidRDefault="009F17BF" w:rsidP="007F2E38">
            <w:r>
              <w:t>Year</w:t>
            </w:r>
          </w:p>
        </w:tc>
        <w:tc>
          <w:tcPr>
            <w:tcW w:w="2700" w:type="dxa"/>
          </w:tcPr>
          <w:p w:rsidR="009F17BF" w:rsidRDefault="009F17BF" w:rsidP="007F2E38">
            <w:r>
              <w:t xml:space="preserve">Number of Subcontracts </w:t>
            </w:r>
          </w:p>
        </w:tc>
        <w:tc>
          <w:tcPr>
            <w:tcW w:w="2664" w:type="dxa"/>
          </w:tcPr>
          <w:p w:rsidR="009F17BF" w:rsidRDefault="009F17BF" w:rsidP="007F2E38">
            <w:r>
              <w:t>Number of DBE Subs</w:t>
            </w:r>
          </w:p>
        </w:tc>
        <w:tc>
          <w:tcPr>
            <w:tcW w:w="2214" w:type="dxa"/>
          </w:tcPr>
          <w:p w:rsidR="009F17BF" w:rsidRDefault="009F17BF" w:rsidP="007F2E38">
            <w:r>
              <w:t>% of DBE</w:t>
            </w:r>
          </w:p>
        </w:tc>
      </w:tr>
      <w:tr w:rsidR="00790806" w:rsidTr="007F2E38">
        <w:tc>
          <w:tcPr>
            <w:tcW w:w="900" w:type="dxa"/>
          </w:tcPr>
          <w:p w:rsidR="00790806" w:rsidRDefault="00790806" w:rsidP="007F2E38">
            <w:r>
              <w:t>2013</w:t>
            </w:r>
          </w:p>
        </w:tc>
        <w:tc>
          <w:tcPr>
            <w:tcW w:w="2700" w:type="dxa"/>
          </w:tcPr>
          <w:p w:rsidR="00790806" w:rsidRDefault="00790806" w:rsidP="007F2E38">
            <w:r>
              <w:t>602</w:t>
            </w:r>
          </w:p>
        </w:tc>
        <w:tc>
          <w:tcPr>
            <w:tcW w:w="2664" w:type="dxa"/>
          </w:tcPr>
          <w:p w:rsidR="00790806" w:rsidRDefault="00790806" w:rsidP="007F2E38">
            <w:r>
              <w:t>250</w:t>
            </w:r>
          </w:p>
        </w:tc>
        <w:tc>
          <w:tcPr>
            <w:tcW w:w="2214" w:type="dxa"/>
          </w:tcPr>
          <w:p w:rsidR="00790806" w:rsidRDefault="00790806" w:rsidP="007F2E38">
            <w:r>
              <w:t>33%</w:t>
            </w:r>
          </w:p>
        </w:tc>
      </w:tr>
      <w:tr w:rsidR="00790806" w:rsidTr="007F2E38">
        <w:tc>
          <w:tcPr>
            <w:tcW w:w="900" w:type="dxa"/>
          </w:tcPr>
          <w:p w:rsidR="00790806" w:rsidRDefault="00790806" w:rsidP="007F2E38">
            <w:r>
              <w:t>2014</w:t>
            </w:r>
          </w:p>
        </w:tc>
        <w:tc>
          <w:tcPr>
            <w:tcW w:w="2700" w:type="dxa"/>
          </w:tcPr>
          <w:p w:rsidR="00790806" w:rsidRDefault="00790806" w:rsidP="007F2E38">
            <w:r>
              <w:t>577</w:t>
            </w:r>
          </w:p>
        </w:tc>
        <w:tc>
          <w:tcPr>
            <w:tcW w:w="2664" w:type="dxa"/>
          </w:tcPr>
          <w:p w:rsidR="00790806" w:rsidRDefault="00790806" w:rsidP="007F2E38">
            <w:r>
              <w:t>218</w:t>
            </w:r>
          </w:p>
        </w:tc>
        <w:tc>
          <w:tcPr>
            <w:tcW w:w="2214" w:type="dxa"/>
          </w:tcPr>
          <w:p w:rsidR="00790806" w:rsidRDefault="00790806" w:rsidP="007F2E38">
            <w:r>
              <w:t>23%</w:t>
            </w:r>
          </w:p>
        </w:tc>
      </w:tr>
      <w:tr w:rsidR="009F17BF" w:rsidTr="007F2E38">
        <w:tc>
          <w:tcPr>
            <w:tcW w:w="900" w:type="dxa"/>
          </w:tcPr>
          <w:p w:rsidR="009F17BF" w:rsidRDefault="009F17BF" w:rsidP="007F2E38">
            <w:r>
              <w:t>20</w:t>
            </w:r>
            <w:r w:rsidR="004146DF">
              <w:t>15</w:t>
            </w:r>
          </w:p>
        </w:tc>
        <w:tc>
          <w:tcPr>
            <w:tcW w:w="2700" w:type="dxa"/>
          </w:tcPr>
          <w:p w:rsidR="009F17BF" w:rsidRDefault="004146DF" w:rsidP="007F2E38">
            <w:r>
              <w:t>534</w:t>
            </w:r>
          </w:p>
        </w:tc>
        <w:tc>
          <w:tcPr>
            <w:tcW w:w="2664" w:type="dxa"/>
          </w:tcPr>
          <w:p w:rsidR="009F17BF" w:rsidRDefault="004146DF" w:rsidP="007F2E38">
            <w:r>
              <w:t>175</w:t>
            </w:r>
          </w:p>
        </w:tc>
        <w:tc>
          <w:tcPr>
            <w:tcW w:w="2214" w:type="dxa"/>
          </w:tcPr>
          <w:p w:rsidR="009F17BF" w:rsidRDefault="004146DF" w:rsidP="007F2E38">
            <w:r>
              <w:t>33</w:t>
            </w:r>
            <w:r w:rsidR="009F17BF">
              <w:t>%</w:t>
            </w:r>
          </w:p>
        </w:tc>
      </w:tr>
      <w:tr w:rsidR="009F17BF" w:rsidTr="007F2E38">
        <w:tc>
          <w:tcPr>
            <w:tcW w:w="900" w:type="dxa"/>
          </w:tcPr>
          <w:p w:rsidR="009F17BF" w:rsidRDefault="009F17BF" w:rsidP="007F2E38">
            <w:r>
              <w:t>20</w:t>
            </w:r>
            <w:r w:rsidR="004146DF">
              <w:t>16</w:t>
            </w:r>
          </w:p>
        </w:tc>
        <w:tc>
          <w:tcPr>
            <w:tcW w:w="2700" w:type="dxa"/>
          </w:tcPr>
          <w:p w:rsidR="009F17BF" w:rsidRDefault="004146DF" w:rsidP="007F2E38">
            <w:r>
              <w:t>605</w:t>
            </w:r>
          </w:p>
        </w:tc>
        <w:tc>
          <w:tcPr>
            <w:tcW w:w="2664" w:type="dxa"/>
          </w:tcPr>
          <w:p w:rsidR="009F17BF" w:rsidRDefault="007E540A" w:rsidP="007F2E38">
            <w:r>
              <w:t>138</w:t>
            </w:r>
          </w:p>
        </w:tc>
        <w:tc>
          <w:tcPr>
            <w:tcW w:w="2214" w:type="dxa"/>
          </w:tcPr>
          <w:p w:rsidR="009F17BF" w:rsidRDefault="007E540A" w:rsidP="007F2E38">
            <w:r>
              <w:t>23</w:t>
            </w:r>
            <w:r w:rsidR="009F17BF">
              <w:t>%</w:t>
            </w:r>
          </w:p>
        </w:tc>
      </w:tr>
      <w:tr w:rsidR="00FB302F" w:rsidTr="007F2E38">
        <w:tc>
          <w:tcPr>
            <w:tcW w:w="900" w:type="dxa"/>
          </w:tcPr>
          <w:p w:rsidR="00FB302F" w:rsidRDefault="00FB302F" w:rsidP="007F2E38">
            <w:r>
              <w:t>2017</w:t>
            </w:r>
          </w:p>
        </w:tc>
        <w:tc>
          <w:tcPr>
            <w:tcW w:w="2700" w:type="dxa"/>
          </w:tcPr>
          <w:p w:rsidR="00FB302F" w:rsidRDefault="00105229" w:rsidP="007F2E38">
            <w:r>
              <w:t>582</w:t>
            </w:r>
          </w:p>
        </w:tc>
        <w:tc>
          <w:tcPr>
            <w:tcW w:w="2664" w:type="dxa"/>
          </w:tcPr>
          <w:p w:rsidR="00FB302F" w:rsidRDefault="00105229" w:rsidP="007F2E38">
            <w:r>
              <w:t>182</w:t>
            </w:r>
          </w:p>
        </w:tc>
        <w:tc>
          <w:tcPr>
            <w:tcW w:w="2214" w:type="dxa"/>
          </w:tcPr>
          <w:p w:rsidR="00FB302F" w:rsidRDefault="00105229" w:rsidP="007F2E38">
            <w:r>
              <w:t>31%</w:t>
            </w:r>
          </w:p>
        </w:tc>
      </w:tr>
    </w:tbl>
    <w:p w:rsidR="009F17BF" w:rsidRDefault="009F17BF" w:rsidP="009F17BF">
      <w:pPr>
        <w:autoSpaceDE w:val="0"/>
        <w:autoSpaceDN w:val="0"/>
        <w:adjustRightInd w:val="0"/>
        <w:rPr>
          <w:color w:val="000000"/>
        </w:rPr>
      </w:pPr>
      <w:r w:rsidRPr="008D6F8F">
        <w:rPr>
          <w:b/>
          <w:sz w:val="16"/>
          <w:szCs w:val="16"/>
        </w:rPr>
        <w:t xml:space="preserve"> </w:t>
      </w:r>
      <w:r w:rsidR="008D6F8F">
        <w:rPr>
          <w:b/>
          <w:sz w:val="16"/>
          <w:szCs w:val="16"/>
        </w:rPr>
        <w:t xml:space="preserve">  </w:t>
      </w:r>
      <w:r w:rsidRPr="008D6F8F">
        <w:rPr>
          <w:b/>
          <w:sz w:val="16"/>
          <w:szCs w:val="16"/>
        </w:rPr>
        <w:t xml:space="preserve">  </w:t>
      </w:r>
      <w:r w:rsidR="00105229">
        <w:rPr>
          <w:b/>
          <w:sz w:val="16"/>
          <w:szCs w:val="16"/>
        </w:rPr>
        <w:t xml:space="preserve">(Figure </w:t>
      </w:r>
      <w:r w:rsidR="005B1118">
        <w:rPr>
          <w:b/>
          <w:sz w:val="16"/>
          <w:szCs w:val="16"/>
        </w:rPr>
        <w:t>4</w:t>
      </w:r>
      <w:r w:rsidR="00105229">
        <w:rPr>
          <w:b/>
          <w:sz w:val="16"/>
          <w:szCs w:val="16"/>
        </w:rPr>
        <w:t>)</w:t>
      </w:r>
    </w:p>
    <w:p w:rsidR="009F17BF" w:rsidRDefault="009F17BF" w:rsidP="006E1F44">
      <w:r>
        <w:lastRenderedPageBreak/>
        <w:t xml:space="preserve">In </w:t>
      </w:r>
      <w:r w:rsidR="002A78B7">
        <w:t xml:space="preserve">2014, </w:t>
      </w:r>
      <w:r>
        <w:t>201</w:t>
      </w:r>
      <w:r w:rsidR="00D73424">
        <w:t>5</w:t>
      </w:r>
      <w:r>
        <w:t xml:space="preserve"> and 201</w:t>
      </w:r>
      <w:r w:rsidR="00D73424">
        <w:t>6</w:t>
      </w:r>
      <w:r w:rsidR="002A78B7">
        <w:t>,</w:t>
      </w:r>
      <w:r>
        <w:t xml:space="preserve"> Maine</w:t>
      </w:r>
      <w:r w:rsidR="00D73424">
        <w:t>DOT</w:t>
      </w:r>
      <w:r>
        <w:t xml:space="preserve"> </w:t>
      </w:r>
      <w:r w:rsidR="00882B4F">
        <w:t>s</w:t>
      </w:r>
      <w:r>
        <w:t>ecure</w:t>
      </w:r>
      <w:r w:rsidR="00882B4F">
        <w:t>d</w:t>
      </w:r>
      <w:r>
        <w:t xml:space="preserve"> DBE prime contracts in amounts over $1 Million dollars (</w:t>
      </w:r>
      <w:r w:rsidRPr="00F56813">
        <w:rPr>
          <w:b/>
        </w:rPr>
        <w:t xml:space="preserve">Figure </w:t>
      </w:r>
      <w:r w:rsidR="005B1118" w:rsidRPr="00F56813">
        <w:rPr>
          <w:b/>
        </w:rPr>
        <w:t>5</w:t>
      </w:r>
      <w:r>
        <w:t xml:space="preserve">).  </w:t>
      </w:r>
    </w:p>
    <w:p w:rsidR="009F17BF" w:rsidRDefault="009F17BF" w:rsidP="009F17BF">
      <w:pPr>
        <w:ind w:left="360"/>
      </w:pPr>
    </w:p>
    <w:p w:rsidR="009F17BF" w:rsidRDefault="009F17BF" w:rsidP="009F17BF">
      <w:pPr>
        <w:ind w:left="360"/>
      </w:pPr>
      <w:r>
        <w:t>DBE Contracts over $1 Million</w:t>
      </w:r>
    </w:p>
    <w:tbl>
      <w:tblPr>
        <w:tblStyle w:val="TableGrid"/>
        <w:tblW w:w="0" w:type="auto"/>
        <w:tblInd w:w="378" w:type="dxa"/>
        <w:tblLook w:val="04A0" w:firstRow="1" w:lastRow="0" w:firstColumn="1" w:lastColumn="0" w:noHBand="0" w:noVBand="1"/>
      </w:tblPr>
      <w:tblGrid>
        <w:gridCol w:w="1579"/>
        <w:gridCol w:w="3782"/>
        <w:gridCol w:w="2891"/>
      </w:tblGrid>
      <w:tr w:rsidR="009F17BF" w:rsidTr="009F17BF">
        <w:tc>
          <w:tcPr>
            <w:tcW w:w="1620" w:type="dxa"/>
          </w:tcPr>
          <w:p w:rsidR="009F17BF" w:rsidRDefault="009F17BF" w:rsidP="007F2E38">
            <w:r>
              <w:t>Year</w:t>
            </w:r>
          </w:p>
        </w:tc>
        <w:tc>
          <w:tcPr>
            <w:tcW w:w="3906" w:type="dxa"/>
          </w:tcPr>
          <w:p w:rsidR="009F17BF" w:rsidRDefault="009F17BF" w:rsidP="007F2E38">
            <w:r>
              <w:t>Number of Contracts over $1M</w:t>
            </w:r>
          </w:p>
        </w:tc>
        <w:tc>
          <w:tcPr>
            <w:tcW w:w="2952" w:type="dxa"/>
          </w:tcPr>
          <w:p w:rsidR="009F17BF" w:rsidRDefault="009F17BF" w:rsidP="007F2E38">
            <w:r>
              <w:t>Total Amount(s)</w:t>
            </w:r>
          </w:p>
        </w:tc>
      </w:tr>
      <w:tr w:rsidR="002A78B7" w:rsidTr="009F17BF">
        <w:tc>
          <w:tcPr>
            <w:tcW w:w="1620" w:type="dxa"/>
          </w:tcPr>
          <w:p w:rsidR="002A78B7" w:rsidRDefault="002A78B7" w:rsidP="007F2E38">
            <w:r>
              <w:t>2013</w:t>
            </w:r>
          </w:p>
        </w:tc>
        <w:tc>
          <w:tcPr>
            <w:tcW w:w="3906" w:type="dxa"/>
          </w:tcPr>
          <w:p w:rsidR="002A78B7" w:rsidRDefault="002A78B7" w:rsidP="007F2E38">
            <w:r>
              <w:t>0</w:t>
            </w:r>
          </w:p>
        </w:tc>
        <w:tc>
          <w:tcPr>
            <w:tcW w:w="2952" w:type="dxa"/>
          </w:tcPr>
          <w:p w:rsidR="002A78B7" w:rsidRDefault="002A78B7" w:rsidP="007F2E38">
            <w:r>
              <w:t>0</w:t>
            </w:r>
          </w:p>
        </w:tc>
      </w:tr>
      <w:tr w:rsidR="002A78B7" w:rsidTr="009F17BF">
        <w:tc>
          <w:tcPr>
            <w:tcW w:w="1620" w:type="dxa"/>
          </w:tcPr>
          <w:p w:rsidR="002A78B7" w:rsidRDefault="002A78B7" w:rsidP="007F2E38">
            <w:r>
              <w:t>2014</w:t>
            </w:r>
          </w:p>
        </w:tc>
        <w:tc>
          <w:tcPr>
            <w:tcW w:w="3906" w:type="dxa"/>
          </w:tcPr>
          <w:p w:rsidR="002A78B7" w:rsidRDefault="002A78B7" w:rsidP="007F2E38">
            <w:r>
              <w:t>1</w:t>
            </w:r>
          </w:p>
        </w:tc>
        <w:tc>
          <w:tcPr>
            <w:tcW w:w="2952" w:type="dxa"/>
          </w:tcPr>
          <w:p w:rsidR="002A78B7" w:rsidRDefault="002A78B7" w:rsidP="007F2E38">
            <w:r>
              <w:t>$1,116,432.00</w:t>
            </w:r>
          </w:p>
        </w:tc>
      </w:tr>
      <w:tr w:rsidR="009F17BF" w:rsidTr="009F17BF">
        <w:tc>
          <w:tcPr>
            <w:tcW w:w="1620" w:type="dxa"/>
          </w:tcPr>
          <w:p w:rsidR="009F17BF" w:rsidRDefault="009F17BF" w:rsidP="007F2E38">
            <w:r>
              <w:t>20</w:t>
            </w:r>
            <w:r w:rsidR="007E540A">
              <w:t>15</w:t>
            </w:r>
          </w:p>
        </w:tc>
        <w:tc>
          <w:tcPr>
            <w:tcW w:w="3906" w:type="dxa"/>
          </w:tcPr>
          <w:p w:rsidR="009F17BF" w:rsidRDefault="009F17BF" w:rsidP="007F2E38">
            <w:r>
              <w:t>2</w:t>
            </w:r>
          </w:p>
        </w:tc>
        <w:tc>
          <w:tcPr>
            <w:tcW w:w="2952" w:type="dxa"/>
          </w:tcPr>
          <w:p w:rsidR="009F17BF" w:rsidRDefault="009F17BF" w:rsidP="007F2E38">
            <w:r>
              <w:t>$2</w:t>
            </w:r>
            <w:r w:rsidR="00D73424">
              <w:t>,</w:t>
            </w:r>
            <w:r w:rsidR="007E540A">
              <w:t>678,000</w:t>
            </w:r>
            <w:r>
              <w:t>.00</w:t>
            </w:r>
          </w:p>
        </w:tc>
      </w:tr>
      <w:tr w:rsidR="009F17BF" w:rsidTr="009F17BF">
        <w:tc>
          <w:tcPr>
            <w:tcW w:w="1620" w:type="dxa"/>
          </w:tcPr>
          <w:p w:rsidR="009F17BF" w:rsidRDefault="009F17BF" w:rsidP="007F2E38">
            <w:r>
              <w:t>20</w:t>
            </w:r>
            <w:r w:rsidR="007E540A">
              <w:t>16</w:t>
            </w:r>
          </w:p>
        </w:tc>
        <w:tc>
          <w:tcPr>
            <w:tcW w:w="3906" w:type="dxa"/>
          </w:tcPr>
          <w:p w:rsidR="009F17BF" w:rsidRDefault="007E540A" w:rsidP="007F2E38">
            <w:r>
              <w:t>2</w:t>
            </w:r>
          </w:p>
        </w:tc>
        <w:tc>
          <w:tcPr>
            <w:tcW w:w="2952" w:type="dxa"/>
          </w:tcPr>
          <w:p w:rsidR="009F17BF" w:rsidRDefault="007E540A" w:rsidP="007F2E38">
            <w:r>
              <w:t>$4,000,000.00</w:t>
            </w:r>
          </w:p>
        </w:tc>
      </w:tr>
      <w:tr w:rsidR="009F17BF" w:rsidTr="009F17BF">
        <w:tc>
          <w:tcPr>
            <w:tcW w:w="1620" w:type="dxa"/>
          </w:tcPr>
          <w:p w:rsidR="009F17BF" w:rsidRDefault="009F17BF" w:rsidP="007F2E38">
            <w:r>
              <w:t>20</w:t>
            </w:r>
            <w:r w:rsidR="007E540A">
              <w:t>17</w:t>
            </w:r>
          </w:p>
        </w:tc>
        <w:tc>
          <w:tcPr>
            <w:tcW w:w="3906" w:type="dxa"/>
          </w:tcPr>
          <w:p w:rsidR="009F17BF" w:rsidRDefault="00FB302F" w:rsidP="007F2E38">
            <w:r>
              <w:t>0</w:t>
            </w:r>
          </w:p>
        </w:tc>
        <w:tc>
          <w:tcPr>
            <w:tcW w:w="2952" w:type="dxa"/>
          </w:tcPr>
          <w:p w:rsidR="009F17BF" w:rsidRDefault="009F17BF" w:rsidP="007F2E38">
            <w:r>
              <w:t>$</w:t>
            </w:r>
            <w:r w:rsidR="00FB302F">
              <w:t>0</w:t>
            </w:r>
          </w:p>
        </w:tc>
      </w:tr>
    </w:tbl>
    <w:p w:rsidR="009F17BF" w:rsidRPr="00D11D0F" w:rsidRDefault="008D6F8F" w:rsidP="008D6F8F">
      <w:pPr>
        <w:rPr>
          <w:b/>
          <w:sz w:val="16"/>
          <w:szCs w:val="16"/>
        </w:rPr>
      </w:pPr>
      <w:r>
        <w:rPr>
          <w:b/>
          <w:sz w:val="16"/>
          <w:szCs w:val="16"/>
        </w:rPr>
        <w:t xml:space="preserve">      </w:t>
      </w:r>
      <w:r w:rsidR="009F17BF">
        <w:rPr>
          <w:b/>
          <w:sz w:val="16"/>
          <w:szCs w:val="16"/>
        </w:rPr>
        <w:t xml:space="preserve">(Figure </w:t>
      </w:r>
      <w:r w:rsidR="005B1118">
        <w:rPr>
          <w:b/>
          <w:sz w:val="16"/>
          <w:szCs w:val="16"/>
        </w:rPr>
        <w:t>5</w:t>
      </w:r>
      <w:r w:rsidR="009F17BF">
        <w:rPr>
          <w:b/>
          <w:sz w:val="16"/>
          <w:szCs w:val="16"/>
        </w:rPr>
        <w:t>)</w:t>
      </w:r>
    </w:p>
    <w:p w:rsidR="009F17BF" w:rsidRDefault="009F17BF" w:rsidP="009F17BF">
      <w:pPr>
        <w:ind w:left="360"/>
      </w:pPr>
    </w:p>
    <w:p w:rsidR="009F17BF" w:rsidRDefault="009F17BF" w:rsidP="006E1F44">
      <w:r w:rsidRPr="007B07CC">
        <w:t xml:space="preserve">With </w:t>
      </w:r>
      <w:r w:rsidR="007B644C" w:rsidRPr="007B07CC">
        <w:t>most</w:t>
      </w:r>
      <w:r>
        <w:t xml:space="preserve"> DBE firms being contracted as sub</w:t>
      </w:r>
      <w:r w:rsidR="00F56813">
        <w:t>contractors</w:t>
      </w:r>
      <w:r>
        <w:t>, if we look at the DBE commitments for sub</w:t>
      </w:r>
      <w:r w:rsidR="00F177D0">
        <w:t>contract</w:t>
      </w:r>
      <w:r>
        <w:t xml:space="preserve">s in dollar value we find that </w:t>
      </w:r>
      <w:r w:rsidR="00102363">
        <w:t>p</w:t>
      </w:r>
      <w:r>
        <w:t>rime contractors are se</w:t>
      </w:r>
      <w:r w:rsidR="007B07CC">
        <w:t xml:space="preserve">curing DBE firms at </w:t>
      </w:r>
      <w:r>
        <w:t>an average rate of 1</w:t>
      </w:r>
      <w:r w:rsidR="002A78B7">
        <w:t>5.4</w:t>
      </w:r>
      <w:r>
        <w:t>%</w:t>
      </w:r>
      <w:r w:rsidR="002A78B7">
        <w:t>.  The following shows the total race neutral DBE percentages for the last 5 fiscal years</w:t>
      </w:r>
      <w:r>
        <w:t xml:space="preserve"> (</w:t>
      </w:r>
      <w:r w:rsidRPr="00F56813">
        <w:rPr>
          <w:b/>
        </w:rPr>
        <w:t xml:space="preserve">Figure </w:t>
      </w:r>
      <w:r w:rsidR="005B1118" w:rsidRPr="00F56813">
        <w:rPr>
          <w:b/>
        </w:rPr>
        <w:t>6</w:t>
      </w:r>
      <w:r>
        <w:t xml:space="preserve">).  </w:t>
      </w:r>
      <w:r w:rsidR="00790806">
        <w:t xml:space="preserve"> </w:t>
      </w:r>
    </w:p>
    <w:p w:rsidR="009F17BF" w:rsidRDefault="009F17BF" w:rsidP="009F17BF"/>
    <w:p w:rsidR="009F17BF" w:rsidRDefault="009F17BF" w:rsidP="009F17BF">
      <w:pPr>
        <w:ind w:left="360"/>
      </w:pPr>
      <w:r>
        <w:t>Percentage of Subcontract dollars</w:t>
      </w:r>
    </w:p>
    <w:tbl>
      <w:tblPr>
        <w:tblStyle w:val="TableGrid"/>
        <w:tblW w:w="0" w:type="auto"/>
        <w:tblInd w:w="468" w:type="dxa"/>
        <w:tblLook w:val="04A0" w:firstRow="1" w:lastRow="0" w:firstColumn="1" w:lastColumn="0" w:noHBand="0" w:noVBand="1"/>
      </w:tblPr>
      <w:tblGrid>
        <w:gridCol w:w="810"/>
        <w:gridCol w:w="2700"/>
        <w:gridCol w:w="2700"/>
        <w:gridCol w:w="1800"/>
      </w:tblGrid>
      <w:tr w:rsidR="009F17BF" w:rsidTr="007F2E38">
        <w:tc>
          <w:tcPr>
            <w:tcW w:w="810" w:type="dxa"/>
          </w:tcPr>
          <w:p w:rsidR="009F17BF" w:rsidRDefault="009F17BF" w:rsidP="007F2E38">
            <w:r>
              <w:t>Year</w:t>
            </w:r>
          </w:p>
        </w:tc>
        <w:tc>
          <w:tcPr>
            <w:tcW w:w="2700" w:type="dxa"/>
          </w:tcPr>
          <w:p w:rsidR="009F17BF" w:rsidRDefault="009F17BF" w:rsidP="007F2E38">
            <w:r>
              <w:t>Total Subcontract dollars</w:t>
            </w:r>
          </w:p>
        </w:tc>
        <w:tc>
          <w:tcPr>
            <w:tcW w:w="2700" w:type="dxa"/>
          </w:tcPr>
          <w:p w:rsidR="009F17BF" w:rsidRDefault="009F17BF" w:rsidP="007F2E38">
            <w:r>
              <w:t>Total DBE Dollars</w:t>
            </w:r>
          </w:p>
        </w:tc>
        <w:tc>
          <w:tcPr>
            <w:tcW w:w="1800" w:type="dxa"/>
          </w:tcPr>
          <w:p w:rsidR="009F17BF" w:rsidRDefault="009F17BF" w:rsidP="007F2E38">
            <w:r>
              <w:t xml:space="preserve">% of DBE $ </w:t>
            </w:r>
          </w:p>
        </w:tc>
      </w:tr>
      <w:tr w:rsidR="002A78B7" w:rsidTr="007F2E38">
        <w:tc>
          <w:tcPr>
            <w:tcW w:w="810" w:type="dxa"/>
          </w:tcPr>
          <w:p w:rsidR="002A78B7" w:rsidRDefault="002A78B7" w:rsidP="007F2E38">
            <w:r>
              <w:t>2013</w:t>
            </w:r>
          </w:p>
        </w:tc>
        <w:tc>
          <w:tcPr>
            <w:tcW w:w="2700" w:type="dxa"/>
          </w:tcPr>
          <w:p w:rsidR="002A78B7" w:rsidRDefault="002A78B7" w:rsidP="007F2E38">
            <w:r>
              <w:t>$38,013,839.00</w:t>
            </w:r>
          </w:p>
        </w:tc>
        <w:tc>
          <w:tcPr>
            <w:tcW w:w="2700" w:type="dxa"/>
          </w:tcPr>
          <w:p w:rsidR="002A78B7" w:rsidRDefault="002A78B7" w:rsidP="007F2E38">
            <w:r>
              <w:t>$5,362,943.00</w:t>
            </w:r>
          </w:p>
        </w:tc>
        <w:tc>
          <w:tcPr>
            <w:tcW w:w="1800" w:type="dxa"/>
          </w:tcPr>
          <w:p w:rsidR="002A78B7" w:rsidRDefault="002A78B7" w:rsidP="007F2E38">
            <w:r>
              <w:t xml:space="preserve"> 14%</w:t>
            </w:r>
          </w:p>
        </w:tc>
      </w:tr>
      <w:tr w:rsidR="002A78B7" w:rsidTr="007F2E38">
        <w:tc>
          <w:tcPr>
            <w:tcW w:w="810" w:type="dxa"/>
          </w:tcPr>
          <w:p w:rsidR="002A78B7" w:rsidRDefault="002A78B7" w:rsidP="007F2E38">
            <w:r>
              <w:t>2014</w:t>
            </w:r>
          </w:p>
        </w:tc>
        <w:tc>
          <w:tcPr>
            <w:tcW w:w="2700" w:type="dxa"/>
          </w:tcPr>
          <w:p w:rsidR="002A78B7" w:rsidRDefault="002A78B7" w:rsidP="007F2E38">
            <w:r>
              <w:t>$31,315,688.00</w:t>
            </w:r>
          </w:p>
        </w:tc>
        <w:tc>
          <w:tcPr>
            <w:tcW w:w="2700" w:type="dxa"/>
          </w:tcPr>
          <w:p w:rsidR="002A78B7" w:rsidRDefault="002A78B7" w:rsidP="007F2E38">
            <w:r>
              <w:t>$5,067,780.00</w:t>
            </w:r>
          </w:p>
        </w:tc>
        <w:tc>
          <w:tcPr>
            <w:tcW w:w="1800" w:type="dxa"/>
          </w:tcPr>
          <w:p w:rsidR="002A78B7" w:rsidRDefault="002A78B7" w:rsidP="007F2E38">
            <w:r>
              <w:t xml:space="preserve"> 16%</w:t>
            </w:r>
          </w:p>
        </w:tc>
      </w:tr>
      <w:tr w:rsidR="009F17BF" w:rsidTr="007F2E38">
        <w:tc>
          <w:tcPr>
            <w:tcW w:w="810" w:type="dxa"/>
          </w:tcPr>
          <w:p w:rsidR="009F17BF" w:rsidRDefault="009F17BF" w:rsidP="007F2E38">
            <w:r>
              <w:t>201</w:t>
            </w:r>
            <w:r w:rsidR="007E540A">
              <w:t>5</w:t>
            </w:r>
          </w:p>
        </w:tc>
        <w:tc>
          <w:tcPr>
            <w:tcW w:w="2700" w:type="dxa"/>
          </w:tcPr>
          <w:p w:rsidR="009F17BF" w:rsidRDefault="009F17BF" w:rsidP="007F2E38">
            <w:r w:rsidRPr="00AA6D58">
              <w:t>$</w:t>
            </w:r>
            <w:r w:rsidR="007E540A">
              <w:t>41,199,669.00</w:t>
            </w:r>
          </w:p>
        </w:tc>
        <w:tc>
          <w:tcPr>
            <w:tcW w:w="2700" w:type="dxa"/>
          </w:tcPr>
          <w:p w:rsidR="009F17BF" w:rsidRPr="00D11D0F" w:rsidRDefault="009F17BF" w:rsidP="007F2E38">
            <w:r w:rsidRPr="00D11D0F">
              <w:t>$</w:t>
            </w:r>
            <w:r w:rsidR="007E540A">
              <w:t>8,951,149.0</w:t>
            </w:r>
            <w:r w:rsidRPr="00D11D0F">
              <w:t>0</w:t>
            </w:r>
          </w:p>
        </w:tc>
        <w:tc>
          <w:tcPr>
            <w:tcW w:w="1800" w:type="dxa"/>
          </w:tcPr>
          <w:p w:rsidR="009F17BF" w:rsidRDefault="009F17BF" w:rsidP="007F2E38">
            <w:r>
              <w:t xml:space="preserve"> </w:t>
            </w:r>
            <w:r w:rsidR="007E540A">
              <w:t>22</w:t>
            </w:r>
            <w:r>
              <w:t>%</w:t>
            </w:r>
          </w:p>
        </w:tc>
      </w:tr>
      <w:tr w:rsidR="009F17BF" w:rsidTr="007F2E38">
        <w:tc>
          <w:tcPr>
            <w:tcW w:w="810" w:type="dxa"/>
          </w:tcPr>
          <w:p w:rsidR="009F17BF" w:rsidRDefault="009F17BF" w:rsidP="007F2E38">
            <w:r>
              <w:t>201</w:t>
            </w:r>
            <w:r w:rsidR="007E540A">
              <w:t>6</w:t>
            </w:r>
          </w:p>
        </w:tc>
        <w:tc>
          <w:tcPr>
            <w:tcW w:w="2700" w:type="dxa"/>
          </w:tcPr>
          <w:p w:rsidR="009F17BF" w:rsidRDefault="009F17BF" w:rsidP="007F2E38">
            <w:r>
              <w:t>$</w:t>
            </w:r>
            <w:r w:rsidR="00217CC0">
              <w:t>3</w:t>
            </w:r>
            <w:r w:rsidR="00305A91">
              <w:t>5,075,882.00</w:t>
            </w:r>
          </w:p>
        </w:tc>
        <w:tc>
          <w:tcPr>
            <w:tcW w:w="2700" w:type="dxa"/>
          </w:tcPr>
          <w:p w:rsidR="009F17BF" w:rsidRDefault="009F17BF" w:rsidP="007F2E38">
            <w:r>
              <w:t>$</w:t>
            </w:r>
            <w:r w:rsidR="00305A91">
              <w:t>5</w:t>
            </w:r>
            <w:r w:rsidR="00CA66B8">
              <w:t>,</w:t>
            </w:r>
            <w:r w:rsidR="00305A91">
              <w:t>173</w:t>
            </w:r>
            <w:r w:rsidR="00CA66B8">
              <w:t>,</w:t>
            </w:r>
            <w:r w:rsidR="00305A91">
              <w:t>40</w:t>
            </w:r>
            <w:r w:rsidR="00CA66B8">
              <w:t>1</w:t>
            </w:r>
            <w:r w:rsidR="00305A91">
              <w:t>.00</w:t>
            </w:r>
          </w:p>
        </w:tc>
        <w:tc>
          <w:tcPr>
            <w:tcW w:w="1800" w:type="dxa"/>
          </w:tcPr>
          <w:p w:rsidR="009F17BF" w:rsidRDefault="009F17BF" w:rsidP="007F2E38">
            <w:r>
              <w:t xml:space="preserve"> 1</w:t>
            </w:r>
            <w:r w:rsidR="00CA66B8">
              <w:t>5</w:t>
            </w:r>
            <w:r>
              <w:t>%</w:t>
            </w:r>
          </w:p>
        </w:tc>
      </w:tr>
      <w:tr w:rsidR="009F17BF" w:rsidTr="007F2E38">
        <w:tc>
          <w:tcPr>
            <w:tcW w:w="810" w:type="dxa"/>
          </w:tcPr>
          <w:p w:rsidR="009F17BF" w:rsidRDefault="009F17BF" w:rsidP="007F2E38">
            <w:r>
              <w:t>201</w:t>
            </w:r>
            <w:r w:rsidR="007E540A">
              <w:t>7</w:t>
            </w:r>
          </w:p>
        </w:tc>
        <w:tc>
          <w:tcPr>
            <w:tcW w:w="2700" w:type="dxa"/>
          </w:tcPr>
          <w:p w:rsidR="009F17BF" w:rsidRDefault="009F17BF" w:rsidP="007F2E38">
            <w:r>
              <w:t>$</w:t>
            </w:r>
            <w:r w:rsidR="00CA66B8">
              <w:t>50,448,659.00</w:t>
            </w:r>
          </w:p>
        </w:tc>
        <w:tc>
          <w:tcPr>
            <w:tcW w:w="2700" w:type="dxa"/>
          </w:tcPr>
          <w:p w:rsidR="009F17BF" w:rsidRDefault="009F17BF" w:rsidP="007F2E38">
            <w:r>
              <w:t>$5,</w:t>
            </w:r>
            <w:r w:rsidR="00CA66B8">
              <w:t>219,802.00</w:t>
            </w:r>
          </w:p>
        </w:tc>
        <w:tc>
          <w:tcPr>
            <w:tcW w:w="1800" w:type="dxa"/>
          </w:tcPr>
          <w:p w:rsidR="009F17BF" w:rsidRDefault="009F17BF" w:rsidP="007F2E38">
            <w:r>
              <w:t xml:space="preserve"> 1</w:t>
            </w:r>
            <w:r w:rsidR="00CA66B8">
              <w:t>0</w:t>
            </w:r>
            <w:r>
              <w:t>%</w:t>
            </w:r>
          </w:p>
        </w:tc>
      </w:tr>
    </w:tbl>
    <w:p w:rsidR="009F17BF" w:rsidRPr="00D11D0F" w:rsidRDefault="009F17BF" w:rsidP="009F17BF">
      <w:pPr>
        <w:ind w:firstLine="360"/>
        <w:rPr>
          <w:b/>
          <w:sz w:val="16"/>
          <w:szCs w:val="16"/>
        </w:rPr>
      </w:pPr>
      <w:r>
        <w:rPr>
          <w:b/>
          <w:sz w:val="16"/>
          <w:szCs w:val="16"/>
        </w:rPr>
        <w:t xml:space="preserve">(Figure </w:t>
      </w:r>
      <w:r w:rsidR="005B1118">
        <w:rPr>
          <w:b/>
          <w:sz w:val="16"/>
          <w:szCs w:val="16"/>
        </w:rPr>
        <w:t>6</w:t>
      </w:r>
      <w:r>
        <w:rPr>
          <w:b/>
          <w:sz w:val="16"/>
          <w:szCs w:val="16"/>
        </w:rPr>
        <w:t>)</w:t>
      </w:r>
    </w:p>
    <w:p w:rsidR="009F17BF" w:rsidRDefault="009F17BF" w:rsidP="009F17BF"/>
    <w:p w:rsidR="006E1F44" w:rsidRDefault="009F17BF" w:rsidP="006E1F44">
      <w:r>
        <w:t>This analysis demonstrates a good faith effort on the part of Ma</w:t>
      </w:r>
      <w:r w:rsidR="003B0511">
        <w:t>ine’s contracting community to commit to hire D</w:t>
      </w:r>
      <w:r>
        <w:t xml:space="preserve">BE firms. </w:t>
      </w:r>
    </w:p>
    <w:p w:rsidR="003F7F94" w:rsidRDefault="003F7F94" w:rsidP="006E1F44"/>
    <w:p w:rsidR="003F7F94" w:rsidRDefault="003F7F94" w:rsidP="006E1F44">
      <w:pPr>
        <w:rPr>
          <w:b/>
        </w:rPr>
      </w:pPr>
      <w:r>
        <w:rPr>
          <w:b/>
        </w:rPr>
        <w:t>2.  Disparity Studies</w:t>
      </w:r>
    </w:p>
    <w:p w:rsidR="003F7F94" w:rsidRDefault="003F7F94" w:rsidP="006E1F44">
      <w:pPr>
        <w:rPr>
          <w:b/>
        </w:rPr>
      </w:pPr>
    </w:p>
    <w:p w:rsidR="003F7F94" w:rsidRDefault="003F7F94" w:rsidP="006E1F44">
      <w:r>
        <w:t>As discussed previously, MaineDOT has not conducted any disparity studies in the past three federal fiscal years.  We contacted the State’s M</w:t>
      </w:r>
      <w:r w:rsidR="000D3DDF">
        <w:t>etropolitan</w:t>
      </w:r>
      <w:r>
        <w:t xml:space="preserve"> Planning Organizations and its major airports, and none of them conducted disparity studies or comparable study that may have provided information relative to the GMA.  </w:t>
      </w:r>
      <w:r w:rsidR="007B644C">
        <w:t>Therefore,</w:t>
      </w:r>
      <w:r>
        <w:t xml:space="preserve"> no disparity studies were considered.</w:t>
      </w:r>
    </w:p>
    <w:p w:rsidR="003F7F94" w:rsidRDefault="003F7F94" w:rsidP="006E1F44"/>
    <w:p w:rsidR="003F7F94" w:rsidRDefault="003F7F94" w:rsidP="006E1F44">
      <w:pPr>
        <w:rPr>
          <w:b/>
        </w:rPr>
      </w:pPr>
      <w:r>
        <w:rPr>
          <w:b/>
        </w:rPr>
        <w:t>3.  Other Related Evidence</w:t>
      </w:r>
    </w:p>
    <w:p w:rsidR="003F7F94" w:rsidRDefault="003F7F94" w:rsidP="006E1F44">
      <w:pPr>
        <w:rPr>
          <w:b/>
        </w:rPr>
      </w:pPr>
    </w:p>
    <w:p w:rsidR="003F7F94" w:rsidRPr="003F7F94" w:rsidRDefault="003F7F94" w:rsidP="006E1F44">
      <w:pPr>
        <w:rPr>
          <w:rFonts w:ascii="Calibri" w:hAnsi="Calibri"/>
          <w:color w:val="000000"/>
          <w:sz w:val="22"/>
          <w:szCs w:val="22"/>
        </w:rPr>
      </w:pPr>
      <w:r>
        <w:t>No other evidence of the kind described in the regulations at 4</w:t>
      </w:r>
      <w:r w:rsidR="007F7727">
        <w:t>9</w:t>
      </w:r>
      <w:r>
        <w:t xml:space="preserve"> CFR 26.45(d)(2) was available to consider in determining whether an adjustment to the base figure is warranted.  </w:t>
      </w:r>
    </w:p>
    <w:p w:rsidR="009F17BF" w:rsidRDefault="009F17BF" w:rsidP="006E1F44"/>
    <w:p w:rsidR="00C92DC9" w:rsidRDefault="00C92DC9" w:rsidP="00BA3E50">
      <w:pPr>
        <w:autoSpaceDE w:val="0"/>
        <w:autoSpaceDN w:val="0"/>
        <w:adjustRightInd w:val="0"/>
        <w:rPr>
          <w:b/>
          <w:bCs/>
          <w:u w:val="single"/>
        </w:rPr>
      </w:pPr>
    </w:p>
    <w:p w:rsidR="00C92DC9" w:rsidRDefault="00C92DC9" w:rsidP="00BA3E50">
      <w:pPr>
        <w:autoSpaceDE w:val="0"/>
        <w:autoSpaceDN w:val="0"/>
        <w:adjustRightInd w:val="0"/>
        <w:rPr>
          <w:b/>
          <w:bCs/>
          <w:u w:val="single"/>
        </w:rPr>
      </w:pPr>
    </w:p>
    <w:p w:rsidR="00C92DC9" w:rsidRDefault="00C92DC9" w:rsidP="00BA3E50">
      <w:pPr>
        <w:autoSpaceDE w:val="0"/>
        <w:autoSpaceDN w:val="0"/>
        <w:adjustRightInd w:val="0"/>
        <w:rPr>
          <w:b/>
          <w:bCs/>
          <w:u w:val="single"/>
        </w:rPr>
      </w:pPr>
    </w:p>
    <w:p w:rsidR="00BA3E50" w:rsidRDefault="00152BB3" w:rsidP="00BA3E50">
      <w:pPr>
        <w:autoSpaceDE w:val="0"/>
        <w:autoSpaceDN w:val="0"/>
        <w:adjustRightInd w:val="0"/>
        <w:rPr>
          <w:b/>
          <w:bCs/>
        </w:rPr>
      </w:pPr>
      <w:r>
        <w:rPr>
          <w:b/>
          <w:bCs/>
          <w:u w:val="single"/>
        </w:rPr>
        <w:lastRenderedPageBreak/>
        <w:t xml:space="preserve">Other Elements - </w:t>
      </w:r>
      <w:r w:rsidR="00BA3E50" w:rsidRPr="00152BB3">
        <w:rPr>
          <w:b/>
          <w:bCs/>
          <w:u w:val="single"/>
        </w:rPr>
        <w:t>Race and Gender-Neutral and Conscious Measures</w:t>
      </w:r>
      <w:r w:rsidR="00984105">
        <w:rPr>
          <w:b/>
          <w:bCs/>
          <w:u w:val="single"/>
        </w:rPr>
        <w:t>_- Section 26.51</w:t>
      </w:r>
      <w:r w:rsidR="00984105">
        <w:rPr>
          <w:b/>
          <w:bCs/>
        </w:rPr>
        <w:t xml:space="preserve"> </w:t>
      </w:r>
    </w:p>
    <w:p w:rsidR="00FB302F" w:rsidRPr="002579A8" w:rsidRDefault="00FB302F" w:rsidP="00BA3E50">
      <w:pPr>
        <w:autoSpaceDE w:val="0"/>
        <w:autoSpaceDN w:val="0"/>
        <w:adjustRightInd w:val="0"/>
        <w:rPr>
          <w:b/>
          <w:bCs/>
        </w:rPr>
      </w:pPr>
    </w:p>
    <w:p w:rsidR="009A437A" w:rsidRPr="009A437A" w:rsidRDefault="00FE5FE5" w:rsidP="00A471E5">
      <w:pPr>
        <w:autoSpaceDE w:val="0"/>
        <w:autoSpaceDN w:val="0"/>
        <w:adjustRightInd w:val="0"/>
      </w:pPr>
      <w:r>
        <w:t>The Department’s DBE Program goal</w:t>
      </w:r>
      <w:r w:rsidR="00A471E5">
        <w:t xml:space="preserve"> of</w:t>
      </w:r>
      <w:r w:rsidR="00535B65">
        <w:t xml:space="preserve"> </w:t>
      </w:r>
      <w:r w:rsidR="00787852" w:rsidRPr="00787852">
        <w:rPr>
          <w:b/>
        </w:rPr>
        <w:t>2</w:t>
      </w:r>
      <w:r w:rsidR="005B1118">
        <w:rPr>
          <w:b/>
        </w:rPr>
        <w:t>.4</w:t>
      </w:r>
      <w:r w:rsidR="00AA7A23" w:rsidRPr="00CF5D8B">
        <w:rPr>
          <w:b/>
        </w:rPr>
        <w:t>%</w:t>
      </w:r>
      <w:r w:rsidR="00C22FD7">
        <w:t xml:space="preserve"> for</w:t>
      </w:r>
      <w:r w:rsidR="00A8531F">
        <w:t xml:space="preserve"> FFYs 2</w:t>
      </w:r>
      <w:r w:rsidR="00535B65">
        <w:t>0</w:t>
      </w:r>
      <w:r w:rsidR="0077018F">
        <w:t>1</w:t>
      </w:r>
      <w:r w:rsidR="00CA66B8">
        <w:t>9-21</w:t>
      </w:r>
      <w:r w:rsidR="00A471E5">
        <w:t xml:space="preserve"> will</w:t>
      </w:r>
      <w:r w:rsidR="00177F31">
        <w:t xml:space="preserve"> </w:t>
      </w:r>
      <w:r w:rsidR="00E62B26">
        <w:t xml:space="preserve">be </w:t>
      </w:r>
      <w:r w:rsidR="00177F31">
        <w:t xml:space="preserve">achieved entirely through </w:t>
      </w:r>
      <w:r w:rsidR="00A471E5">
        <w:t>race and gender-neutral</w:t>
      </w:r>
      <w:r w:rsidR="00177F31">
        <w:t xml:space="preserve"> means</w:t>
      </w:r>
      <w:r w:rsidR="00A471E5">
        <w:t xml:space="preserve">. </w:t>
      </w:r>
      <w:r w:rsidR="009A437A" w:rsidRPr="009A437A">
        <w:t xml:space="preserve">Contract goals will </w:t>
      </w:r>
      <w:r w:rsidR="00052115">
        <w:t>not be necessary for additional attainment.</w:t>
      </w:r>
      <w:r w:rsidR="009A437A" w:rsidRPr="009A437A">
        <w:t xml:space="preserve"> </w:t>
      </w:r>
      <w:r w:rsidR="00E736E6">
        <w:t xml:space="preserve"> </w:t>
      </w:r>
      <w:r w:rsidR="006206FF">
        <w:t>If</w:t>
      </w:r>
      <w:r w:rsidR="00A92664">
        <w:t xml:space="preserve"> we determine that we will not achieve the </w:t>
      </w:r>
      <w:r w:rsidR="00882B4F">
        <w:t xml:space="preserve">stated </w:t>
      </w:r>
      <w:r w:rsidR="00A92664">
        <w:t xml:space="preserve">goal, we will take measures to do so, which may include targeted project goals. </w:t>
      </w:r>
      <w:r w:rsidR="00E736E6">
        <w:t xml:space="preserve">  </w:t>
      </w:r>
      <w:r w:rsidR="009A437A" w:rsidRPr="009A437A">
        <w:t xml:space="preserve">    </w:t>
      </w:r>
    </w:p>
    <w:p w:rsidR="006206FF" w:rsidRDefault="006206FF" w:rsidP="00A471E5">
      <w:pPr>
        <w:autoSpaceDE w:val="0"/>
        <w:autoSpaceDN w:val="0"/>
        <w:adjustRightInd w:val="0"/>
        <w:rPr>
          <w:b/>
        </w:rPr>
      </w:pPr>
    </w:p>
    <w:p w:rsidR="003A4F6D" w:rsidRDefault="003A4F6D" w:rsidP="00A471E5">
      <w:pPr>
        <w:autoSpaceDE w:val="0"/>
        <w:autoSpaceDN w:val="0"/>
        <w:adjustRightInd w:val="0"/>
        <w:rPr>
          <w:u w:val="single"/>
        </w:rPr>
      </w:pPr>
      <w:r w:rsidRPr="00984105">
        <w:rPr>
          <w:b/>
          <w:i/>
        </w:rPr>
        <w:t xml:space="preserve">Use of </w:t>
      </w:r>
      <w:r w:rsidR="00CA5405" w:rsidRPr="00984105">
        <w:rPr>
          <w:b/>
          <w:i/>
        </w:rPr>
        <w:t>Supportive Services Program in R</w:t>
      </w:r>
      <w:r w:rsidRPr="00984105">
        <w:rPr>
          <w:b/>
          <w:i/>
        </w:rPr>
        <w:t>ace</w:t>
      </w:r>
      <w:r w:rsidR="00CA5405" w:rsidRPr="00984105">
        <w:rPr>
          <w:b/>
          <w:i/>
        </w:rPr>
        <w:t>-n</w:t>
      </w:r>
      <w:r w:rsidRPr="00984105">
        <w:rPr>
          <w:b/>
          <w:i/>
        </w:rPr>
        <w:t xml:space="preserve">eutral </w:t>
      </w:r>
      <w:r w:rsidR="00CA5405" w:rsidRPr="00984105">
        <w:rPr>
          <w:b/>
          <w:i/>
        </w:rPr>
        <w:t>E</w:t>
      </w:r>
      <w:r w:rsidRPr="00984105">
        <w:rPr>
          <w:b/>
          <w:i/>
        </w:rPr>
        <w:t>fforts</w:t>
      </w:r>
    </w:p>
    <w:p w:rsidR="00FB302F" w:rsidRPr="00CA5405" w:rsidRDefault="00FB302F" w:rsidP="00A471E5">
      <w:pPr>
        <w:autoSpaceDE w:val="0"/>
        <w:autoSpaceDN w:val="0"/>
        <w:adjustRightInd w:val="0"/>
        <w:rPr>
          <w:u w:val="single"/>
        </w:rPr>
      </w:pPr>
    </w:p>
    <w:p w:rsidR="00CB110A" w:rsidRPr="004E415A" w:rsidRDefault="003B0511" w:rsidP="00CB110A">
      <w:pPr>
        <w:tabs>
          <w:tab w:val="left" w:pos="0"/>
          <w:tab w:val="left" w:pos="2160"/>
          <w:tab w:val="left" w:pos="2880"/>
          <w:tab w:val="left" w:pos="3600"/>
          <w:tab w:val="left" w:pos="4320"/>
          <w:tab w:val="left" w:pos="5040"/>
          <w:tab w:val="left" w:pos="5760"/>
          <w:tab w:val="left" w:pos="6480"/>
          <w:tab w:val="left" w:pos="6930"/>
        </w:tabs>
        <w:outlineLvl w:val="0"/>
      </w:pPr>
      <w:r>
        <w:t>F</w:t>
      </w:r>
      <w:r w:rsidR="002F0B7D">
        <w:t>or the</w:t>
      </w:r>
      <w:r w:rsidR="00CB110A" w:rsidRPr="004E415A">
        <w:t xml:space="preserve"> Maine</w:t>
      </w:r>
      <w:r w:rsidR="00CB110A">
        <w:t>DOT</w:t>
      </w:r>
      <w:r w:rsidR="00CB110A" w:rsidRPr="004E415A">
        <w:t xml:space="preserve"> </w:t>
      </w:r>
      <w:r w:rsidR="002F0B7D">
        <w:t xml:space="preserve">to meet its goal through race neutral means, it has </w:t>
      </w:r>
      <w:r w:rsidR="00FB302F">
        <w:t xml:space="preserve">contracted </w:t>
      </w:r>
      <w:r w:rsidR="00B3629D">
        <w:t>an agency to provide</w:t>
      </w:r>
      <w:r w:rsidR="00FB302F">
        <w:t xml:space="preserve"> </w:t>
      </w:r>
      <w:r w:rsidR="00CB110A" w:rsidRPr="004E415A">
        <w:t>Disadvantaged Business Enterprise</w:t>
      </w:r>
      <w:r w:rsidR="007F7727">
        <w:t>s</w:t>
      </w:r>
      <w:r w:rsidR="00CB110A" w:rsidRPr="004E415A">
        <w:t xml:space="preserve"> Supportive Services (DBE SS) Program in accordance with 23 CFR 230.204</w:t>
      </w:r>
      <w:r w:rsidR="008F29E2">
        <w:t xml:space="preserve">. This business development program </w:t>
      </w:r>
      <w:r>
        <w:t xml:space="preserve">aims </w:t>
      </w:r>
      <w:r w:rsidR="008F29E2">
        <w:t xml:space="preserve">to </w:t>
      </w:r>
      <w:r w:rsidR="0054145D">
        <w:t>assist</w:t>
      </w:r>
      <w:r w:rsidR="00CB110A">
        <w:t xml:space="preserve"> minority</w:t>
      </w:r>
      <w:r w:rsidR="00BF1A08">
        <w:t>,</w:t>
      </w:r>
      <w:r w:rsidR="00CB110A">
        <w:t xml:space="preserve"> women</w:t>
      </w:r>
      <w:r w:rsidR="00BF1A08">
        <w:t xml:space="preserve"> and disadvantaged</w:t>
      </w:r>
      <w:r w:rsidR="00CB110A">
        <w:t xml:space="preserve"> owned firms to build strong businesses able to successfully compete when bidding for federally funded transportation projects and consult</w:t>
      </w:r>
      <w:r w:rsidR="00026B67">
        <w:t>ant</w:t>
      </w:r>
      <w:r w:rsidR="00CB110A">
        <w:t xml:space="preserve"> contracts,</w:t>
      </w:r>
      <w:r w:rsidR="00CB110A" w:rsidRPr="004E415A">
        <w:t xml:space="preserve"> thus increasing equal opportunity, competition and diversity in Maine’s bridge and highway construction industry.</w:t>
      </w:r>
    </w:p>
    <w:p w:rsidR="00CB110A" w:rsidRPr="004E415A" w:rsidRDefault="00CB110A" w:rsidP="00CB110A">
      <w:pPr>
        <w:tabs>
          <w:tab w:val="left" w:pos="0"/>
          <w:tab w:val="left" w:pos="2160"/>
          <w:tab w:val="left" w:pos="2880"/>
          <w:tab w:val="left" w:pos="3600"/>
          <w:tab w:val="left" w:pos="4320"/>
          <w:tab w:val="left" w:pos="5040"/>
          <w:tab w:val="left" w:pos="5760"/>
          <w:tab w:val="left" w:pos="6480"/>
          <w:tab w:val="left" w:pos="6930"/>
        </w:tabs>
        <w:outlineLvl w:val="0"/>
      </w:pPr>
    </w:p>
    <w:p w:rsidR="00CB110A" w:rsidRPr="004E415A" w:rsidRDefault="00CB110A" w:rsidP="00CB110A">
      <w:pPr>
        <w:outlineLvl w:val="0"/>
      </w:pPr>
      <w:r w:rsidRPr="004E415A">
        <w:t xml:space="preserve">The following services </w:t>
      </w:r>
      <w:r>
        <w:t>are</w:t>
      </w:r>
      <w:r w:rsidRPr="004E415A">
        <w:t xml:space="preserve"> offered </w:t>
      </w:r>
      <w:r>
        <w:t>though MaineDOT</w:t>
      </w:r>
      <w:r w:rsidR="00900F34">
        <w:t>’</w:t>
      </w:r>
      <w:r>
        <w:t xml:space="preserve">s </w:t>
      </w:r>
      <w:r w:rsidR="00026B67">
        <w:t xml:space="preserve">DBE SS Consultant </w:t>
      </w:r>
      <w:r w:rsidR="00A151B9">
        <w:rPr>
          <w:color w:val="000000"/>
        </w:rPr>
        <w:t xml:space="preserve">with </w:t>
      </w:r>
      <w:r w:rsidR="00A151B9" w:rsidRPr="00FD0A20">
        <w:rPr>
          <w:color w:val="000000"/>
        </w:rPr>
        <w:t>specific</w:t>
      </w:r>
      <w:r w:rsidR="00EC30CA" w:rsidRPr="00FD0A20">
        <w:rPr>
          <w:color w:val="000000"/>
        </w:rPr>
        <w:t xml:space="preserve"> program</w:t>
      </w:r>
      <w:r w:rsidR="00982924">
        <w:rPr>
          <w:color w:val="000000"/>
        </w:rPr>
        <w:t>s</w:t>
      </w:r>
      <w:r w:rsidRPr="00FD0A20">
        <w:rPr>
          <w:color w:val="000000"/>
        </w:rPr>
        <w:t xml:space="preserve"> targeted for instruction. </w:t>
      </w:r>
      <w:r w:rsidRPr="004E415A">
        <w:t xml:space="preserve"> Tuition reimbursement for successfully completed classes taken by</w:t>
      </w:r>
      <w:r w:rsidR="00FD0A20">
        <w:t xml:space="preserve"> small business</w:t>
      </w:r>
      <w:r w:rsidRPr="004E415A">
        <w:t xml:space="preserve"> </w:t>
      </w:r>
      <w:r w:rsidR="00BF1A08">
        <w:t xml:space="preserve">owners </w:t>
      </w:r>
      <w:r w:rsidRPr="004E415A">
        <w:t>to grow and/or improve their business in the Federal-aid bridge and highway construction industry will also be allowed.</w:t>
      </w:r>
      <w:r>
        <w:t xml:space="preserve"> </w:t>
      </w:r>
      <w:r w:rsidRPr="004E415A">
        <w:t>This pr</w:t>
      </w:r>
      <w:r>
        <w:t>ogram:</w:t>
      </w:r>
    </w:p>
    <w:p w:rsidR="00CB110A" w:rsidRPr="004E415A" w:rsidRDefault="00CB110A" w:rsidP="00CB110A">
      <w:pPr>
        <w:outlineLvl w:val="0"/>
      </w:pPr>
    </w:p>
    <w:p w:rsidR="00CB110A" w:rsidRPr="004E415A" w:rsidRDefault="00CB110A" w:rsidP="00CB110A">
      <w:pPr>
        <w:numPr>
          <w:ilvl w:val="0"/>
          <w:numId w:val="8"/>
        </w:numPr>
      </w:pPr>
      <w:r>
        <w:t>P</w:t>
      </w:r>
      <w:r w:rsidRPr="004E415A">
        <w:t>rovide</w:t>
      </w:r>
      <w:r>
        <w:t>s</w:t>
      </w:r>
      <w:r w:rsidRPr="004E415A">
        <w:t xml:space="preserve"> technical and resource assistance with financial and business planning including accounting, invoicing and auditing practices, business planning, marketing/networking, and setting and achieving goals.  Assist</w:t>
      </w:r>
      <w:r w:rsidR="0054145D">
        <w:t>s</w:t>
      </w:r>
      <w:r w:rsidRPr="004E415A">
        <w:t xml:space="preserve"> with bonding, financial assistance, lease agreements, taxes, fringe benefits, and payroll.  Assure</w:t>
      </w:r>
      <w:r w:rsidR="0054145D">
        <w:t>s</w:t>
      </w:r>
      <w:r w:rsidRPr="004E415A">
        <w:t xml:space="preserve"> capability to comply with all FHWA requirements and paperwork regarding personnel, EEO, Title VI, DBE, AA, training and Davis Bacon and related Acts.</w:t>
      </w:r>
    </w:p>
    <w:p w:rsidR="00CB110A" w:rsidRPr="004E415A" w:rsidRDefault="00CB110A" w:rsidP="00CB110A"/>
    <w:p w:rsidR="00CB110A" w:rsidRPr="004E415A" w:rsidRDefault="00CB110A" w:rsidP="00CB110A">
      <w:pPr>
        <w:numPr>
          <w:ilvl w:val="0"/>
          <w:numId w:val="8"/>
        </w:numPr>
      </w:pPr>
      <w:r>
        <w:t>Provide</w:t>
      </w:r>
      <w:r w:rsidR="002F0B7D">
        <w:t>s</w:t>
      </w:r>
      <w:r>
        <w:t xml:space="preserve"> </w:t>
      </w:r>
      <w:r w:rsidR="007B644C">
        <w:t>t</w:t>
      </w:r>
      <w:r w:rsidRPr="004E415A">
        <w:t>echnic</w:t>
      </w:r>
      <w:r w:rsidR="0054145D">
        <w:t xml:space="preserve">al and general assistance with locating, </w:t>
      </w:r>
      <w:r w:rsidRPr="004E415A">
        <w:t>process</w:t>
      </w:r>
      <w:r w:rsidR="0054145D">
        <w:t>ing</w:t>
      </w:r>
      <w:r w:rsidRPr="004E415A">
        <w:t>, estimating, and submitting quotes for MaineDOT federal aid contracts.  Survey</w:t>
      </w:r>
      <w:r w:rsidR="0054145D">
        <w:t>s</w:t>
      </w:r>
      <w:r w:rsidRPr="004E415A">
        <w:t xml:space="preserve"> and repor</w:t>
      </w:r>
      <w:r w:rsidR="0054145D">
        <w:t>ts</w:t>
      </w:r>
      <w:r w:rsidRPr="004E415A">
        <w:t xml:space="preserve"> the bid items DBEs </w:t>
      </w:r>
      <w:r w:rsidR="007B644C" w:rsidRPr="004E415A">
        <w:t>can complete</w:t>
      </w:r>
      <w:r w:rsidRPr="004E415A">
        <w:t xml:space="preserve"> and share</w:t>
      </w:r>
      <w:r w:rsidR="0054145D">
        <w:t>s</w:t>
      </w:r>
      <w:r w:rsidRPr="004E415A">
        <w:t xml:space="preserve"> this information on the web and with </w:t>
      </w:r>
      <w:r w:rsidR="007B644C">
        <w:t>p</w:t>
      </w:r>
      <w:r w:rsidRPr="004E415A">
        <w:t>rime contractors.  Offer</w:t>
      </w:r>
      <w:r w:rsidR="0054145D">
        <w:t>s</w:t>
      </w:r>
      <w:r w:rsidRPr="004E415A">
        <w:t xml:space="preserve"> guidance to DBEs regarding MaineDOT project plans and website to keep</w:t>
      </w:r>
      <w:r w:rsidR="0054145D">
        <w:t xml:space="preserve"> DBEs</w:t>
      </w:r>
      <w:r w:rsidRPr="004E415A">
        <w:t xml:space="preserve"> up to date with contract opportunities in their business areas.</w:t>
      </w:r>
    </w:p>
    <w:p w:rsidR="00CB110A" w:rsidRPr="004E415A" w:rsidRDefault="00CB110A" w:rsidP="00CB110A"/>
    <w:p w:rsidR="00CB110A" w:rsidRPr="004E415A" w:rsidRDefault="00CB110A" w:rsidP="00CB110A">
      <w:pPr>
        <w:numPr>
          <w:ilvl w:val="0"/>
          <w:numId w:val="8"/>
        </w:numPr>
      </w:pPr>
      <w:r>
        <w:t>Provide</w:t>
      </w:r>
      <w:r w:rsidR="002F0B7D">
        <w:t>s</w:t>
      </w:r>
      <w:r>
        <w:t xml:space="preserve"> t</w:t>
      </w:r>
      <w:r w:rsidRPr="004E415A">
        <w:t>echnical support for computer systems, particularly CA</w:t>
      </w:r>
      <w:r w:rsidR="00982924">
        <w:t>D</w:t>
      </w:r>
      <w:r w:rsidRPr="004E415A">
        <w:t>D translation to Micro-station to be compatible with MaineDOT files and electronic bidding assistance (using the web and using BIDEX).  Also,</w:t>
      </w:r>
      <w:r w:rsidR="0054145D">
        <w:t xml:space="preserve"> provides</w:t>
      </w:r>
      <w:r w:rsidRPr="004E415A">
        <w:t xml:space="preserve"> hardware/software technical support and webpage development as related to bridge and highway construction.  </w:t>
      </w:r>
    </w:p>
    <w:p w:rsidR="00CB110A" w:rsidRPr="004E415A" w:rsidRDefault="00CB110A" w:rsidP="00CB110A"/>
    <w:p w:rsidR="00CB110A" w:rsidRPr="004E415A" w:rsidRDefault="00CB110A" w:rsidP="00CB110A">
      <w:pPr>
        <w:numPr>
          <w:ilvl w:val="0"/>
          <w:numId w:val="8"/>
        </w:numPr>
      </w:pPr>
      <w:r>
        <w:t>Provide</w:t>
      </w:r>
      <w:r w:rsidR="002F0B7D">
        <w:t>s</w:t>
      </w:r>
      <w:r>
        <w:t xml:space="preserve"> t</w:t>
      </w:r>
      <w:r w:rsidRPr="004E415A">
        <w:t>echnical support and education regarding par</w:t>
      </w:r>
      <w:r w:rsidR="00BF1A08">
        <w:t>tnering with other consultants/</w:t>
      </w:r>
      <w:r w:rsidRPr="004E415A">
        <w:t xml:space="preserve">contractors/agencies and how to create and deliver products or </w:t>
      </w:r>
      <w:r w:rsidRPr="004E415A">
        <w:lastRenderedPageBreak/>
        <w:t xml:space="preserve">services under a joint venture.  </w:t>
      </w:r>
      <w:r w:rsidR="0054145D">
        <w:t>Gives participating s</w:t>
      </w:r>
      <w:r w:rsidR="00D67035">
        <w:t>mall businesses</w:t>
      </w:r>
      <w:r w:rsidRPr="004E415A">
        <w:t xml:space="preserve"> new tools to improve or expand their business capabilities.</w:t>
      </w:r>
    </w:p>
    <w:p w:rsidR="00CB110A" w:rsidRPr="004E415A" w:rsidRDefault="00CB110A" w:rsidP="00CB110A"/>
    <w:p w:rsidR="00CB110A" w:rsidRPr="004E415A" w:rsidRDefault="00CB110A" w:rsidP="00CB110A">
      <w:pPr>
        <w:numPr>
          <w:ilvl w:val="0"/>
          <w:numId w:val="8"/>
        </w:numPr>
      </w:pPr>
      <w:r>
        <w:t>Provide</w:t>
      </w:r>
      <w:r w:rsidR="002F0B7D">
        <w:t>s</w:t>
      </w:r>
      <w:r>
        <w:t xml:space="preserve"> t</w:t>
      </w:r>
      <w:r w:rsidRPr="004E415A">
        <w:t>echnical assistance and education regarding reading, writing and understanding construction contracts and subcontracts</w:t>
      </w:r>
      <w:r w:rsidR="004A37FA">
        <w:t>; a</w:t>
      </w:r>
      <w:r w:rsidRPr="004E415A">
        <w:t>ssistance in ensuring</w:t>
      </w:r>
      <w:r w:rsidR="0054145D">
        <w:t xml:space="preserve"> that</w:t>
      </w:r>
      <w:r w:rsidRPr="004E415A">
        <w:t xml:space="preserve"> contracts and subcontracts protect </w:t>
      </w:r>
      <w:r w:rsidR="0054145D">
        <w:t>the interest of the DBE, including</w:t>
      </w:r>
      <w:r w:rsidRPr="004E415A">
        <w:t xml:space="preserve"> all phases of the work, and contain all needed language for compliance when working on a FHWA funded projects.  </w:t>
      </w:r>
    </w:p>
    <w:p w:rsidR="00CB110A" w:rsidRPr="004E415A" w:rsidRDefault="00CB110A" w:rsidP="00CB110A"/>
    <w:p w:rsidR="007125D6" w:rsidRDefault="00A4098E" w:rsidP="007125D6">
      <w:pPr>
        <w:numPr>
          <w:ilvl w:val="0"/>
          <w:numId w:val="8"/>
        </w:numPr>
      </w:pPr>
      <w:r>
        <w:t>D</w:t>
      </w:r>
      <w:r w:rsidR="00CB110A" w:rsidRPr="004E415A">
        <w:t>istribute</w:t>
      </w:r>
      <w:r w:rsidR="002F0B7D">
        <w:t>s</w:t>
      </w:r>
      <w:r w:rsidR="00CB110A" w:rsidRPr="004E415A">
        <w:t xml:space="preserve"> a broc</w:t>
      </w:r>
      <w:r w:rsidR="0054145D">
        <w:t xml:space="preserve">hure regarding the DBE program and continues to </w:t>
      </w:r>
      <w:r w:rsidR="00CB110A" w:rsidRPr="004E415A">
        <w:t xml:space="preserve">educate contractors and consultants, as well as MaineDOT personnel, about the purpose of the program and their obligations under </w:t>
      </w:r>
      <w:r>
        <w:t>f</w:t>
      </w:r>
      <w:r w:rsidR="00CB110A" w:rsidRPr="004E415A">
        <w:t xml:space="preserve">ederally </w:t>
      </w:r>
      <w:r w:rsidR="00CB1604">
        <w:t>f</w:t>
      </w:r>
      <w:r w:rsidR="00CB110A" w:rsidRPr="004E415A">
        <w:t>unded contracts.</w:t>
      </w:r>
      <w:r w:rsidR="00CB110A">
        <w:t xml:space="preserve"> </w:t>
      </w:r>
      <w:r w:rsidR="0054145D">
        <w:t xml:space="preserve">Develop ongoing opportunities for </w:t>
      </w:r>
      <w:r w:rsidR="00CB110A">
        <w:t>workshops, briefings and training sessions statewide. Educate</w:t>
      </w:r>
      <w:r w:rsidR="0054145D">
        <w:t>s</w:t>
      </w:r>
      <w:r w:rsidR="00CB110A">
        <w:t xml:space="preserve"> the SBA's Small Business Development counselors and other entities about the DBE program.</w:t>
      </w:r>
      <w:r w:rsidR="007125D6">
        <w:t xml:space="preserve"> </w:t>
      </w:r>
    </w:p>
    <w:p w:rsidR="007125D6" w:rsidRDefault="007125D6" w:rsidP="007125D6">
      <w:pPr>
        <w:pStyle w:val="ListParagraph"/>
      </w:pPr>
    </w:p>
    <w:p w:rsidR="00CB110A" w:rsidRPr="0077345D" w:rsidRDefault="007125D6" w:rsidP="007125D6">
      <w:pPr>
        <w:numPr>
          <w:ilvl w:val="0"/>
          <w:numId w:val="8"/>
        </w:numPr>
      </w:pPr>
      <w:r>
        <w:t>H</w:t>
      </w:r>
      <w:r w:rsidR="0054145D">
        <w:t>olds n</w:t>
      </w:r>
      <w:r w:rsidR="00CB110A" w:rsidRPr="0077345D">
        <w:t>etworking/</w:t>
      </w:r>
      <w:r w:rsidR="0054145D">
        <w:t>c</w:t>
      </w:r>
      <w:r w:rsidR="00CB110A" w:rsidRPr="0077345D">
        <w:t>onference</w:t>
      </w:r>
      <w:r w:rsidR="001A68A4">
        <w:t>s</w:t>
      </w:r>
      <w:r w:rsidR="00CB110A" w:rsidRPr="0077345D">
        <w:t xml:space="preserve"> in conjunction with the Maine SBA Office and other partners</w:t>
      </w:r>
      <w:r w:rsidR="0054145D">
        <w:t xml:space="preserve"> and offers m</w:t>
      </w:r>
      <w:r w:rsidR="00CB110A" w:rsidRPr="0077345D">
        <w:t xml:space="preserve">atchmaking session between DBEs and prime consultants and contractors. </w:t>
      </w:r>
      <w:r w:rsidR="0054145D">
        <w:t xml:space="preserve"> Creates networking opportunities</w:t>
      </w:r>
      <w:r w:rsidR="00CB110A" w:rsidRPr="0077345D">
        <w:t xml:space="preserve"> and other activities to promote DBE growth and </w:t>
      </w:r>
      <w:r w:rsidR="0054145D">
        <w:t>quality including e</w:t>
      </w:r>
      <w:r w:rsidR="00CB110A" w:rsidRPr="0077345D">
        <w:t xml:space="preserve">ducational seminars.  </w:t>
      </w:r>
    </w:p>
    <w:p w:rsidR="00CB110A" w:rsidRPr="004E415A" w:rsidRDefault="00CB110A" w:rsidP="00CB110A"/>
    <w:p w:rsidR="00CB110A" w:rsidRPr="004E415A" w:rsidRDefault="001D5CDF" w:rsidP="00CB110A">
      <w:pPr>
        <w:outlineLvl w:val="0"/>
      </w:pPr>
      <w:r>
        <w:t xml:space="preserve">In addition, </w:t>
      </w:r>
      <w:r w:rsidR="00CB1604">
        <w:t>t</w:t>
      </w:r>
      <w:r w:rsidR="00CB110A" w:rsidRPr="004E415A">
        <w:t xml:space="preserve">he MaineDOT DBE </w:t>
      </w:r>
      <w:r w:rsidR="00026B67">
        <w:t>SS C</w:t>
      </w:r>
      <w:r w:rsidR="00CB110A" w:rsidRPr="004E415A">
        <w:t xml:space="preserve">onsultant uses a variety of methods to </w:t>
      </w:r>
      <w:r w:rsidR="008F29E2">
        <w:t>provide business development service</w:t>
      </w:r>
      <w:r w:rsidR="007F7727">
        <w:t>s</w:t>
      </w:r>
      <w:r w:rsidR="008F29E2">
        <w:t xml:space="preserve"> and </w:t>
      </w:r>
      <w:r w:rsidR="00CB110A" w:rsidRPr="004E415A">
        <w:t>assess a firm’s current qualifications.  These include, but are not limited to:</w:t>
      </w:r>
    </w:p>
    <w:p w:rsidR="00CB110A" w:rsidRDefault="0083108C" w:rsidP="00CB110A">
      <w:pPr>
        <w:numPr>
          <w:ilvl w:val="0"/>
          <w:numId w:val="7"/>
        </w:numPr>
        <w:spacing w:before="120"/>
        <w:outlineLvl w:val="0"/>
      </w:pPr>
      <w:r>
        <w:t>Documentation of a DBE’s skills, experience and needs through development of a Business Needs Assessment</w:t>
      </w:r>
      <w:r w:rsidR="0005253D">
        <w:t>, along with a practiced interview technique to successfully glean necessary information from clients</w:t>
      </w:r>
      <w:r w:rsidR="00417996">
        <w:t>;</w:t>
      </w:r>
    </w:p>
    <w:p w:rsidR="0005253D" w:rsidRDefault="0005253D" w:rsidP="00CB110A">
      <w:pPr>
        <w:numPr>
          <w:ilvl w:val="0"/>
          <w:numId w:val="7"/>
        </w:numPr>
        <w:spacing w:before="120"/>
        <w:outlineLvl w:val="0"/>
      </w:pPr>
      <w:r>
        <w:t>Individual Business Management Assistance to DBEs in the form of technical and resource assistance for financial and business planning, as well as public procurement specifically related to MaineDOT opportunities.  Includes both in-house and external specialist resources to provide a wide range of advice and education.</w:t>
      </w:r>
    </w:p>
    <w:p w:rsidR="0005253D" w:rsidRDefault="0005253D" w:rsidP="00CB110A">
      <w:pPr>
        <w:numPr>
          <w:ilvl w:val="0"/>
          <w:numId w:val="7"/>
        </w:numPr>
        <w:spacing w:before="120"/>
        <w:outlineLvl w:val="0"/>
      </w:pPr>
      <w:r>
        <w:t>A rigorous two-year Business Development Program for those DBEs that have the potential and desire to participate.</w:t>
      </w:r>
    </w:p>
    <w:p w:rsidR="00513F75" w:rsidRDefault="0005253D" w:rsidP="00CB110A">
      <w:pPr>
        <w:numPr>
          <w:ilvl w:val="0"/>
          <w:numId w:val="7"/>
        </w:numPr>
        <w:spacing w:before="120"/>
        <w:outlineLvl w:val="0"/>
      </w:pPr>
      <w:r>
        <w:t>Computer and technical assistance to educate DBEs on electronic bidding and how to utilize technology</w:t>
      </w:r>
      <w:r w:rsidR="00A12C0E">
        <w:t xml:space="preserve">, including providing </w:t>
      </w:r>
      <w:r w:rsidR="00513F75">
        <w:t>website development for interested firms</w:t>
      </w:r>
      <w:r>
        <w:t xml:space="preserve">. </w:t>
      </w:r>
    </w:p>
    <w:p w:rsidR="0005253D" w:rsidRPr="004E415A" w:rsidRDefault="00513F75" w:rsidP="00CB110A">
      <w:pPr>
        <w:numPr>
          <w:ilvl w:val="0"/>
          <w:numId w:val="7"/>
        </w:numPr>
        <w:spacing w:before="120"/>
        <w:outlineLvl w:val="0"/>
      </w:pPr>
      <w:r>
        <w:t>Tuition reimbursement providing educational opportunities for DBEs.</w:t>
      </w:r>
      <w:r w:rsidR="0005253D">
        <w:t xml:space="preserve"> </w:t>
      </w:r>
    </w:p>
    <w:p w:rsidR="00864C47" w:rsidRDefault="00CB110A" w:rsidP="00864C47">
      <w:pPr>
        <w:numPr>
          <w:ilvl w:val="0"/>
          <w:numId w:val="7"/>
        </w:numPr>
        <w:spacing w:before="120"/>
        <w:outlineLvl w:val="0"/>
      </w:pPr>
      <w:r w:rsidRPr="004E415A">
        <w:t>Feedback</w:t>
      </w:r>
      <w:r w:rsidR="0054145D">
        <w:t xml:space="preserve"> from primes and from MaineDOT staff providing</w:t>
      </w:r>
      <w:r w:rsidRPr="004E415A">
        <w:t xml:space="preserve"> assistance </w:t>
      </w:r>
      <w:r w:rsidR="0054145D">
        <w:t xml:space="preserve">to </w:t>
      </w:r>
      <w:r w:rsidRPr="004E415A">
        <w:t>firm</w:t>
      </w:r>
      <w:r w:rsidR="00417996">
        <w:t>s</w:t>
      </w:r>
      <w:r w:rsidR="00A31F3E">
        <w:t>.</w:t>
      </w:r>
    </w:p>
    <w:p w:rsidR="00A31F3E" w:rsidRPr="004E415A" w:rsidRDefault="00A31F3E" w:rsidP="00864C47">
      <w:pPr>
        <w:spacing w:before="120"/>
        <w:ind w:left="720"/>
        <w:outlineLvl w:val="0"/>
      </w:pPr>
    </w:p>
    <w:p w:rsidR="00CB110A" w:rsidRPr="004E415A" w:rsidRDefault="00CB110A" w:rsidP="00CB110A">
      <w:pPr>
        <w:outlineLvl w:val="0"/>
      </w:pPr>
      <w:r w:rsidRPr="004E415A">
        <w:t xml:space="preserve">The MaineDOT DBE SS </w:t>
      </w:r>
      <w:r w:rsidR="00882B4F">
        <w:t xml:space="preserve">Consultant </w:t>
      </w:r>
      <w:r w:rsidRPr="004E415A">
        <w:t xml:space="preserve">uses industry business standards and MaineDOT prequalification standards as well as feedback from the primes and others to determine </w:t>
      </w:r>
      <w:r w:rsidR="00417996">
        <w:lastRenderedPageBreak/>
        <w:t xml:space="preserve">the </w:t>
      </w:r>
      <w:r w:rsidRPr="004E415A">
        <w:t>comparable skills and qualifications</w:t>
      </w:r>
      <w:r w:rsidR="00417996">
        <w:t xml:space="preserve"> that each DBE should attain. </w:t>
      </w:r>
      <w:r w:rsidRPr="004E415A">
        <w:t xml:space="preserve"> This is done on a case by case basis as each company delivers a unique set of products and services.</w:t>
      </w:r>
    </w:p>
    <w:p w:rsidR="00E62B26" w:rsidRDefault="00E62B26" w:rsidP="00A471E5">
      <w:pPr>
        <w:autoSpaceDE w:val="0"/>
        <w:autoSpaceDN w:val="0"/>
        <w:adjustRightInd w:val="0"/>
        <w:rPr>
          <w:b/>
          <w:bCs/>
          <w:u w:val="single"/>
        </w:rPr>
      </w:pPr>
    </w:p>
    <w:p w:rsidR="00775B86" w:rsidRDefault="00775B86" w:rsidP="00A471E5">
      <w:pPr>
        <w:autoSpaceDE w:val="0"/>
        <w:autoSpaceDN w:val="0"/>
        <w:adjustRightInd w:val="0"/>
        <w:rPr>
          <w:b/>
          <w:bCs/>
          <w:u w:val="single"/>
        </w:rPr>
      </w:pPr>
      <w:r>
        <w:rPr>
          <w:b/>
          <w:bCs/>
          <w:u w:val="single"/>
        </w:rPr>
        <w:t>Public Process</w:t>
      </w:r>
    </w:p>
    <w:p w:rsidR="00775B86" w:rsidRPr="00775B86" w:rsidRDefault="00775B86" w:rsidP="00A471E5">
      <w:pPr>
        <w:autoSpaceDE w:val="0"/>
        <w:autoSpaceDN w:val="0"/>
        <w:adjustRightInd w:val="0"/>
        <w:rPr>
          <w:b/>
          <w:bCs/>
          <w:u w:val="single"/>
        </w:rPr>
      </w:pPr>
    </w:p>
    <w:p w:rsidR="00133EF9" w:rsidRPr="00775B86" w:rsidRDefault="00775B86" w:rsidP="00133EF9">
      <w:pPr>
        <w:autoSpaceDE w:val="0"/>
        <w:autoSpaceDN w:val="0"/>
        <w:adjustRightInd w:val="0"/>
        <w:rPr>
          <w:color w:val="000000"/>
          <w:shd w:val="clear" w:color="auto" w:fill="FFFFFF"/>
        </w:rPr>
      </w:pPr>
      <w:r w:rsidRPr="00775B86">
        <w:rPr>
          <w:bCs/>
        </w:rPr>
        <w:t>Pursuant to 49 CFR 26.</w:t>
      </w:r>
      <w:r w:rsidR="00C474DD">
        <w:rPr>
          <w:bCs/>
        </w:rPr>
        <w:t>45 (g)(i</w:t>
      </w:r>
      <w:r w:rsidR="00133EF9">
        <w:rPr>
          <w:bCs/>
        </w:rPr>
        <w:t>), MaineDOT:</w:t>
      </w:r>
      <w:r w:rsidR="00133EF9" w:rsidRPr="00775B86">
        <w:rPr>
          <w:bCs/>
        </w:rPr>
        <w:t xml:space="preserve"> </w:t>
      </w:r>
      <w:r w:rsidR="00133EF9" w:rsidRPr="00417996">
        <w:rPr>
          <w:bCs/>
          <w:i/>
        </w:rPr>
        <w:t xml:space="preserve">“must consult with </w:t>
      </w:r>
      <w:r w:rsidR="00133EF9" w:rsidRPr="00417996">
        <w:rPr>
          <w:i/>
          <w:color w:val="000000"/>
          <w:shd w:val="clear" w:color="auto" w:fill="FFFFFF"/>
        </w:rPr>
        <w:t>minority, women's and general contractor groups, community organizations, and other officials or organizations which could be expected to have information concerning the availability of disadvantaged and non-disadvantaged businesses, the effects of discrimination on opportunities for DBEs, and your efforts to establish a level playing field for the participation of DBEs.”</w:t>
      </w:r>
      <w:r w:rsidR="00133EF9" w:rsidRPr="00775B86">
        <w:rPr>
          <w:color w:val="000000"/>
          <w:shd w:val="clear" w:color="auto" w:fill="FFFFFF"/>
        </w:rPr>
        <w:t xml:space="preserve"> </w:t>
      </w:r>
    </w:p>
    <w:p w:rsidR="00133EF9" w:rsidRDefault="00133EF9" w:rsidP="00A471E5">
      <w:pPr>
        <w:autoSpaceDE w:val="0"/>
        <w:autoSpaceDN w:val="0"/>
        <w:adjustRightInd w:val="0"/>
        <w:rPr>
          <w:color w:val="000000"/>
          <w:shd w:val="clear" w:color="auto" w:fill="FFFFFF"/>
        </w:rPr>
      </w:pPr>
    </w:p>
    <w:p w:rsidR="00FD5DF4" w:rsidRDefault="00FD5DF4" w:rsidP="00A471E5">
      <w:pPr>
        <w:autoSpaceDE w:val="0"/>
        <w:autoSpaceDN w:val="0"/>
        <w:adjustRightInd w:val="0"/>
        <w:rPr>
          <w:color w:val="000000"/>
          <w:shd w:val="clear" w:color="auto" w:fill="FFFFFF"/>
        </w:rPr>
      </w:pPr>
    </w:p>
    <w:p w:rsidR="00FD5DF4" w:rsidRDefault="00FD5DF4" w:rsidP="00A471E5">
      <w:pPr>
        <w:autoSpaceDE w:val="0"/>
        <w:autoSpaceDN w:val="0"/>
        <w:adjustRightInd w:val="0"/>
        <w:rPr>
          <w:color w:val="000000"/>
          <w:shd w:val="clear" w:color="auto" w:fill="FFFFFF"/>
        </w:rPr>
      </w:pPr>
      <w:r>
        <w:rPr>
          <w:color w:val="000000"/>
          <w:shd w:val="clear" w:color="auto" w:fill="FFFFFF"/>
        </w:rPr>
        <w:t xml:space="preserve">MaineDOT works closely with our DBE SS Consultant and regularly discusses concerns and successes with DBE firms in Maine. </w:t>
      </w:r>
      <w:r w:rsidR="004A37FA">
        <w:rPr>
          <w:color w:val="000000"/>
          <w:shd w:val="clear" w:color="auto" w:fill="FFFFFF"/>
        </w:rPr>
        <w:t xml:space="preserve">The DBE SS consultant works directly with DBEs and assists firms addressing their concerns and challenges. The DBE SS </w:t>
      </w:r>
      <w:r w:rsidR="00026B67">
        <w:rPr>
          <w:color w:val="000000"/>
          <w:shd w:val="clear" w:color="auto" w:fill="FFFFFF"/>
        </w:rPr>
        <w:t>C</w:t>
      </w:r>
      <w:r w:rsidR="004A37FA">
        <w:rPr>
          <w:color w:val="000000"/>
          <w:shd w:val="clear" w:color="auto" w:fill="FFFFFF"/>
        </w:rPr>
        <w:t>onsultant is a conduit to MaineDOT</w:t>
      </w:r>
      <w:r w:rsidR="00540D3A">
        <w:rPr>
          <w:color w:val="000000"/>
          <w:shd w:val="clear" w:color="auto" w:fill="FFFFFF"/>
        </w:rPr>
        <w:t xml:space="preserve"> for DBEs</w:t>
      </w:r>
      <w:r w:rsidR="004A37FA">
        <w:rPr>
          <w:color w:val="000000"/>
          <w:shd w:val="clear" w:color="auto" w:fill="FFFFFF"/>
        </w:rPr>
        <w:t xml:space="preserve">. </w:t>
      </w:r>
    </w:p>
    <w:p w:rsidR="00FD5DF4" w:rsidRDefault="00FD5DF4" w:rsidP="00A471E5">
      <w:pPr>
        <w:autoSpaceDE w:val="0"/>
        <w:autoSpaceDN w:val="0"/>
        <w:adjustRightInd w:val="0"/>
        <w:rPr>
          <w:color w:val="000000"/>
          <w:shd w:val="clear" w:color="auto" w:fill="FFFFFF"/>
        </w:rPr>
      </w:pPr>
    </w:p>
    <w:p w:rsidR="00062FF3" w:rsidRDefault="00FD5DF4" w:rsidP="00A471E5">
      <w:pPr>
        <w:autoSpaceDE w:val="0"/>
        <w:autoSpaceDN w:val="0"/>
        <w:adjustRightInd w:val="0"/>
        <w:rPr>
          <w:color w:val="000000"/>
          <w:shd w:val="clear" w:color="auto" w:fill="FFFFFF"/>
        </w:rPr>
      </w:pPr>
      <w:r>
        <w:rPr>
          <w:color w:val="000000"/>
          <w:shd w:val="clear" w:color="auto" w:fill="FFFFFF"/>
        </w:rPr>
        <w:t xml:space="preserve">On </w:t>
      </w:r>
      <w:r w:rsidR="004D3CCB">
        <w:rPr>
          <w:color w:val="000000"/>
          <w:shd w:val="clear" w:color="auto" w:fill="FFFFFF"/>
        </w:rPr>
        <w:t>June 18</w:t>
      </w:r>
      <w:r>
        <w:rPr>
          <w:color w:val="000000"/>
          <w:shd w:val="clear" w:color="auto" w:fill="FFFFFF"/>
        </w:rPr>
        <w:t>, 201</w:t>
      </w:r>
      <w:r w:rsidR="00B248F6">
        <w:rPr>
          <w:color w:val="000000"/>
          <w:shd w:val="clear" w:color="auto" w:fill="FFFFFF"/>
        </w:rPr>
        <w:t>8</w:t>
      </w:r>
      <w:r w:rsidR="00417996">
        <w:rPr>
          <w:color w:val="000000"/>
          <w:shd w:val="clear" w:color="auto" w:fill="FFFFFF"/>
        </w:rPr>
        <w:t>,</w:t>
      </w:r>
      <w:r>
        <w:rPr>
          <w:color w:val="000000"/>
          <w:shd w:val="clear" w:color="auto" w:fill="FFFFFF"/>
        </w:rPr>
        <w:t xml:space="preserve"> MaineDOT </w:t>
      </w:r>
      <w:r w:rsidR="0078221F">
        <w:rPr>
          <w:color w:val="000000"/>
          <w:shd w:val="clear" w:color="auto" w:fill="FFFFFF"/>
        </w:rPr>
        <w:t>h</w:t>
      </w:r>
      <w:r w:rsidR="000D3DDF">
        <w:rPr>
          <w:color w:val="000000"/>
          <w:shd w:val="clear" w:color="auto" w:fill="FFFFFF"/>
        </w:rPr>
        <w:t>e</w:t>
      </w:r>
      <w:r w:rsidR="0078221F">
        <w:rPr>
          <w:color w:val="000000"/>
          <w:shd w:val="clear" w:color="auto" w:fill="FFFFFF"/>
        </w:rPr>
        <w:t xml:space="preserve">ld </w:t>
      </w:r>
      <w:r>
        <w:rPr>
          <w:color w:val="000000"/>
          <w:shd w:val="clear" w:color="auto" w:fill="FFFFFF"/>
        </w:rPr>
        <w:t xml:space="preserve">a </w:t>
      </w:r>
      <w:r w:rsidR="008B03AB">
        <w:rPr>
          <w:color w:val="000000"/>
          <w:shd w:val="clear" w:color="auto" w:fill="FFFFFF"/>
        </w:rPr>
        <w:t xml:space="preserve">public meeting </w:t>
      </w:r>
      <w:r w:rsidR="005727CE">
        <w:rPr>
          <w:color w:val="000000"/>
          <w:shd w:val="clear" w:color="auto" w:fill="FFFFFF"/>
        </w:rPr>
        <w:t xml:space="preserve">in the main conference (Room 216) at its headquarters on Capitol Street, Augusta, Maine for attendance in person or </w:t>
      </w:r>
      <w:r w:rsidR="008B03AB">
        <w:rPr>
          <w:color w:val="000000"/>
          <w:shd w:val="clear" w:color="auto" w:fill="FFFFFF"/>
        </w:rPr>
        <w:t xml:space="preserve">via </w:t>
      </w:r>
      <w:r>
        <w:rPr>
          <w:color w:val="000000"/>
          <w:shd w:val="clear" w:color="auto" w:fill="FFFFFF"/>
        </w:rPr>
        <w:t>conference call</w:t>
      </w:r>
      <w:r w:rsidR="005727CE">
        <w:rPr>
          <w:color w:val="000000"/>
          <w:shd w:val="clear" w:color="auto" w:fill="FFFFFF"/>
        </w:rPr>
        <w:t xml:space="preserve">.  We </w:t>
      </w:r>
      <w:r>
        <w:rPr>
          <w:color w:val="000000"/>
          <w:shd w:val="clear" w:color="auto" w:fill="FFFFFF"/>
        </w:rPr>
        <w:t xml:space="preserve"> invit</w:t>
      </w:r>
      <w:r w:rsidR="005727CE">
        <w:rPr>
          <w:color w:val="000000"/>
          <w:shd w:val="clear" w:color="auto" w:fill="FFFFFF"/>
        </w:rPr>
        <w:t>e</w:t>
      </w:r>
      <w:r w:rsidR="000D3DDF">
        <w:rPr>
          <w:color w:val="000000"/>
          <w:shd w:val="clear" w:color="auto" w:fill="FFFFFF"/>
        </w:rPr>
        <w:t>d</w:t>
      </w:r>
      <w:r>
        <w:rPr>
          <w:color w:val="000000"/>
          <w:shd w:val="clear" w:color="auto" w:fill="FFFFFF"/>
        </w:rPr>
        <w:t xml:space="preserve"> </w:t>
      </w:r>
      <w:r w:rsidR="000D3DDF">
        <w:rPr>
          <w:color w:val="000000"/>
          <w:shd w:val="clear" w:color="auto" w:fill="FFFFFF"/>
        </w:rPr>
        <w:t>general</w:t>
      </w:r>
      <w:r>
        <w:rPr>
          <w:color w:val="000000"/>
          <w:shd w:val="clear" w:color="auto" w:fill="FFFFFF"/>
        </w:rPr>
        <w:t xml:space="preserve"> </w:t>
      </w:r>
      <w:r w:rsidR="005727CE">
        <w:rPr>
          <w:color w:val="000000"/>
          <w:shd w:val="clear" w:color="auto" w:fill="FFFFFF"/>
        </w:rPr>
        <w:t xml:space="preserve">contractor associations, </w:t>
      </w:r>
      <w:r>
        <w:rPr>
          <w:color w:val="000000"/>
          <w:shd w:val="clear" w:color="auto" w:fill="FFFFFF"/>
        </w:rPr>
        <w:t xml:space="preserve">DBEs, </w:t>
      </w:r>
      <w:r w:rsidR="00A31F3E">
        <w:rPr>
          <w:color w:val="000000"/>
          <w:shd w:val="clear" w:color="auto" w:fill="FFFFFF"/>
        </w:rPr>
        <w:t xml:space="preserve">the DBE Supportive Services </w:t>
      </w:r>
      <w:r w:rsidR="005727CE">
        <w:rPr>
          <w:color w:val="000000"/>
          <w:shd w:val="clear" w:color="auto" w:fill="FFFFFF"/>
        </w:rPr>
        <w:t>consultant</w:t>
      </w:r>
      <w:r w:rsidR="00A31F3E">
        <w:rPr>
          <w:color w:val="000000"/>
          <w:shd w:val="clear" w:color="auto" w:fill="FFFFFF"/>
        </w:rPr>
        <w:t xml:space="preserve">, </w:t>
      </w:r>
      <w:r w:rsidR="00936A31">
        <w:rPr>
          <w:color w:val="000000"/>
          <w:shd w:val="clear" w:color="auto" w:fill="FFFFFF"/>
        </w:rPr>
        <w:t>Associated General Contractors of Maine, Inc.</w:t>
      </w:r>
      <w:r w:rsidR="004D3CCB">
        <w:rPr>
          <w:color w:val="000000"/>
          <w:shd w:val="clear" w:color="auto" w:fill="FFFFFF"/>
        </w:rPr>
        <w:t xml:space="preserve"> (AGC)</w:t>
      </w:r>
      <w:r w:rsidR="00936A31">
        <w:rPr>
          <w:color w:val="000000"/>
          <w:shd w:val="clear" w:color="auto" w:fill="FFFFFF"/>
        </w:rPr>
        <w:t>, National Association of Women in Construction (NAWIC)</w:t>
      </w:r>
      <w:r w:rsidR="00800F60">
        <w:rPr>
          <w:color w:val="000000"/>
          <w:shd w:val="clear" w:color="auto" w:fill="FFFFFF"/>
        </w:rPr>
        <w:t>, the Maine Better Transportation Association</w:t>
      </w:r>
      <w:r w:rsidR="004D3CCB">
        <w:rPr>
          <w:color w:val="000000"/>
          <w:shd w:val="clear" w:color="auto" w:fill="FFFFFF"/>
        </w:rPr>
        <w:t xml:space="preserve"> (MBTA)</w:t>
      </w:r>
      <w:r>
        <w:rPr>
          <w:color w:val="000000"/>
          <w:shd w:val="clear" w:color="auto" w:fill="FFFFFF"/>
        </w:rPr>
        <w:t xml:space="preserve">, </w:t>
      </w:r>
      <w:r w:rsidR="00E20266">
        <w:rPr>
          <w:color w:val="000000"/>
          <w:shd w:val="clear" w:color="auto" w:fill="FFFFFF"/>
        </w:rPr>
        <w:t>t</w:t>
      </w:r>
      <w:r>
        <w:rPr>
          <w:color w:val="000000"/>
          <w:shd w:val="clear" w:color="auto" w:fill="FFFFFF"/>
        </w:rPr>
        <w:t>he Women’s Business Center  the National Association for the Advancement of Colored People</w:t>
      </w:r>
      <w:r w:rsidR="004A37FA">
        <w:rPr>
          <w:color w:val="000000"/>
          <w:shd w:val="clear" w:color="auto" w:fill="FFFFFF"/>
        </w:rPr>
        <w:t xml:space="preserve"> (NAACP)</w:t>
      </w:r>
      <w:r>
        <w:rPr>
          <w:color w:val="000000"/>
          <w:shd w:val="clear" w:color="auto" w:fill="FFFFFF"/>
        </w:rPr>
        <w:t xml:space="preserve"> Maine Chapter</w:t>
      </w:r>
      <w:r w:rsidR="004D3CCB">
        <w:rPr>
          <w:color w:val="000000"/>
          <w:shd w:val="clear" w:color="auto" w:fill="FFFFFF"/>
        </w:rPr>
        <w:t>, the American Council of Engineering Companies in Maine (ACEC)</w:t>
      </w:r>
      <w:r>
        <w:rPr>
          <w:color w:val="000000"/>
          <w:shd w:val="clear" w:color="auto" w:fill="FFFFFF"/>
        </w:rPr>
        <w:t xml:space="preserve"> to participate in a di</w:t>
      </w:r>
      <w:r w:rsidR="00864C47">
        <w:rPr>
          <w:color w:val="000000"/>
          <w:shd w:val="clear" w:color="auto" w:fill="FFFFFF"/>
        </w:rPr>
        <w:t xml:space="preserve">scussion of our </w:t>
      </w:r>
      <w:r w:rsidR="00062FF3">
        <w:rPr>
          <w:color w:val="000000"/>
          <w:shd w:val="clear" w:color="auto" w:fill="FFFFFF"/>
        </w:rPr>
        <w:t>G</w:t>
      </w:r>
      <w:r w:rsidR="00864C47">
        <w:rPr>
          <w:color w:val="000000"/>
          <w:shd w:val="clear" w:color="auto" w:fill="FFFFFF"/>
        </w:rPr>
        <w:t xml:space="preserve">oal </w:t>
      </w:r>
      <w:r w:rsidR="00062FF3">
        <w:rPr>
          <w:color w:val="000000"/>
          <w:shd w:val="clear" w:color="auto" w:fill="FFFFFF"/>
        </w:rPr>
        <w:t>M</w:t>
      </w:r>
      <w:r w:rsidR="00864C47">
        <w:rPr>
          <w:color w:val="000000"/>
          <w:shd w:val="clear" w:color="auto" w:fill="FFFFFF"/>
        </w:rPr>
        <w:t>ethodology</w:t>
      </w:r>
      <w:r w:rsidR="00AE2075">
        <w:rPr>
          <w:color w:val="000000"/>
          <w:shd w:val="clear" w:color="auto" w:fill="FFFFFF"/>
        </w:rPr>
        <w:t>,</w:t>
      </w:r>
      <w:r w:rsidR="00864C47">
        <w:rPr>
          <w:color w:val="000000"/>
          <w:shd w:val="clear" w:color="auto" w:fill="FFFFFF"/>
        </w:rPr>
        <w:t xml:space="preserve"> to </w:t>
      </w:r>
      <w:r w:rsidR="00AE2075">
        <w:rPr>
          <w:color w:val="000000"/>
          <w:shd w:val="clear" w:color="auto" w:fill="FFFFFF"/>
        </w:rPr>
        <w:t>obtain information relevant to our goal setting process and to</w:t>
      </w:r>
      <w:r w:rsidR="005E5BFD">
        <w:rPr>
          <w:color w:val="000000"/>
          <w:shd w:val="clear" w:color="auto" w:fill="FFFFFF"/>
        </w:rPr>
        <w:t xml:space="preserve"> </w:t>
      </w:r>
      <w:r w:rsidR="00864C47">
        <w:rPr>
          <w:color w:val="000000"/>
          <w:shd w:val="clear" w:color="auto" w:fill="FFFFFF"/>
        </w:rPr>
        <w:t>express any concerns about MaineDOT’s DBE program</w:t>
      </w:r>
      <w:r>
        <w:rPr>
          <w:color w:val="000000"/>
          <w:shd w:val="clear" w:color="auto" w:fill="FFFFFF"/>
        </w:rPr>
        <w:t xml:space="preserve">.  </w:t>
      </w:r>
      <w:r w:rsidR="00864C47">
        <w:rPr>
          <w:color w:val="000000"/>
          <w:shd w:val="clear" w:color="auto" w:fill="FFFFFF"/>
        </w:rPr>
        <w:t xml:space="preserve">Advance copies of the draft Goal Methodology </w:t>
      </w:r>
      <w:r w:rsidR="00062FF3">
        <w:rPr>
          <w:color w:val="000000"/>
          <w:shd w:val="clear" w:color="auto" w:fill="FFFFFF"/>
        </w:rPr>
        <w:t>w</w:t>
      </w:r>
      <w:r w:rsidR="000D3DDF">
        <w:rPr>
          <w:color w:val="000000"/>
          <w:shd w:val="clear" w:color="auto" w:fill="FFFFFF"/>
        </w:rPr>
        <w:t>ere</w:t>
      </w:r>
      <w:r w:rsidR="00062FF3">
        <w:rPr>
          <w:color w:val="000000"/>
          <w:shd w:val="clear" w:color="auto" w:fill="FFFFFF"/>
        </w:rPr>
        <w:t xml:space="preserve"> provided to invitees prior to the meeting.  The draft </w:t>
      </w:r>
      <w:r w:rsidR="000D3DDF">
        <w:rPr>
          <w:color w:val="000000"/>
          <w:shd w:val="clear" w:color="auto" w:fill="FFFFFF"/>
        </w:rPr>
        <w:t>was available</w:t>
      </w:r>
      <w:r w:rsidR="00062FF3">
        <w:rPr>
          <w:color w:val="000000"/>
          <w:shd w:val="clear" w:color="auto" w:fill="FFFFFF"/>
        </w:rPr>
        <w:t xml:space="preserve"> at the Civil Rights Office website:  </w:t>
      </w:r>
      <w:hyperlink r:id="rId10" w:history="1">
        <w:r w:rsidR="00062FF3" w:rsidRPr="00062FF3">
          <w:rPr>
            <w:rStyle w:val="Hyperlink"/>
            <w:shd w:val="clear" w:color="auto" w:fill="FFFFFF"/>
          </w:rPr>
          <w:t>http://www.maine.gov/mdot/civilrights/dbe</w:t>
        </w:r>
      </w:hyperlink>
    </w:p>
    <w:p w:rsidR="00062FF3" w:rsidRDefault="00062FF3" w:rsidP="00A471E5">
      <w:pPr>
        <w:autoSpaceDE w:val="0"/>
        <w:autoSpaceDN w:val="0"/>
        <w:adjustRightInd w:val="0"/>
        <w:rPr>
          <w:color w:val="000000"/>
          <w:shd w:val="clear" w:color="auto" w:fill="FFFFFF"/>
        </w:rPr>
      </w:pPr>
    </w:p>
    <w:p w:rsidR="00864C47" w:rsidRDefault="00FD5DF4" w:rsidP="00A471E5">
      <w:pPr>
        <w:autoSpaceDE w:val="0"/>
        <w:autoSpaceDN w:val="0"/>
        <w:adjustRightInd w:val="0"/>
        <w:rPr>
          <w:color w:val="000000"/>
          <w:shd w:val="clear" w:color="auto" w:fill="FFFFFF"/>
        </w:rPr>
      </w:pPr>
      <w:r>
        <w:rPr>
          <w:color w:val="000000"/>
          <w:shd w:val="clear" w:color="auto" w:fill="FFFFFF"/>
        </w:rPr>
        <w:t>At the meeting</w:t>
      </w:r>
      <w:r w:rsidR="00417996">
        <w:rPr>
          <w:color w:val="000000"/>
          <w:shd w:val="clear" w:color="auto" w:fill="FFFFFF"/>
        </w:rPr>
        <w:t>,</w:t>
      </w:r>
      <w:r>
        <w:rPr>
          <w:color w:val="000000"/>
          <w:shd w:val="clear" w:color="auto" w:fill="FFFFFF"/>
        </w:rPr>
        <w:t xml:space="preserve"> the </w:t>
      </w:r>
      <w:r w:rsidR="00864C47">
        <w:rPr>
          <w:color w:val="000000"/>
          <w:shd w:val="clear" w:color="auto" w:fill="FFFFFF"/>
        </w:rPr>
        <w:t xml:space="preserve">draft </w:t>
      </w:r>
      <w:r w:rsidR="00062FF3">
        <w:rPr>
          <w:color w:val="000000"/>
          <w:shd w:val="clear" w:color="auto" w:fill="FFFFFF"/>
        </w:rPr>
        <w:t>G</w:t>
      </w:r>
      <w:r>
        <w:rPr>
          <w:color w:val="000000"/>
          <w:shd w:val="clear" w:color="auto" w:fill="FFFFFF"/>
        </w:rPr>
        <w:t xml:space="preserve">oal </w:t>
      </w:r>
      <w:r w:rsidR="00062FF3">
        <w:rPr>
          <w:color w:val="000000"/>
          <w:shd w:val="clear" w:color="auto" w:fill="FFFFFF"/>
        </w:rPr>
        <w:t>M</w:t>
      </w:r>
      <w:r>
        <w:rPr>
          <w:color w:val="000000"/>
          <w:shd w:val="clear" w:color="auto" w:fill="FFFFFF"/>
        </w:rPr>
        <w:t>ethodology w</w:t>
      </w:r>
      <w:r w:rsidR="000D3DDF">
        <w:rPr>
          <w:color w:val="000000"/>
          <w:shd w:val="clear" w:color="auto" w:fill="FFFFFF"/>
        </w:rPr>
        <w:t>as</w:t>
      </w:r>
      <w:r>
        <w:rPr>
          <w:color w:val="000000"/>
          <w:shd w:val="clear" w:color="auto" w:fill="FFFFFF"/>
        </w:rPr>
        <w:t xml:space="preserve"> presented and </w:t>
      </w:r>
      <w:r w:rsidR="00864C47">
        <w:rPr>
          <w:color w:val="000000"/>
          <w:shd w:val="clear" w:color="auto" w:fill="FFFFFF"/>
        </w:rPr>
        <w:t>representatives of MaineDOT’s Civil Rights Office listen</w:t>
      </w:r>
      <w:r w:rsidR="000D3DDF">
        <w:rPr>
          <w:color w:val="000000"/>
          <w:shd w:val="clear" w:color="auto" w:fill="FFFFFF"/>
        </w:rPr>
        <w:t>ed</w:t>
      </w:r>
      <w:r w:rsidR="00864C47">
        <w:rPr>
          <w:color w:val="000000"/>
          <w:shd w:val="clear" w:color="auto" w:fill="FFFFFF"/>
        </w:rPr>
        <w:t xml:space="preserve"> to concerns, receive</w:t>
      </w:r>
      <w:r w:rsidR="00685995">
        <w:rPr>
          <w:color w:val="000000"/>
          <w:shd w:val="clear" w:color="auto" w:fill="FFFFFF"/>
        </w:rPr>
        <w:t>d</w:t>
      </w:r>
      <w:r w:rsidR="00864C47">
        <w:rPr>
          <w:color w:val="000000"/>
          <w:shd w:val="clear" w:color="auto" w:fill="FFFFFF"/>
        </w:rPr>
        <w:t xml:space="preserve"> comments and answer</w:t>
      </w:r>
      <w:r w:rsidR="00685995">
        <w:rPr>
          <w:color w:val="000000"/>
          <w:shd w:val="clear" w:color="auto" w:fill="FFFFFF"/>
        </w:rPr>
        <w:t>ed</w:t>
      </w:r>
      <w:r w:rsidR="00864C47">
        <w:rPr>
          <w:color w:val="000000"/>
          <w:shd w:val="clear" w:color="auto" w:fill="FFFFFF"/>
        </w:rPr>
        <w:t xml:space="preserve"> </w:t>
      </w:r>
      <w:r>
        <w:rPr>
          <w:color w:val="000000"/>
          <w:shd w:val="clear" w:color="auto" w:fill="FFFFFF"/>
        </w:rPr>
        <w:t>questions</w:t>
      </w:r>
      <w:r w:rsidR="001751CA">
        <w:rPr>
          <w:color w:val="000000"/>
          <w:shd w:val="clear" w:color="auto" w:fill="FFFFFF"/>
        </w:rPr>
        <w:t>.</w:t>
      </w:r>
      <w:r w:rsidR="000D3DDF">
        <w:rPr>
          <w:color w:val="000000"/>
          <w:shd w:val="clear" w:color="auto" w:fill="FFFFFF"/>
        </w:rPr>
        <w:t xml:space="preserve">  Other than some minor corrections</w:t>
      </w:r>
      <w:r w:rsidR="00685995">
        <w:rPr>
          <w:color w:val="000000"/>
          <w:shd w:val="clear" w:color="auto" w:fill="FFFFFF"/>
        </w:rPr>
        <w:t xml:space="preserve"> to the document</w:t>
      </w:r>
      <w:r w:rsidR="000D3DDF">
        <w:rPr>
          <w:color w:val="000000"/>
          <w:shd w:val="clear" w:color="auto" w:fill="FFFFFF"/>
        </w:rPr>
        <w:t>, there were no comments on the draft methodology.</w:t>
      </w:r>
    </w:p>
    <w:p w:rsidR="00FD5DF4" w:rsidRDefault="00FD5DF4" w:rsidP="00A471E5">
      <w:pPr>
        <w:autoSpaceDE w:val="0"/>
        <w:autoSpaceDN w:val="0"/>
        <w:adjustRightInd w:val="0"/>
        <w:rPr>
          <w:color w:val="000000"/>
          <w:shd w:val="clear" w:color="auto" w:fill="FFFFFF"/>
        </w:rPr>
      </w:pPr>
    </w:p>
    <w:p w:rsidR="00C474DD" w:rsidRDefault="00C474DD" w:rsidP="00A471E5">
      <w:pPr>
        <w:autoSpaceDE w:val="0"/>
        <w:autoSpaceDN w:val="0"/>
        <w:adjustRightInd w:val="0"/>
        <w:rPr>
          <w:color w:val="000000"/>
          <w:shd w:val="clear" w:color="auto" w:fill="FFFFFF"/>
        </w:rPr>
      </w:pPr>
    </w:p>
    <w:p w:rsidR="008A49BC" w:rsidRDefault="008A49BC" w:rsidP="00A471E5">
      <w:pPr>
        <w:autoSpaceDE w:val="0"/>
        <w:autoSpaceDN w:val="0"/>
        <w:adjustRightInd w:val="0"/>
        <w:rPr>
          <w:color w:val="000000"/>
          <w:shd w:val="clear" w:color="auto" w:fill="FFFFFF"/>
        </w:rPr>
      </w:pPr>
    </w:p>
    <w:p w:rsidR="008A49BC" w:rsidRDefault="008A49BC" w:rsidP="00A471E5">
      <w:pPr>
        <w:autoSpaceDE w:val="0"/>
        <w:autoSpaceDN w:val="0"/>
        <w:adjustRightInd w:val="0"/>
        <w:rPr>
          <w:color w:val="000000"/>
          <w:shd w:val="clear" w:color="auto" w:fill="FFFFFF"/>
        </w:rPr>
      </w:pPr>
    </w:p>
    <w:sectPr w:rsidR="008A49BC" w:rsidSect="0077345D">
      <w:headerReference w:type="default" r:id="rId11"/>
      <w:footerReference w:type="even" r:id="rId12"/>
      <w:footerReference w:type="default" r:id="rId13"/>
      <w:footnotePr>
        <w:numFmt w:val="chicago"/>
      </w:footnotePr>
      <w:type w:val="continuous"/>
      <w:pgSz w:w="12240" w:h="15840"/>
      <w:pgMar w:top="1440" w:right="1800" w:bottom="1440" w:left="180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38" w:rsidRDefault="007F2E38">
      <w:r>
        <w:separator/>
      </w:r>
    </w:p>
  </w:endnote>
  <w:endnote w:type="continuationSeparator" w:id="0">
    <w:p w:rsidR="007F2E38" w:rsidRDefault="007F2E38">
      <w:r>
        <w:continuationSeparator/>
      </w:r>
    </w:p>
  </w:endnote>
  <w:endnote w:type="continuationNotice" w:id="1">
    <w:p w:rsidR="007F2E38" w:rsidRDefault="007F2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38" w:rsidRDefault="007F2E38" w:rsidP="00017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E38" w:rsidRDefault="007F2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38" w:rsidRDefault="007F2E38" w:rsidP="00017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690">
      <w:rPr>
        <w:rStyle w:val="PageNumber"/>
        <w:noProof/>
      </w:rPr>
      <w:t>5</w:t>
    </w:r>
    <w:r>
      <w:rPr>
        <w:rStyle w:val="PageNumber"/>
      </w:rPr>
      <w:fldChar w:fldCharType="end"/>
    </w:r>
  </w:p>
  <w:p w:rsidR="007F2E38" w:rsidRDefault="007F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38" w:rsidRDefault="007F2E38">
      <w:r>
        <w:separator/>
      </w:r>
    </w:p>
  </w:footnote>
  <w:footnote w:type="continuationSeparator" w:id="0">
    <w:p w:rsidR="007F2E38" w:rsidRDefault="007F2E38">
      <w:r>
        <w:continuationSeparator/>
      </w:r>
    </w:p>
  </w:footnote>
  <w:footnote w:type="continuationNotice" w:id="1">
    <w:p w:rsidR="007F2E38" w:rsidRDefault="007F2E38"/>
  </w:footnote>
  <w:footnote w:id="2">
    <w:p w:rsidR="000804F9" w:rsidRDefault="000804F9">
      <w:pPr>
        <w:pStyle w:val="FootnoteText"/>
      </w:pPr>
      <w:r>
        <w:rPr>
          <w:rStyle w:val="FootnoteReference"/>
        </w:rPr>
        <w:footnoteRef/>
      </w:r>
      <w:r>
        <w:t xml:space="preserve">   For purposes of this</w:t>
      </w:r>
      <w:r w:rsidR="004026ED">
        <w:t xml:space="preserve"> document “contractors” and “subcontractors” include both construction contractors and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38" w:rsidRDefault="007F2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D36"/>
    <w:multiLevelType w:val="hybridMultilevel"/>
    <w:tmpl w:val="FD2C4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F3006C"/>
    <w:multiLevelType w:val="hybridMultilevel"/>
    <w:tmpl w:val="9F32D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322F7"/>
    <w:multiLevelType w:val="hybridMultilevel"/>
    <w:tmpl w:val="289E7FDC"/>
    <w:lvl w:ilvl="0" w:tplc="495234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C7401"/>
    <w:multiLevelType w:val="hybridMultilevel"/>
    <w:tmpl w:val="372AD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F3024"/>
    <w:multiLevelType w:val="hybridMultilevel"/>
    <w:tmpl w:val="70863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C492E1"/>
    <w:multiLevelType w:val="hybridMultilevel"/>
    <w:tmpl w:val="83237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826389"/>
    <w:multiLevelType w:val="hybridMultilevel"/>
    <w:tmpl w:val="80FA9AF8"/>
    <w:lvl w:ilvl="0" w:tplc="E5BACF98">
      <w:start w:val="1"/>
      <w:numFmt w:val="bullet"/>
      <w:lvlText w:val="•"/>
      <w:lvlJc w:val="left"/>
      <w:pPr>
        <w:tabs>
          <w:tab w:val="num" w:pos="1500"/>
        </w:tabs>
        <w:ind w:left="150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026C45"/>
    <w:multiLevelType w:val="hybridMultilevel"/>
    <w:tmpl w:val="7CEA964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15D0302"/>
    <w:multiLevelType w:val="hybridMultilevel"/>
    <w:tmpl w:val="7258226C"/>
    <w:lvl w:ilvl="0" w:tplc="D2CEC536">
      <w:start w:val="1"/>
      <w:numFmt w:val="bullet"/>
      <w:pStyle w:val="Normal"/>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A7BA4"/>
    <w:multiLevelType w:val="hybridMultilevel"/>
    <w:tmpl w:val="37DA15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7"/>
  </w:num>
  <w:num w:numId="4">
    <w:abstractNumId w:val="1"/>
  </w:num>
  <w:num w:numId="5">
    <w:abstractNumId w:val="2"/>
  </w:num>
  <w:num w:numId="6">
    <w:abstractNumId w:val="9"/>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E5"/>
    <w:rsid w:val="00001EF8"/>
    <w:rsid w:val="00011AC8"/>
    <w:rsid w:val="00013E03"/>
    <w:rsid w:val="00014E67"/>
    <w:rsid w:val="00017579"/>
    <w:rsid w:val="000228CB"/>
    <w:rsid w:val="00023630"/>
    <w:rsid w:val="00024529"/>
    <w:rsid w:val="00024FED"/>
    <w:rsid w:val="00026A2E"/>
    <w:rsid w:val="00026B67"/>
    <w:rsid w:val="000337D2"/>
    <w:rsid w:val="00044992"/>
    <w:rsid w:val="00047946"/>
    <w:rsid w:val="00052115"/>
    <w:rsid w:val="0005253D"/>
    <w:rsid w:val="00062167"/>
    <w:rsid w:val="00062DC4"/>
    <w:rsid w:val="00062FF3"/>
    <w:rsid w:val="000657C8"/>
    <w:rsid w:val="00066618"/>
    <w:rsid w:val="000804F9"/>
    <w:rsid w:val="00094690"/>
    <w:rsid w:val="00097497"/>
    <w:rsid w:val="000A4E62"/>
    <w:rsid w:val="000A65D4"/>
    <w:rsid w:val="000B7F2D"/>
    <w:rsid w:val="000C54C3"/>
    <w:rsid w:val="000D3DDF"/>
    <w:rsid w:val="000D4035"/>
    <w:rsid w:val="000D5229"/>
    <w:rsid w:val="000E0078"/>
    <w:rsid w:val="000E38BB"/>
    <w:rsid w:val="000E5600"/>
    <w:rsid w:val="000E7AE7"/>
    <w:rsid w:val="000F7589"/>
    <w:rsid w:val="00102363"/>
    <w:rsid w:val="00105229"/>
    <w:rsid w:val="0010578C"/>
    <w:rsid w:val="00106DCB"/>
    <w:rsid w:val="00116DE3"/>
    <w:rsid w:val="00117BB3"/>
    <w:rsid w:val="00117D70"/>
    <w:rsid w:val="00133A52"/>
    <w:rsid w:val="00133EF9"/>
    <w:rsid w:val="00135056"/>
    <w:rsid w:val="0014286C"/>
    <w:rsid w:val="0014350C"/>
    <w:rsid w:val="0014482F"/>
    <w:rsid w:val="001460B2"/>
    <w:rsid w:val="00147EA1"/>
    <w:rsid w:val="00151482"/>
    <w:rsid w:val="00151F51"/>
    <w:rsid w:val="00152BB3"/>
    <w:rsid w:val="001572ED"/>
    <w:rsid w:val="00163CB7"/>
    <w:rsid w:val="00171F45"/>
    <w:rsid w:val="001729EB"/>
    <w:rsid w:val="00172DAE"/>
    <w:rsid w:val="001740DD"/>
    <w:rsid w:val="00174587"/>
    <w:rsid w:val="001751CA"/>
    <w:rsid w:val="00177C19"/>
    <w:rsid w:val="00177F31"/>
    <w:rsid w:val="001954E0"/>
    <w:rsid w:val="001A2FBC"/>
    <w:rsid w:val="001A68A4"/>
    <w:rsid w:val="001B2028"/>
    <w:rsid w:val="001B3B58"/>
    <w:rsid w:val="001C3640"/>
    <w:rsid w:val="001C7091"/>
    <w:rsid w:val="001D5CDF"/>
    <w:rsid w:val="001E3F09"/>
    <w:rsid w:val="001F5EF2"/>
    <w:rsid w:val="0020099B"/>
    <w:rsid w:val="00201253"/>
    <w:rsid w:val="00201E73"/>
    <w:rsid w:val="00206047"/>
    <w:rsid w:val="00207240"/>
    <w:rsid w:val="002074B6"/>
    <w:rsid w:val="002110E7"/>
    <w:rsid w:val="00217223"/>
    <w:rsid w:val="00217CC0"/>
    <w:rsid w:val="00234CC4"/>
    <w:rsid w:val="00235057"/>
    <w:rsid w:val="00245371"/>
    <w:rsid w:val="00257143"/>
    <w:rsid w:val="002579A8"/>
    <w:rsid w:val="002603E1"/>
    <w:rsid w:val="00260ABE"/>
    <w:rsid w:val="0026160D"/>
    <w:rsid w:val="00262644"/>
    <w:rsid w:val="00265073"/>
    <w:rsid w:val="00265A2B"/>
    <w:rsid w:val="00274768"/>
    <w:rsid w:val="00280479"/>
    <w:rsid w:val="00281214"/>
    <w:rsid w:val="002822E6"/>
    <w:rsid w:val="002868D6"/>
    <w:rsid w:val="00290151"/>
    <w:rsid w:val="00290349"/>
    <w:rsid w:val="00297C10"/>
    <w:rsid w:val="002A037B"/>
    <w:rsid w:val="002A03D5"/>
    <w:rsid w:val="002A35FD"/>
    <w:rsid w:val="002A467F"/>
    <w:rsid w:val="002A78B7"/>
    <w:rsid w:val="002A7A8C"/>
    <w:rsid w:val="002B4402"/>
    <w:rsid w:val="002B4418"/>
    <w:rsid w:val="002B59E9"/>
    <w:rsid w:val="002B7457"/>
    <w:rsid w:val="002C7F37"/>
    <w:rsid w:val="002D60DB"/>
    <w:rsid w:val="002E4E49"/>
    <w:rsid w:val="002F0B7D"/>
    <w:rsid w:val="002F0E40"/>
    <w:rsid w:val="002F1651"/>
    <w:rsid w:val="002F1717"/>
    <w:rsid w:val="002F77C7"/>
    <w:rsid w:val="00301B63"/>
    <w:rsid w:val="00305A91"/>
    <w:rsid w:val="0030797E"/>
    <w:rsid w:val="0031388E"/>
    <w:rsid w:val="0031599B"/>
    <w:rsid w:val="00316BC9"/>
    <w:rsid w:val="00320EB3"/>
    <w:rsid w:val="0032110B"/>
    <w:rsid w:val="003266B1"/>
    <w:rsid w:val="00330477"/>
    <w:rsid w:val="0033268D"/>
    <w:rsid w:val="003332DA"/>
    <w:rsid w:val="00343FE3"/>
    <w:rsid w:val="00345BE8"/>
    <w:rsid w:val="00354A56"/>
    <w:rsid w:val="00355057"/>
    <w:rsid w:val="00362E7B"/>
    <w:rsid w:val="003637AF"/>
    <w:rsid w:val="00363F13"/>
    <w:rsid w:val="0036683C"/>
    <w:rsid w:val="0037380D"/>
    <w:rsid w:val="00386B2D"/>
    <w:rsid w:val="00391C13"/>
    <w:rsid w:val="003921F1"/>
    <w:rsid w:val="003955B4"/>
    <w:rsid w:val="003974CE"/>
    <w:rsid w:val="003A0086"/>
    <w:rsid w:val="003A44D1"/>
    <w:rsid w:val="003A4F6D"/>
    <w:rsid w:val="003B0511"/>
    <w:rsid w:val="003B1809"/>
    <w:rsid w:val="003C0032"/>
    <w:rsid w:val="003C1A8A"/>
    <w:rsid w:val="003C551D"/>
    <w:rsid w:val="003D1032"/>
    <w:rsid w:val="003D36F5"/>
    <w:rsid w:val="003E0321"/>
    <w:rsid w:val="003E4E1F"/>
    <w:rsid w:val="003F14D4"/>
    <w:rsid w:val="003F20E6"/>
    <w:rsid w:val="003F3BF4"/>
    <w:rsid w:val="003F6F87"/>
    <w:rsid w:val="003F7F94"/>
    <w:rsid w:val="004026ED"/>
    <w:rsid w:val="00402A91"/>
    <w:rsid w:val="00411408"/>
    <w:rsid w:val="0041457C"/>
    <w:rsid w:val="004146DF"/>
    <w:rsid w:val="00417996"/>
    <w:rsid w:val="00420E52"/>
    <w:rsid w:val="00431258"/>
    <w:rsid w:val="00432050"/>
    <w:rsid w:val="00433352"/>
    <w:rsid w:val="004365E8"/>
    <w:rsid w:val="00442D0D"/>
    <w:rsid w:val="00450902"/>
    <w:rsid w:val="004535E5"/>
    <w:rsid w:val="004548E4"/>
    <w:rsid w:val="00455252"/>
    <w:rsid w:val="00455A83"/>
    <w:rsid w:val="00456BA2"/>
    <w:rsid w:val="00460FFC"/>
    <w:rsid w:val="004661A3"/>
    <w:rsid w:val="00470B51"/>
    <w:rsid w:val="00471C62"/>
    <w:rsid w:val="00474FAE"/>
    <w:rsid w:val="00476FB3"/>
    <w:rsid w:val="00486289"/>
    <w:rsid w:val="00487EE7"/>
    <w:rsid w:val="004900CB"/>
    <w:rsid w:val="004902C2"/>
    <w:rsid w:val="004965D7"/>
    <w:rsid w:val="004A12BE"/>
    <w:rsid w:val="004A37FA"/>
    <w:rsid w:val="004C2BBA"/>
    <w:rsid w:val="004C3AB3"/>
    <w:rsid w:val="004C73DD"/>
    <w:rsid w:val="004C79D6"/>
    <w:rsid w:val="004D17DB"/>
    <w:rsid w:val="004D3CCB"/>
    <w:rsid w:val="004D6E42"/>
    <w:rsid w:val="004E1086"/>
    <w:rsid w:val="004E1672"/>
    <w:rsid w:val="004E317A"/>
    <w:rsid w:val="004E33C8"/>
    <w:rsid w:val="004E6A9C"/>
    <w:rsid w:val="004E771B"/>
    <w:rsid w:val="004F2721"/>
    <w:rsid w:val="004F5228"/>
    <w:rsid w:val="005044DB"/>
    <w:rsid w:val="00507EC2"/>
    <w:rsid w:val="00512AD4"/>
    <w:rsid w:val="00513F75"/>
    <w:rsid w:val="005150F8"/>
    <w:rsid w:val="005162F0"/>
    <w:rsid w:val="00521777"/>
    <w:rsid w:val="00521A42"/>
    <w:rsid w:val="00524D4C"/>
    <w:rsid w:val="00530F3E"/>
    <w:rsid w:val="00533116"/>
    <w:rsid w:val="00533D9A"/>
    <w:rsid w:val="00535ADF"/>
    <w:rsid w:val="00535B65"/>
    <w:rsid w:val="00540D3A"/>
    <w:rsid w:val="0054145D"/>
    <w:rsid w:val="00542957"/>
    <w:rsid w:val="00560893"/>
    <w:rsid w:val="005648CD"/>
    <w:rsid w:val="00565A16"/>
    <w:rsid w:val="00566A3F"/>
    <w:rsid w:val="00567C83"/>
    <w:rsid w:val="00570BC5"/>
    <w:rsid w:val="005727CE"/>
    <w:rsid w:val="00572A26"/>
    <w:rsid w:val="0058430F"/>
    <w:rsid w:val="00590795"/>
    <w:rsid w:val="00593AC3"/>
    <w:rsid w:val="005950D8"/>
    <w:rsid w:val="005A1343"/>
    <w:rsid w:val="005A1374"/>
    <w:rsid w:val="005A6D82"/>
    <w:rsid w:val="005A7C75"/>
    <w:rsid w:val="005B1118"/>
    <w:rsid w:val="005B16E8"/>
    <w:rsid w:val="005B365D"/>
    <w:rsid w:val="005E37FF"/>
    <w:rsid w:val="005E5BFD"/>
    <w:rsid w:val="005E6BCC"/>
    <w:rsid w:val="005F0377"/>
    <w:rsid w:val="005F5C70"/>
    <w:rsid w:val="00603301"/>
    <w:rsid w:val="006059F6"/>
    <w:rsid w:val="006206FF"/>
    <w:rsid w:val="00627720"/>
    <w:rsid w:val="0063018A"/>
    <w:rsid w:val="00633B0F"/>
    <w:rsid w:val="00634A62"/>
    <w:rsid w:val="00635ED7"/>
    <w:rsid w:val="006452F8"/>
    <w:rsid w:val="00646041"/>
    <w:rsid w:val="00651875"/>
    <w:rsid w:val="00657C67"/>
    <w:rsid w:val="0066188C"/>
    <w:rsid w:val="00672C63"/>
    <w:rsid w:val="006730AD"/>
    <w:rsid w:val="00673A92"/>
    <w:rsid w:val="00685750"/>
    <w:rsid w:val="00685995"/>
    <w:rsid w:val="00687E81"/>
    <w:rsid w:val="006906FA"/>
    <w:rsid w:val="0069426B"/>
    <w:rsid w:val="006955F5"/>
    <w:rsid w:val="006978EF"/>
    <w:rsid w:val="006B08D7"/>
    <w:rsid w:val="006B44D1"/>
    <w:rsid w:val="006B44F4"/>
    <w:rsid w:val="006B5C1B"/>
    <w:rsid w:val="006C0CFB"/>
    <w:rsid w:val="006C2B69"/>
    <w:rsid w:val="006C5D93"/>
    <w:rsid w:val="006C64C8"/>
    <w:rsid w:val="006C7F73"/>
    <w:rsid w:val="006D01C9"/>
    <w:rsid w:val="006D3E52"/>
    <w:rsid w:val="006D7B93"/>
    <w:rsid w:val="006E0FFC"/>
    <w:rsid w:val="006E1F44"/>
    <w:rsid w:val="006E22E6"/>
    <w:rsid w:val="006E2339"/>
    <w:rsid w:val="006E5A97"/>
    <w:rsid w:val="006F5030"/>
    <w:rsid w:val="007125D6"/>
    <w:rsid w:val="00712F59"/>
    <w:rsid w:val="00713F87"/>
    <w:rsid w:val="00715177"/>
    <w:rsid w:val="0071754C"/>
    <w:rsid w:val="00723405"/>
    <w:rsid w:val="0073061F"/>
    <w:rsid w:val="00733C25"/>
    <w:rsid w:val="007345F4"/>
    <w:rsid w:val="00734ABB"/>
    <w:rsid w:val="007368D6"/>
    <w:rsid w:val="00740FDF"/>
    <w:rsid w:val="007430D7"/>
    <w:rsid w:val="00745B50"/>
    <w:rsid w:val="00746E8A"/>
    <w:rsid w:val="00754614"/>
    <w:rsid w:val="00760E6E"/>
    <w:rsid w:val="00762D49"/>
    <w:rsid w:val="0077018F"/>
    <w:rsid w:val="007724DE"/>
    <w:rsid w:val="0077345D"/>
    <w:rsid w:val="00775843"/>
    <w:rsid w:val="00775B86"/>
    <w:rsid w:val="0078020B"/>
    <w:rsid w:val="0078221F"/>
    <w:rsid w:val="0078714B"/>
    <w:rsid w:val="00787852"/>
    <w:rsid w:val="00790806"/>
    <w:rsid w:val="007A043B"/>
    <w:rsid w:val="007A0CB8"/>
    <w:rsid w:val="007A0D87"/>
    <w:rsid w:val="007A0FC7"/>
    <w:rsid w:val="007A382C"/>
    <w:rsid w:val="007B0248"/>
    <w:rsid w:val="007B07CC"/>
    <w:rsid w:val="007B24D8"/>
    <w:rsid w:val="007B5194"/>
    <w:rsid w:val="007B644C"/>
    <w:rsid w:val="007C1B9E"/>
    <w:rsid w:val="007C3944"/>
    <w:rsid w:val="007D0C46"/>
    <w:rsid w:val="007D18F9"/>
    <w:rsid w:val="007D1E70"/>
    <w:rsid w:val="007D26BA"/>
    <w:rsid w:val="007E0805"/>
    <w:rsid w:val="007E377D"/>
    <w:rsid w:val="007E4BC9"/>
    <w:rsid w:val="007E540A"/>
    <w:rsid w:val="007E6359"/>
    <w:rsid w:val="007E67B8"/>
    <w:rsid w:val="007F080C"/>
    <w:rsid w:val="007F1B81"/>
    <w:rsid w:val="007F260D"/>
    <w:rsid w:val="007F2E38"/>
    <w:rsid w:val="007F5323"/>
    <w:rsid w:val="007F6C23"/>
    <w:rsid w:val="007F7727"/>
    <w:rsid w:val="00800F60"/>
    <w:rsid w:val="00801F9C"/>
    <w:rsid w:val="00803BC6"/>
    <w:rsid w:val="00811813"/>
    <w:rsid w:val="0081186F"/>
    <w:rsid w:val="00815571"/>
    <w:rsid w:val="0082143F"/>
    <w:rsid w:val="00821F47"/>
    <w:rsid w:val="008245FA"/>
    <w:rsid w:val="0082707E"/>
    <w:rsid w:val="0082789D"/>
    <w:rsid w:val="0083108C"/>
    <w:rsid w:val="008326D1"/>
    <w:rsid w:val="00835F80"/>
    <w:rsid w:val="0083630A"/>
    <w:rsid w:val="00842B3D"/>
    <w:rsid w:val="00843A54"/>
    <w:rsid w:val="00843E03"/>
    <w:rsid w:val="008468EA"/>
    <w:rsid w:val="00846ABF"/>
    <w:rsid w:val="00846FB9"/>
    <w:rsid w:val="008473A7"/>
    <w:rsid w:val="008512EB"/>
    <w:rsid w:val="0085255E"/>
    <w:rsid w:val="00853ADB"/>
    <w:rsid w:val="0085709E"/>
    <w:rsid w:val="00864C47"/>
    <w:rsid w:val="008658C0"/>
    <w:rsid w:val="0087073A"/>
    <w:rsid w:val="00875588"/>
    <w:rsid w:val="00877368"/>
    <w:rsid w:val="00882600"/>
    <w:rsid w:val="00882B4F"/>
    <w:rsid w:val="00883D6C"/>
    <w:rsid w:val="00890276"/>
    <w:rsid w:val="0089228D"/>
    <w:rsid w:val="00895D90"/>
    <w:rsid w:val="008A0A09"/>
    <w:rsid w:val="008A49BC"/>
    <w:rsid w:val="008B03AB"/>
    <w:rsid w:val="008B555E"/>
    <w:rsid w:val="008C37DA"/>
    <w:rsid w:val="008D385F"/>
    <w:rsid w:val="008D549A"/>
    <w:rsid w:val="008D56A3"/>
    <w:rsid w:val="008D6F7B"/>
    <w:rsid w:val="008D6F8F"/>
    <w:rsid w:val="008E6F04"/>
    <w:rsid w:val="008E70D7"/>
    <w:rsid w:val="008F2335"/>
    <w:rsid w:val="008F29E2"/>
    <w:rsid w:val="008F4EA7"/>
    <w:rsid w:val="008F5056"/>
    <w:rsid w:val="00900F34"/>
    <w:rsid w:val="00901690"/>
    <w:rsid w:val="009021CA"/>
    <w:rsid w:val="009034D6"/>
    <w:rsid w:val="0091425C"/>
    <w:rsid w:val="00915224"/>
    <w:rsid w:val="00923D8F"/>
    <w:rsid w:val="0093061F"/>
    <w:rsid w:val="00936A31"/>
    <w:rsid w:val="00937767"/>
    <w:rsid w:val="0094009E"/>
    <w:rsid w:val="009460B0"/>
    <w:rsid w:val="00954F1B"/>
    <w:rsid w:val="009569FB"/>
    <w:rsid w:val="00957981"/>
    <w:rsid w:val="00957ED3"/>
    <w:rsid w:val="00960239"/>
    <w:rsid w:val="00960A03"/>
    <w:rsid w:val="00963D0E"/>
    <w:rsid w:val="0096482A"/>
    <w:rsid w:val="009761E5"/>
    <w:rsid w:val="00980997"/>
    <w:rsid w:val="009811DB"/>
    <w:rsid w:val="009823E1"/>
    <w:rsid w:val="00982924"/>
    <w:rsid w:val="00984105"/>
    <w:rsid w:val="0098512D"/>
    <w:rsid w:val="00986C0E"/>
    <w:rsid w:val="00986ECC"/>
    <w:rsid w:val="009927FF"/>
    <w:rsid w:val="00994171"/>
    <w:rsid w:val="009A437A"/>
    <w:rsid w:val="009A46FF"/>
    <w:rsid w:val="009A48E5"/>
    <w:rsid w:val="009A5EB2"/>
    <w:rsid w:val="009B2974"/>
    <w:rsid w:val="009B5DFC"/>
    <w:rsid w:val="009B69E2"/>
    <w:rsid w:val="009C18E6"/>
    <w:rsid w:val="009C1BA9"/>
    <w:rsid w:val="009C4E29"/>
    <w:rsid w:val="009D27CA"/>
    <w:rsid w:val="009D7431"/>
    <w:rsid w:val="009E0CAA"/>
    <w:rsid w:val="009E1017"/>
    <w:rsid w:val="009E1604"/>
    <w:rsid w:val="009E1D62"/>
    <w:rsid w:val="009E2726"/>
    <w:rsid w:val="009E48C5"/>
    <w:rsid w:val="009E4F3D"/>
    <w:rsid w:val="009E7468"/>
    <w:rsid w:val="009F17BF"/>
    <w:rsid w:val="009F4824"/>
    <w:rsid w:val="00A00D10"/>
    <w:rsid w:val="00A019B7"/>
    <w:rsid w:val="00A12C0E"/>
    <w:rsid w:val="00A13C2B"/>
    <w:rsid w:val="00A151B9"/>
    <w:rsid w:val="00A169AB"/>
    <w:rsid w:val="00A1786D"/>
    <w:rsid w:val="00A22604"/>
    <w:rsid w:val="00A2378B"/>
    <w:rsid w:val="00A3149A"/>
    <w:rsid w:val="00A31F3E"/>
    <w:rsid w:val="00A320C3"/>
    <w:rsid w:val="00A32138"/>
    <w:rsid w:val="00A33E02"/>
    <w:rsid w:val="00A347F4"/>
    <w:rsid w:val="00A4098E"/>
    <w:rsid w:val="00A4265C"/>
    <w:rsid w:val="00A45EC9"/>
    <w:rsid w:val="00A4638D"/>
    <w:rsid w:val="00A4640D"/>
    <w:rsid w:val="00A471E5"/>
    <w:rsid w:val="00A506FA"/>
    <w:rsid w:val="00A531D2"/>
    <w:rsid w:val="00A61AF2"/>
    <w:rsid w:val="00A620B8"/>
    <w:rsid w:val="00A64822"/>
    <w:rsid w:val="00A659EB"/>
    <w:rsid w:val="00A67791"/>
    <w:rsid w:val="00A67FAC"/>
    <w:rsid w:val="00A70E99"/>
    <w:rsid w:val="00A7509D"/>
    <w:rsid w:val="00A80B08"/>
    <w:rsid w:val="00A824F6"/>
    <w:rsid w:val="00A8531F"/>
    <w:rsid w:val="00A92304"/>
    <w:rsid w:val="00A92664"/>
    <w:rsid w:val="00AA006F"/>
    <w:rsid w:val="00AA7A23"/>
    <w:rsid w:val="00AB0595"/>
    <w:rsid w:val="00AB114D"/>
    <w:rsid w:val="00AB24DD"/>
    <w:rsid w:val="00AB38E5"/>
    <w:rsid w:val="00AB7011"/>
    <w:rsid w:val="00AC0732"/>
    <w:rsid w:val="00AC20A0"/>
    <w:rsid w:val="00AC4876"/>
    <w:rsid w:val="00AD3EB2"/>
    <w:rsid w:val="00AE05CB"/>
    <w:rsid w:val="00AE2075"/>
    <w:rsid w:val="00AE28C3"/>
    <w:rsid w:val="00AE68B5"/>
    <w:rsid w:val="00AE6C36"/>
    <w:rsid w:val="00AF69A6"/>
    <w:rsid w:val="00B06D7D"/>
    <w:rsid w:val="00B06F73"/>
    <w:rsid w:val="00B10C6F"/>
    <w:rsid w:val="00B12B14"/>
    <w:rsid w:val="00B21446"/>
    <w:rsid w:val="00B248F6"/>
    <w:rsid w:val="00B30FAC"/>
    <w:rsid w:val="00B33C49"/>
    <w:rsid w:val="00B35588"/>
    <w:rsid w:val="00B3629D"/>
    <w:rsid w:val="00B36861"/>
    <w:rsid w:val="00B36902"/>
    <w:rsid w:val="00B44C43"/>
    <w:rsid w:val="00B5413F"/>
    <w:rsid w:val="00B557DD"/>
    <w:rsid w:val="00B63C2A"/>
    <w:rsid w:val="00B67C1C"/>
    <w:rsid w:val="00B806A8"/>
    <w:rsid w:val="00B822AF"/>
    <w:rsid w:val="00BA2CF6"/>
    <w:rsid w:val="00BA3E50"/>
    <w:rsid w:val="00BB1458"/>
    <w:rsid w:val="00BB31B8"/>
    <w:rsid w:val="00BB3D6C"/>
    <w:rsid w:val="00BB44AD"/>
    <w:rsid w:val="00BB5383"/>
    <w:rsid w:val="00BB59B9"/>
    <w:rsid w:val="00BD18BA"/>
    <w:rsid w:val="00BD309F"/>
    <w:rsid w:val="00BE2067"/>
    <w:rsid w:val="00BE4E4C"/>
    <w:rsid w:val="00BF0672"/>
    <w:rsid w:val="00BF1A08"/>
    <w:rsid w:val="00BF67F0"/>
    <w:rsid w:val="00C0003C"/>
    <w:rsid w:val="00C00821"/>
    <w:rsid w:val="00C02285"/>
    <w:rsid w:val="00C03511"/>
    <w:rsid w:val="00C04E2E"/>
    <w:rsid w:val="00C06CCF"/>
    <w:rsid w:val="00C0738F"/>
    <w:rsid w:val="00C130E1"/>
    <w:rsid w:val="00C22FD7"/>
    <w:rsid w:val="00C244CD"/>
    <w:rsid w:val="00C25D77"/>
    <w:rsid w:val="00C2617A"/>
    <w:rsid w:val="00C26766"/>
    <w:rsid w:val="00C271BE"/>
    <w:rsid w:val="00C32301"/>
    <w:rsid w:val="00C331E7"/>
    <w:rsid w:val="00C34C91"/>
    <w:rsid w:val="00C3772E"/>
    <w:rsid w:val="00C41C1C"/>
    <w:rsid w:val="00C44618"/>
    <w:rsid w:val="00C44F88"/>
    <w:rsid w:val="00C461B5"/>
    <w:rsid w:val="00C46557"/>
    <w:rsid w:val="00C474DD"/>
    <w:rsid w:val="00C51686"/>
    <w:rsid w:val="00C56399"/>
    <w:rsid w:val="00C60356"/>
    <w:rsid w:val="00C6103B"/>
    <w:rsid w:val="00C619FB"/>
    <w:rsid w:val="00C6330D"/>
    <w:rsid w:val="00C636B1"/>
    <w:rsid w:val="00C70E81"/>
    <w:rsid w:val="00C7469D"/>
    <w:rsid w:val="00C771F2"/>
    <w:rsid w:val="00C80485"/>
    <w:rsid w:val="00C85A9B"/>
    <w:rsid w:val="00C92DC9"/>
    <w:rsid w:val="00CA176E"/>
    <w:rsid w:val="00CA5405"/>
    <w:rsid w:val="00CA5EE4"/>
    <w:rsid w:val="00CA66B8"/>
    <w:rsid w:val="00CB109F"/>
    <w:rsid w:val="00CB110A"/>
    <w:rsid w:val="00CB1604"/>
    <w:rsid w:val="00CB5661"/>
    <w:rsid w:val="00CB7819"/>
    <w:rsid w:val="00CC4A72"/>
    <w:rsid w:val="00CC59A7"/>
    <w:rsid w:val="00CD2224"/>
    <w:rsid w:val="00CD5C9B"/>
    <w:rsid w:val="00CD7BE4"/>
    <w:rsid w:val="00CE440D"/>
    <w:rsid w:val="00CE7981"/>
    <w:rsid w:val="00CE7E5A"/>
    <w:rsid w:val="00CF5D8B"/>
    <w:rsid w:val="00CF7AD9"/>
    <w:rsid w:val="00D073F4"/>
    <w:rsid w:val="00D104EE"/>
    <w:rsid w:val="00D1059B"/>
    <w:rsid w:val="00D11B4A"/>
    <w:rsid w:val="00D14549"/>
    <w:rsid w:val="00D22DB0"/>
    <w:rsid w:val="00D26247"/>
    <w:rsid w:val="00D26A11"/>
    <w:rsid w:val="00D27457"/>
    <w:rsid w:val="00D33217"/>
    <w:rsid w:val="00D333E6"/>
    <w:rsid w:val="00D341E2"/>
    <w:rsid w:val="00D37993"/>
    <w:rsid w:val="00D42CAE"/>
    <w:rsid w:val="00D46E3C"/>
    <w:rsid w:val="00D46FD8"/>
    <w:rsid w:val="00D514BD"/>
    <w:rsid w:val="00D67035"/>
    <w:rsid w:val="00D675AB"/>
    <w:rsid w:val="00D67CF8"/>
    <w:rsid w:val="00D7058E"/>
    <w:rsid w:val="00D73424"/>
    <w:rsid w:val="00D73AE7"/>
    <w:rsid w:val="00D768A6"/>
    <w:rsid w:val="00D809D5"/>
    <w:rsid w:val="00D812F6"/>
    <w:rsid w:val="00D81F45"/>
    <w:rsid w:val="00D90E51"/>
    <w:rsid w:val="00D93778"/>
    <w:rsid w:val="00D937D7"/>
    <w:rsid w:val="00DA1681"/>
    <w:rsid w:val="00DA3274"/>
    <w:rsid w:val="00DB2119"/>
    <w:rsid w:val="00DB26F1"/>
    <w:rsid w:val="00DB3C90"/>
    <w:rsid w:val="00DB5905"/>
    <w:rsid w:val="00DD2F3F"/>
    <w:rsid w:val="00DD7D4C"/>
    <w:rsid w:val="00DE08C7"/>
    <w:rsid w:val="00DE43A0"/>
    <w:rsid w:val="00E02F3C"/>
    <w:rsid w:val="00E05A5D"/>
    <w:rsid w:val="00E20266"/>
    <w:rsid w:val="00E25065"/>
    <w:rsid w:val="00E25BBF"/>
    <w:rsid w:val="00E26AD5"/>
    <w:rsid w:val="00E26ECC"/>
    <w:rsid w:val="00E276C9"/>
    <w:rsid w:val="00E27CDA"/>
    <w:rsid w:val="00E33AA7"/>
    <w:rsid w:val="00E36314"/>
    <w:rsid w:val="00E46C41"/>
    <w:rsid w:val="00E504C9"/>
    <w:rsid w:val="00E535DF"/>
    <w:rsid w:val="00E55762"/>
    <w:rsid w:val="00E56745"/>
    <w:rsid w:val="00E6024C"/>
    <w:rsid w:val="00E61B79"/>
    <w:rsid w:val="00E62359"/>
    <w:rsid w:val="00E62B26"/>
    <w:rsid w:val="00E67143"/>
    <w:rsid w:val="00E67474"/>
    <w:rsid w:val="00E736E6"/>
    <w:rsid w:val="00E8010F"/>
    <w:rsid w:val="00E81048"/>
    <w:rsid w:val="00E903D1"/>
    <w:rsid w:val="00E91137"/>
    <w:rsid w:val="00EA0D7E"/>
    <w:rsid w:val="00EA75A6"/>
    <w:rsid w:val="00EA7803"/>
    <w:rsid w:val="00EB1CE6"/>
    <w:rsid w:val="00EB4ECA"/>
    <w:rsid w:val="00EC11A4"/>
    <w:rsid w:val="00EC30CA"/>
    <w:rsid w:val="00EC517B"/>
    <w:rsid w:val="00ED59EC"/>
    <w:rsid w:val="00ED7FFB"/>
    <w:rsid w:val="00EE09E7"/>
    <w:rsid w:val="00EE3DF5"/>
    <w:rsid w:val="00EE54B9"/>
    <w:rsid w:val="00EE6CC1"/>
    <w:rsid w:val="00EF3FE7"/>
    <w:rsid w:val="00F01D58"/>
    <w:rsid w:val="00F0518B"/>
    <w:rsid w:val="00F05AEF"/>
    <w:rsid w:val="00F06A1A"/>
    <w:rsid w:val="00F13C79"/>
    <w:rsid w:val="00F151F1"/>
    <w:rsid w:val="00F177D0"/>
    <w:rsid w:val="00F210C1"/>
    <w:rsid w:val="00F27408"/>
    <w:rsid w:val="00F3410E"/>
    <w:rsid w:val="00F35224"/>
    <w:rsid w:val="00F35A2C"/>
    <w:rsid w:val="00F40049"/>
    <w:rsid w:val="00F448D7"/>
    <w:rsid w:val="00F45575"/>
    <w:rsid w:val="00F51928"/>
    <w:rsid w:val="00F52FF7"/>
    <w:rsid w:val="00F56813"/>
    <w:rsid w:val="00F71EC9"/>
    <w:rsid w:val="00F81AAC"/>
    <w:rsid w:val="00F83A45"/>
    <w:rsid w:val="00F91C8F"/>
    <w:rsid w:val="00F93205"/>
    <w:rsid w:val="00FA19E0"/>
    <w:rsid w:val="00FA7C49"/>
    <w:rsid w:val="00FB302F"/>
    <w:rsid w:val="00FB4248"/>
    <w:rsid w:val="00FC0A6E"/>
    <w:rsid w:val="00FC1D18"/>
    <w:rsid w:val="00FC79D4"/>
    <w:rsid w:val="00FD0565"/>
    <w:rsid w:val="00FD0A20"/>
    <w:rsid w:val="00FD53B2"/>
    <w:rsid w:val="00FD5DF4"/>
    <w:rsid w:val="00FD770B"/>
    <w:rsid w:val="00FE03C5"/>
    <w:rsid w:val="00FE062A"/>
    <w:rsid w:val="00FE0F21"/>
    <w:rsid w:val="00FE1506"/>
    <w:rsid w:val="00FE3558"/>
    <w:rsid w:val="00FE42A2"/>
    <w:rsid w:val="00FE5FE5"/>
    <w:rsid w:val="00FE6556"/>
    <w:rsid w:val="00FE7CF3"/>
    <w:rsid w:val="00FF2632"/>
    <w:rsid w:val="00F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B32347"/>
  <w15:docId w15:val="{EA21583B-317C-4AAF-848B-0CE48C6B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0">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1E5"/>
    <w:pPr>
      <w:autoSpaceDE w:val="0"/>
      <w:autoSpaceDN w:val="0"/>
      <w:adjustRightInd w:val="0"/>
    </w:pPr>
    <w:rPr>
      <w:color w:val="000000"/>
      <w:sz w:val="24"/>
      <w:szCs w:val="24"/>
    </w:rPr>
  </w:style>
  <w:style w:type="paragraph" w:styleId="BalloonText">
    <w:name w:val="Balloon Text"/>
    <w:basedOn w:val="Normal0"/>
    <w:semiHidden/>
    <w:rsid w:val="006E22E6"/>
    <w:rPr>
      <w:rFonts w:ascii="Tahoma" w:hAnsi="Tahoma" w:cs="Tahoma"/>
      <w:sz w:val="16"/>
      <w:szCs w:val="16"/>
    </w:rPr>
  </w:style>
  <w:style w:type="paragraph" w:styleId="NormalWeb">
    <w:name w:val="Normal (Web)"/>
    <w:basedOn w:val="Normal0"/>
    <w:rsid w:val="00560893"/>
    <w:pPr>
      <w:spacing w:before="100" w:beforeAutospacing="1" w:after="100" w:afterAutospacing="1"/>
    </w:pPr>
  </w:style>
  <w:style w:type="table" w:styleId="TableGrid">
    <w:name w:val="Table Grid"/>
    <w:basedOn w:val="TableNormal"/>
    <w:rsid w:val="000E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
    <w:basedOn w:val="Normal0"/>
    <w:rsid w:val="00CB110A"/>
    <w:pPr>
      <w:numPr>
        <w:numId w:val="8"/>
      </w:numPr>
    </w:pPr>
    <w:rPr>
      <w:rFonts w:ascii="Arial" w:hAnsi="Arial" w:cs="Arial"/>
      <w14:shadow w14:blurRad="50800" w14:dist="38100" w14:dir="2700000" w14:sx="100000" w14:sy="100000" w14:kx="0" w14:ky="0" w14:algn="tl">
        <w14:srgbClr w14:val="000000">
          <w14:alpha w14:val="60000"/>
        </w14:srgbClr>
      </w14:shadow>
    </w:rPr>
  </w:style>
  <w:style w:type="paragraph" w:customStyle="1" w:styleId="notices">
    <w:name w:val="notices"/>
    <w:basedOn w:val="Default"/>
    <w:next w:val="Default"/>
    <w:rsid w:val="003D1032"/>
    <w:pPr>
      <w:spacing w:before="100" w:after="100"/>
    </w:pPr>
    <w:rPr>
      <w:rFonts w:ascii="Arial" w:hAnsi="Arial"/>
      <w:color w:val="auto"/>
    </w:rPr>
  </w:style>
  <w:style w:type="paragraph" w:styleId="Footer">
    <w:name w:val="footer"/>
    <w:basedOn w:val="Normal0"/>
    <w:rsid w:val="00E67474"/>
    <w:pPr>
      <w:tabs>
        <w:tab w:val="center" w:pos="4320"/>
        <w:tab w:val="right" w:pos="8640"/>
      </w:tabs>
    </w:pPr>
  </w:style>
  <w:style w:type="character" w:styleId="PageNumber">
    <w:name w:val="page number"/>
    <w:basedOn w:val="DefaultParagraphFont"/>
    <w:rsid w:val="00E67474"/>
  </w:style>
  <w:style w:type="character" w:styleId="Hyperlink">
    <w:name w:val="Hyperlink"/>
    <w:rsid w:val="00201E73"/>
    <w:rPr>
      <w:color w:val="0000FF"/>
      <w:u w:val="single"/>
    </w:rPr>
  </w:style>
  <w:style w:type="paragraph" w:styleId="DocumentMap">
    <w:name w:val="Document Map"/>
    <w:basedOn w:val="Normal0"/>
    <w:semiHidden/>
    <w:rsid w:val="00C00821"/>
    <w:pPr>
      <w:shd w:val="clear" w:color="auto" w:fill="000080"/>
    </w:pPr>
    <w:rPr>
      <w:rFonts w:ascii="Tahoma" w:hAnsi="Tahoma" w:cs="Tahoma"/>
      <w:sz w:val="20"/>
      <w:szCs w:val="20"/>
    </w:rPr>
  </w:style>
  <w:style w:type="character" w:styleId="CommentReference">
    <w:name w:val="annotation reference"/>
    <w:semiHidden/>
    <w:rsid w:val="00D937D7"/>
    <w:rPr>
      <w:sz w:val="16"/>
      <w:szCs w:val="16"/>
    </w:rPr>
  </w:style>
  <w:style w:type="paragraph" w:styleId="CommentText">
    <w:name w:val="annotation text"/>
    <w:basedOn w:val="Normal0"/>
    <w:semiHidden/>
    <w:rsid w:val="00D937D7"/>
    <w:rPr>
      <w:sz w:val="20"/>
      <w:szCs w:val="20"/>
    </w:rPr>
  </w:style>
  <w:style w:type="paragraph" w:styleId="CommentSubject">
    <w:name w:val="annotation subject"/>
    <w:basedOn w:val="CommentText"/>
    <w:next w:val="CommentText"/>
    <w:semiHidden/>
    <w:rsid w:val="00D937D7"/>
    <w:rPr>
      <w:b/>
      <w:bCs/>
    </w:rPr>
  </w:style>
  <w:style w:type="paragraph" w:styleId="FootnoteText">
    <w:name w:val="footnote text"/>
    <w:basedOn w:val="Normal0"/>
    <w:semiHidden/>
    <w:rsid w:val="007B5194"/>
    <w:rPr>
      <w:sz w:val="20"/>
      <w:szCs w:val="20"/>
    </w:rPr>
  </w:style>
  <w:style w:type="character" w:styleId="FootnoteReference">
    <w:name w:val="footnote reference"/>
    <w:semiHidden/>
    <w:rsid w:val="007B5194"/>
    <w:rPr>
      <w:vertAlign w:val="superscript"/>
    </w:rPr>
  </w:style>
  <w:style w:type="paragraph" w:styleId="Header">
    <w:name w:val="header"/>
    <w:basedOn w:val="Normal0"/>
    <w:rsid w:val="006059F6"/>
    <w:pPr>
      <w:tabs>
        <w:tab w:val="center" w:pos="4320"/>
        <w:tab w:val="right" w:pos="8640"/>
      </w:tabs>
    </w:pPr>
  </w:style>
  <w:style w:type="character" w:styleId="FollowedHyperlink">
    <w:name w:val="FollowedHyperlink"/>
    <w:rsid w:val="00F52FF7"/>
    <w:rPr>
      <w:color w:val="800080"/>
      <w:u w:val="single"/>
    </w:rPr>
  </w:style>
  <w:style w:type="paragraph" w:styleId="NoSpacing">
    <w:name w:val="No Spacing"/>
    <w:link w:val="NoSpacingChar"/>
    <w:uiPriority w:val="1"/>
    <w:qFormat/>
    <w:rsid w:val="0077345D"/>
    <w:rPr>
      <w:rFonts w:ascii="Calibri" w:eastAsia="MS Mincho" w:hAnsi="Calibri" w:cs="Arial"/>
      <w:sz w:val="22"/>
      <w:szCs w:val="22"/>
      <w:lang w:eastAsia="ja-JP"/>
    </w:rPr>
  </w:style>
  <w:style w:type="character" w:customStyle="1" w:styleId="NoSpacingChar">
    <w:name w:val="No Spacing Char"/>
    <w:link w:val="NoSpacing"/>
    <w:uiPriority w:val="1"/>
    <w:rsid w:val="0077345D"/>
    <w:rPr>
      <w:rFonts w:ascii="Calibri" w:eastAsia="MS Mincho" w:hAnsi="Calibri" w:cs="Arial"/>
      <w:sz w:val="22"/>
      <w:szCs w:val="22"/>
      <w:lang w:eastAsia="ja-JP"/>
    </w:rPr>
  </w:style>
  <w:style w:type="paragraph" w:styleId="ListParagraph">
    <w:name w:val="List Paragraph"/>
    <w:basedOn w:val="Normal0"/>
    <w:uiPriority w:val="34"/>
    <w:qFormat/>
    <w:rsid w:val="007125D6"/>
    <w:pPr>
      <w:ind w:left="720"/>
      <w:contextualSpacing/>
    </w:pPr>
  </w:style>
  <w:style w:type="character" w:styleId="Mention">
    <w:name w:val="Mention"/>
    <w:basedOn w:val="DefaultParagraphFont"/>
    <w:uiPriority w:val="99"/>
    <w:semiHidden/>
    <w:unhideWhenUsed/>
    <w:rsid w:val="00062FF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1904">
      <w:bodyDiv w:val="1"/>
      <w:marLeft w:val="0"/>
      <w:marRight w:val="0"/>
      <w:marTop w:val="0"/>
      <w:marBottom w:val="0"/>
      <w:divBdr>
        <w:top w:val="none" w:sz="0" w:space="0" w:color="auto"/>
        <w:left w:val="none" w:sz="0" w:space="0" w:color="auto"/>
        <w:bottom w:val="none" w:sz="0" w:space="0" w:color="auto"/>
        <w:right w:val="none" w:sz="0" w:space="0" w:color="auto"/>
      </w:divBdr>
    </w:div>
    <w:div w:id="225575857">
      <w:bodyDiv w:val="1"/>
      <w:marLeft w:val="0"/>
      <w:marRight w:val="0"/>
      <w:marTop w:val="0"/>
      <w:marBottom w:val="0"/>
      <w:divBdr>
        <w:top w:val="none" w:sz="0" w:space="0" w:color="auto"/>
        <w:left w:val="none" w:sz="0" w:space="0" w:color="auto"/>
        <w:bottom w:val="none" w:sz="0" w:space="0" w:color="auto"/>
        <w:right w:val="none" w:sz="0" w:space="0" w:color="auto"/>
      </w:divBdr>
    </w:div>
    <w:div w:id="227692509">
      <w:bodyDiv w:val="1"/>
      <w:marLeft w:val="0"/>
      <w:marRight w:val="0"/>
      <w:marTop w:val="0"/>
      <w:marBottom w:val="0"/>
      <w:divBdr>
        <w:top w:val="none" w:sz="0" w:space="0" w:color="auto"/>
        <w:left w:val="none" w:sz="0" w:space="0" w:color="auto"/>
        <w:bottom w:val="none" w:sz="0" w:space="0" w:color="auto"/>
        <w:right w:val="none" w:sz="0" w:space="0" w:color="auto"/>
      </w:divBdr>
    </w:div>
    <w:div w:id="474027101">
      <w:bodyDiv w:val="1"/>
      <w:marLeft w:val="0"/>
      <w:marRight w:val="0"/>
      <w:marTop w:val="0"/>
      <w:marBottom w:val="0"/>
      <w:divBdr>
        <w:top w:val="none" w:sz="0" w:space="0" w:color="auto"/>
        <w:left w:val="none" w:sz="0" w:space="0" w:color="auto"/>
        <w:bottom w:val="none" w:sz="0" w:space="0" w:color="auto"/>
        <w:right w:val="none" w:sz="0" w:space="0" w:color="auto"/>
      </w:divBdr>
    </w:div>
    <w:div w:id="512451841">
      <w:bodyDiv w:val="1"/>
      <w:marLeft w:val="0"/>
      <w:marRight w:val="0"/>
      <w:marTop w:val="0"/>
      <w:marBottom w:val="0"/>
      <w:divBdr>
        <w:top w:val="none" w:sz="0" w:space="0" w:color="auto"/>
        <w:left w:val="none" w:sz="0" w:space="0" w:color="auto"/>
        <w:bottom w:val="none" w:sz="0" w:space="0" w:color="auto"/>
        <w:right w:val="none" w:sz="0" w:space="0" w:color="auto"/>
      </w:divBdr>
    </w:div>
    <w:div w:id="584606477">
      <w:bodyDiv w:val="1"/>
      <w:marLeft w:val="0"/>
      <w:marRight w:val="0"/>
      <w:marTop w:val="0"/>
      <w:marBottom w:val="0"/>
      <w:divBdr>
        <w:top w:val="none" w:sz="0" w:space="0" w:color="auto"/>
        <w:left w:val="none" w:sz="0" w:space="0" w:color="auto"/>
        <w:bottom w:val="none" w:sz="0" w:space="0" w:color="auto"/>
        <w:right w:val="none" w:sz="0" w:space="0" w:color="auto"/>
      </w:divBdr>
    </w:div>
    <w:div w:id="631667151">
      <w:bodyDiv w:val="1"/>
      <w:marLeft w:val="0"/>
      <w:marRight w:val="0"/>
      <w:marTop w:val="0"/>
      <w:marBottom w:val="0"/>
      <w:divBdr>
        <w:top w:val="none" w:sz="0" w:space="0" w:color="auto"/>
        <w:left w:val="none" w:sz="0" w:space="0" w:color="auto"/>
        <w:bottom w:val="none" w:sz="0" w:space="0" w:color="auto"/>
        <w:right w:val="none" w:sz="0" w:space="0" w:color="auto"/>
      </w:divBdr>
    </w:div>
    <w:div w:id="771630330">
      <w:bodyDiv w:val="1"/>
      <w:marLeft w:val="0"/>
      <w:marRight w:val="0"/>
      <w:marTop w:val="0"/>
      <w:marBottom w:val="0"/>
      <w:divBdr>
        <w:top w:val="none" w:sz="0" w:space="0" w:color="auto"/>
        <w:left w:val="none" w:sz="0" w:space="0" w:color="auto"/>
        <w:bottom w:val="none" w:sz="0" w:space="0" w:color="auto"/>
        <w:right w:val="none" w:sz="0" w:space="0" w:color="auto"/>
      </w:divBdr>
    </w:div>
    <w:div w:id="824203654">
      <w:bodyDiv w:val="1"/>
      <w:marLeft w:val="0"/>
      <w:marRight w:val="0"/>
      <w:marTop w:val="0"/>
      <w:marBottom w:val="0"/>
      <w:divBdr>
        <w:top w:val="none" w:sz="0" w:space="0" w:color="auto"/>
        <w:left w:val="none" w:sz="0" w:space="0" w:color="auto"/>
        <w:bottom w:val="none" w:sz="0" w:space="0" w:color="auto"/>
        <w:right w:val="none" w:sz="0" w:space="0" w:color="auto"/>
      </w:divBdr>
    </w:div>
    <w:div w:id="911038343">
      <w:bodyDiv w:val="1"/>
      <w:marLeft w:val="0"/>
      <w:marRight w:val="0"/>
      <w:marTop w:val="0"/>
      <w:marBottom w:val="0"/>
      <w:divBdr>
        <w:top w:val="none" w:sz="0" w:space="0" w:color="auto"/>
        <w:left w:val="none" w:sz="0" w:space="0" w:color="auto"/>
        <w:bottom w:val="none" w:sz="0" w:space="0" w:color="auto"/>
        <w:right w:val="none" w:sz="0" w:space="0" w:color="auto"/>
      </w:divBdr>
    </w:div>
    <w:div w:id="1334724527">
      <w:bodyDiv w:val="1"/>
      <w:marLeft w:val="0"/>
      <w:marRight w:val="0"/>
      <w:marTop w:val="0"/>
      <w:marBottom w:val="0"/>
      <w:divBdr>
        <w:top w:val="none" w:sz="0" w:space="0" w:color="auto"/>
        <w:left w:val="none" w:sz="0" w:space="0" w:color="auto"/>
        <w:bottom w:val="none" w:sz="0" w:space="0" w:color="auto"/>
        <w:right w:val="none" w:sz="0" w:space="0" w:color="auto"/>
      </w:divBdr>
    </w:div>
    <w:div w:id="1452434954">
      <w:bodyDiv w:val="1"/>
      <w:marLeft w:val="0"/>
      <w:marRight w:val="0"/>
      <w:marTop w:val="0"/>
      <w:marBottom w:val="0"/>
      <w:divBdr>
        <w:top w:val="none" w:sz="0" w:space="0" w:color="auto"/>
        <w:left w:val="none" w:sz="0" w:space="0" w:color="auto"/>
        <w:bottom w:val="none" w:sz="0" w:space="0" w:color="auto"/>
        <w:right w:val="none" w:sz="0" w:space="0" w:color="auto"/>
      </w:divBdr>
    </w:div>
    <w:div w:id="1497376694">
      <w:bodyDiv w:val="1"/>
      <w:marLeft w:val="0"/>
      <w:marRight w:val="0"/>
      <w:marTop w:val="0"/>
      <w:marBottom w:val="0"/>
      <w:divBdr>
        <w:top w:val="none" w:sz="0" w:space="0" w:color="auto"/>
        <w:left w:val="none" w:sz="0" w:space="0" w:color="auto"/>
        <w:bottom w:val="none" w:sz="0" w:space="0" w:color="auto"/>
        <w:right w:val="none" w:sz="0" w:space="0" w:color="auto"/>
      </w:divBdr>
    </w:div>
    <w:div w:id="1502622808">
      <w:bodyDiv w:val="1"/>
      <w:marLeft w:val="0"/>
      <w:marRight w:val="0"/>
      <w:marTop w:val="0"/>
      <w:marBottom w:val="0"/>
      <w:divBdr>
        <w:top w:val="none" w:sz="0" w:space="0" w:color="auto"/>
        <w:left w:val="none" w:sz="0" w:space="0" w:color="auto"/>
        <w:bottom w:val="none" w:sz="0" w:space="0" w:color="auto"/>
        <w:right w:val="none" w:sz="0" w:space="0" w:color="auto"/>
      </w:divBdr>
    </w:div>
    <w:div w:id="1563365567">
      <w:bodyDiv w:val="1"/>
      <w:marLeft w:val="0"/>
      <w:marRight w:val="0"/>
      <w:marTop w:val="0"/>
      <w:marBottom w:val="0"/>
      <w:divBdr>
        <w:top w:val="none" w:sz="0" w:space="0" w:color="auto"/>
        <w:left w:val="none" w:sz="0" w:space="0" w:color="auto"/>
        <w:bottom w:val="none" w:sz="0" w:space="0" w:color="auto"/>
        <w:right w:val="none" w:sz="0" w:space="0" w:color="auto"/>
      </w:divBdr>
    </w:div>
    <w:div w:id="1662351071">
      <w:bodyDiv w:val="1"/>
      <w:marLeft w:val="0"/>
      <w:marRight w:val="0"/>
      <w:marTop w:val="0"/>
      <w:marBottom w:val="0"/>
      <w:divBdr>
        <w:top w:val="none" w:sz="0" w:space="0" w:color="auto"/>
        <w:left w:val="none" w:sz="0" w:space="0" w:color="auto"/>
        <w:bottom w:val="none" w:sz="0" w:space="0" w:color="auto"/>
        <w:right w:val="none" w:sz="0" w:space="0" w:color="auto"/>
      </w:divBdr>
    </w:div>
    <w:div w:id="1670257625">
      <w:bodyDiv w:val="1"/>
      <w:marLeft w:val="0"/>
      <w:marRight w:val="0"/>
      <w:marTop w:val="0"/>
      <w:marBottom w:val="0"/>
      <w:divBdr>
        <w:top w:val="none" w:sz="0" w:space="0" w:color="auto"/>
        <w:left w:val="none" w:sz="0" w:space="0" w:color="auto"/>
        <w:bottom w:val="none" w:sz="0" w:space="0" w:color="auto"/>
        <w:right w:val="none" w:sz="0" w:space="0" w:color="auto"/>
      </w:divBdr>
    </w:div>
    <w:div w:id="1743214011">
      <w:bodyDiv w:val="1"/>
      <w:marLeft w:val="0"/>
      <w:marRight w:val="0"/>
      <w:marTop w:val="0"/>
      <w:marBottom w:val="0"/>
      <w:divBdr>
        <w:top w:val="none" w:sz="0" w:space="0" w:color="auto"/>
        <w:left w:val="none" w:sz="0" w:space="0" w:color="auto"/>
        <w:bottom w:val="none" w:sz="0" w:space="0" w:color="auto"/>
        <w:right w:val="none" w:sz="0" w:space="0" w:color="auto"/>
      </w:divBdr>
    </w:div>
    <w:div w:id="1818842333">
      <w:bodyDiv w:val="1"/>
      <w:marLeft w:val="0"/>
      <w:marRight w:val="0"/>
      <w:marTop w:val="0"/>
      <w:marBottom w:val="0"/>
      <w:divBdr>
        <w:top w:val="none" w:sz="0" w:space="0" w:color="auto"/>
        <w:left w:val="none" w:sz="0" w:space="0" w:color="auto"/>
        <w:bottom w:val="none" w:sz="0" w:space="0" w:color="auto"/>
        <w:right w:val="none" w:sz="0" w:space="0" w:color="auto"/>
      </w:divBdr>
    </w:div>
    <w:div w:id="1949383955">
      <w:bodyDiv w:val="1"/>
      <w:marLeft w:val="0"/>
      <w:marRight w:val="0"/>
      <w:marTop w:val="0"/>
      <w:marBottom w:val="0"/>
      <w:divBdr>
        <w:top w:val="none" w:sz="0" w:space="0" w:color="auto"/>
        <w:left w:val="none" w:sz="0" w:space="0" w:color="auto"/>
        <w:bottom w:val="none" w:sz="0" w:space="0" w:color="auto"/>
        <w:right w:val="none" w:sz="0" w:space="0" w:color="auto"/>
      </w:divBdr>
    </w:div>
    <w:div w:id="2111002922">
      <w:bodyDiv w:val="1"/>
      <w:marLeft w:val="0"/>
      <w:marRight w:val="0"/>
      <w:marTop w:val="0"/>
      <w:marBottom w:val="0"/>
      <w:divBdr>
        <w:top w:val="none" w:sz="0" w:space="0" w:color="auto"/>
        <w:left w:val="none" w:sz="0" w:space="0" w:color="auto"/>
        <w:bottom w:val="none" w:sz="0" w:space="0" w:color="auto"/>
        <w:right w:val="none" w:sz="0" w:space="0" w:color="auto"/>
      </w:divBdr>
    </w:div>
    <w:div w:id="21336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ine.gov/mdot/civilrights/db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EADF-5460-4F7C-B2B6-410CA2F2602D}">
  <ds:schemaRefs>
    <ds:schemaRef ds:uri="http://schemas.openxmlformats.org/officeDocument/2006/bibliography"/>
  </ds:schemaRefs>
</ds:datastoreItem>
</file>

<file path=customXml/itemProps2.xml><?xml version="1.0" encoding="utf-8"?>
<ds:datastoreItem xmlns:ds="http://schemas.openxmlformats.org/officeDocument/2006/customXml" ds:itemID="{0F35FE0B-14D8-40A3-8205-85E0AD7B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2769</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Step 1 - MDOT Base Goal Setting (FFY 2006 Goal =            )</vt:lpstr>
    </vt:vector>
  </TitlesOfParts>
  <Company>Department of Transportation</Company>
  <LinksUpToDate>false</LinksUpToDate>
  <CharactersWithSpaces>18608</CharactersWithSpaces>
  <SharedDoc>false</SharedDoc>
  <HLinks>
    <vt:vector size="6" baseType="variant">
      <vt:variant>
        <vt:i4>2818092</vt:i4>
      </vt:variant>
      <vt:variant>
        <vt:i4>0</vt:i4>
      </vt:variant>
      <vt:variant>
        <vt:i4>0</vt:i4>
      </vt:variant>
      <vt:variant>
        <vt:i4>5</vt:i4>
      </vt:variant>
      <vt:variant>
        <vt:lpwstr>http://www.wbcmaine.org/OnlineDirectory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 MDOT Base Goal Setting (FFY 2006 Goal =            )</dc:title>
  <dc:creator>State of Maine</dc:creator>
  <cp:lastModifiedBy>Hughes, Amy</cp:lastModifiedBy>
  <cp:revision>2</cp:revision>
  <cp:lastPrinted>2018-07-30T17:24:00Z</cp:lastPrinted>
  <dcterms:created xsi:type="dcterms:W3CDTF">2018-08-09T19:34:00Z</dcterms:created>
  <dcterms:modified xsi:type="dcterms:W3CDTF">2018-08-09T19:34:00Z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