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7BA" w:rsidRPr="004D46EC" w:rsidRDefault="00352DAE">
      <w:pPr>
        <w:pStyle w:val="Date"/>
        <w:spacing w:after="0"/>
        <w:jc w:val="center"/>
        <w:rPr>
          <w:rFonts w:cs="Arial"/>
          <w:color w:val="0000FF"/>
          <w:sz w:val="22"/>
          <w:szCs w:val="22"/>
        </w:rPr>
      </w:pPr>
      <w:bookmarkStart w:id="0" w:name="_GoBack"/>
      <w:bookmarkEnd w:id="0"/>
      <w:r>
        <w:rPr>
          <w:noProof/>
          <w:sz w:val="22"/>
          <w:szCs w:val="22"/>
        </w:rPr>
        <w:drawing>
          <wp:anchor distT="0" distB="0" distL="114300" distR="114300" simplePos="0" relativeHeight="251657728" behindDoc="1" locked="0" layoutInCell="1" allowOverlap="1">
            <wp:simplePos x="0" y="0"/>
            <wp:positionH relativeFrom="column">
              <wp:posOffset>51435</wp:posOffset>
            </wp:positionH>
            <wp:positionV relativeFrom="paragraph">
              <wp:posOffset>-226060</wp:posOffset>
            </wp:positionV>
            <wp:extent cx="706755" cy="914400"/>
            <wp:effectExtent l="0" t="0" r="0" b="0"/>
            <wp:wrapNone/>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755" cy="914400"/>
                    </a:xfrm>
                    <a:prstGeom prst="rect">
                      <a:avLst/>
                    </a:prstGeom>
                    <a:noFill/>
                  </pic:spPr>
                </pic:pic>
              </a:graphicData>
            </a:graphic>
            <wp14:sizeRelH relativeFrom="page">
              <wp14:pctWidth>0</wp14:pctWidth>
            </wp14:sizeRelH>
            <wp14:sizeRelV relativeFrom="page">
              <wp14:pctHeight>0</wp14:pctHeight>
            </wp14:sizeRelV>
          </wp:anchor>
        </w:drawing>
      </w:r>
      <w:r w:rsidR="00EF57BA" w:rsidRPr="004D46EC">
        <w:rPr>
          <w:rFonts w:cs="Arial"/>
          <w:color w:val="0000FF"/>
          <w:sz w:val="22"/>
          <w:szCs w:val="22"/>
        </w:rPr>
        <w:t>STATE OF MAINE</w:t>
      </w:r>
    </w:p>
    <w:p w:rsidR="00EF57BA" w:rsidRPr="004D46EC" w:rsidRDefault="00EF57BA">
      <w:pPr>
        <w:pStyle w:val="Date"/>
        <w:spacing w:after="0"/>
        <w:jc w:val="center"/>
        <w:rPr>
          <w:rFonts w:cs="Arial"/>
          <w:color w:val="0000FF"/>
          <w:sz w:val="22"/>
          <w:szCs w:val="22"/>
        </w:rPr>
      </w:pPr>
      <w:r w:rsidRPr="004D46EC">
        <w:rPr>
          <w:rFonts w:cs="Arial"/>
          <w:color w:val="0000FF"/>
          <w:sz w:val="22"/>
          <w:szCs w:val="22"/>
        </w:rPr>
        <w:t>PUBLIC UTILITIES COMMIS</w:t>
      </w:r>
      <w:r w:rsidR="00BA45F8">
        <w:rPr>
          <w:rFonts w:cs="Arial"/>
          <w:color w:val="0000FF"/>
          <w:sz w:val="22"/>
          <w:szCs w:val="22"/>
        </w:rPr>
        <w:t>S</w:t>
      </w:r>
      <w:r w:rsidRPr="004D46EC">
        <w:rPr>
          <w:rFonts w:cs="Arial"/>
          <w:color w:val="0000FF"/>
          <w:sz w:val="22"/>
          <w:szCs w:val="22"/>
        </w:rPr>
        <w:t>ION</w:t>
      </w:r>
    </w:p>
    <w:p w:rsidR="004D46EC" w:rsidRDefault="004D46EC" w:rsidP="004D46EC">
      <w:pPr>
        <w:pStyle w:val="InsideAddress"/>
        <w:ind w:left="5040" w:firstLine="720"/>
        <w:jc w:val="center"/>
        <w:rPr>
          <w:rFonts w:cs="Arial"/>
          <w:color w:val="0000FF"/>
          <w:sz w:val="16"/>
          <w:szCs w:val="16"/>
        </w:rPr>
      </w:pPr>
    </w:p>
    <w:p w:rsidR="00BE284D" w:rsidRDefault="00BE284D" w:rsidP="004D46EC">
      <w:pPr>
        <w:pStyle w:val="InsideAddress"/>
        <w:ind w:left="5040" w:firstLine="720"/>
        <w:jc w:val="center"/>
        <w:rPr>
          <w:rFonts w:cs="Arial"/>
          <w:color w:val="0000FF"/>
          <w:sz w:val="16"/>
          <w:szCs w:val="16"/>
        </w:rPr>
      </w:pPr>
    </w:p>
    <w:p w:rsidR="00EF57BA" w:rsidRDefault="00EF57BA">
      <w:pPr>
        <w:pStyle w:val="BodyText"/>
        <w:spacing w:after="0"/>
        <w:rPr>
          <w:rFonts w:cs="Arial"/>
          <w:color w:val="0000FF"/>
        </w:rPr>
      </w:pPr>
      <w:r>
        <w:rPr>
          <w:rFonts w:cs="Arial"/>
          <w:color w:val="0000FF"/>
        </w:rPr>
        <w:tab/>
      </w:r>
      <w:r>
        <w:rPr>
          <w:rFonts w:cs="Arial"/>
          <w:color w:val="0000FF"/>
        </w:rPr>
        <w:tab/>
      </w:r>
      <w:r>
        <w:rPr>
          <w:rFonts w:cs="Arial"/>
          <w:color w:val="0000FF"/>
        </w:rPr>
        <w:tab/>
      </w:r>
      <w:r>
        <w:rPr>
          <w:rFonts w:cs="Arial"/>
          <w:color w:val="0000FF"/>
        </w:rPr>
        <w:tab/>
      </w:r>
      <w:r>
        <w:rPr>
          <w:rFonts w:cs="Arial"/>
          <w:color w:val="0000FF"/>
        </w:rPr>
        <w:tab/>
      </w:r>
      <w:r>
        <w:rPr>
          <w:rFonts w:cs="Arial"/>
          <w:color w:val="0000FF"/>
        </w:rPr>
        <w:tab/>
      </w:r>
    </w:p>
    <w:p w:rsidR="00E71B2A" w:rsidRDefault="00B92D70" w:rsidP="00E71B2A">
      <w:pPr>
        <w:jc w:val="left"/>
        <w:rPr>
          <w:rFonts w:cs="Arial"/>
          <w:color w:val="0000FF"/>
          <w:sz w:val="14"/>
        </w:rPr>
      </w:pPr>
      <w:r>
        <w:rPr>
          <w:rFonts w:cs="Arial"/>
          <w:color w:val="0000FF"/>
          <w:sz w:val="14"/>
        </w:rPr>
        <w:t xml:space="preserve">   </w:t>
      </w:r>
      <w:r w:rsidR="00ED0DC6">
        <w:rPr>
          <w:rFonts w:cs="Arial"/>
          <w:color w:val="0000FF"/>
          <w:sz w:val="14"/>
        </w:rPr>
        <w:t xml:space="preserve"> </w:t>
      </w:r>
      <w:r w:rsidR="005E49B3">
        <w:rPr>
          <w:rFonts w:cs="Arial"/>
          <w:color w:val="0000FF"/>
          <w:sz w:val="16"/>
          <w:szCs w:val="16"/>
        </w:rPr>
        <w:t xml:space="preserve">Philip L. Bartlett, II    </w:t>
      </w:r>
      <w:r w:rsidR="005E49B3">
        <w:rPr>
          <w:rFonts w:cs="Arial"/>
          <w:color w:val="0000FF"/>
          <w:sz w:val="16"/>
          <w:szCs w:val="16"/>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t xml:space="preserve"> </w:t>
      </w:r>
      <w:r w:rsidR="00DC2B9C">
        <w:rPr>
          <w:rFonts w:cs="Arial"/>
          <w:color w:val="0000FF"/>
          <w:sz w:val="14"/>
        </w:rPr>
        <w:t xml:space="preserve">   </w:t>
      </w:r>
      <w:r w:rsidR="00ED0DC6">
        <w:rPr>
          <w:rFonts w:cs="Arial"/>
          <w:color w:val="0000FF"/>
          <w:sz w:val="14"/>
        </w:rPr>
        <w:t xml:space="preserve">     </w:t>
      </w:r>
      <w:r w:rsidR="00ED0DC6" w:rsidRPr="00ED0DC6">
        <w:rPr>
          <w:rFonts w:cs="Arial"/>
          <w:color w:val="0000FF"/>
          <w:sz w:val="16"/>
          <w:szCs w:val="16"/>
        </w:rPr>
        <w:t>Harry Lanphear</w:t>
      </w:r>
    </w:p>
    <w:p w:rsidR="00E71B2A" w:rsidRDefault="00E71B2A" w:rsidP="00E71B2A">
      <w:pPr>
        <w:jc w:val="left"/>
        <w:rPr>
          <w:rFonts w:cs="Arial"/>
          <w:color w:val="0000FF"/>
          <w:sz w:val="14"/>
        </w:rPr>
      </w:pPr>
      <w:r>
        <w:rPr>
          <w:rFonts w:cs="Arial"/>
          <w:color w:val="0000FF"/>
          <w:sz w:val="14"/>
        </w:rPr>
        <w:t xml:space="preserve">         </w:t>
      </w:r>
      <w:r w:rsidR="00294BD7">
        <w:rPr>
          <w:rFonts w:cs="Arial"/>
          <w:color w:val="0000FF"/>
          <w:sz w:val="14"/>
        </w:rPr>
        <w:t xml:space="preserve"> </w:t>
      </w:r>
      <w:r>
        <w:rPr>
          <w:rFonts w:cs="Arial"/>
          <w:color w:val="0000FF"/>
          <w:sz w:val="14"/>
        </w:rPr>
        <w:t xml:space="preserve"> </w:t>
      </w:r>
      <w:r w:rsidR="00ED0DC6">
        <w:rPr>
          <w:rFonts w:cs="Arial"/>
          <w:caps/>
          <w:color w:val="0000FF"/>
          <w:sz w:val="12"/>
        </w:rPr>
        <w:t>Chairman</w:t>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r>
      <w:r w:rsidR="003805EA">
        <w:rPr>
          <w:rFonts w:cs="Arial"/>
          <w:color w:val="0000FF"/>
          <w:sz w:val="14"/>
        </w:rPr>
        <w:tab/>
        <w:t xml:space="preserve">      </w:t>
      </w:r>
      <w:r w:rsidR="003805EA">
        <w:rPr>
          <w:rFonts w:cs="Arial"/>
          <w:color w:val="0000FF"/>
          <w:sz w:val="14"/>
        </w:rPr>
        <w:tab/>
      </w:r>
      <w:r w:rsidR="003805EA" w:rsidRPr="00DC2B9C">
        <w:rPr>
          <w:rFonts w:cs="Arial"/>
          <w:caps/>
          <w:color w:val="0000FF"/>
          <w:sz w:val="12"/>
        </w:rPr>
        <w:t>Administrative Director</w:t>
      </w:r>
    </w:p>
    <w:p w:rsidR="00E71B2A" w:rsidRDefault="00E71B2A" w:rsidP="00E71B2A">
      <w:pPr>
        <w:jc w:val="left"/>
        <w:rPr>
          <w:rFonts w:cs="Arial"/>
          <w:color w:val="0000FF"/>
          <w:sz w:val="14"/>
        </w:rPr>
      </w:pPr>
    </w:p>
    <w:p w:rsidR="009E6A2D" w:rsidRDefault="00E71B2A" w:rsidP="006B3E45">
      <w:pPr>
        <w:pStyle w:val="InsideAddressName"/>
        <w:spacing w:before="0" w:line="240" w:lineRule="auto"/>
        <w:ind w:right="-1170"/>
        <w:jc w:val="left"/>
        <w:rPr>
          <w:rFonts w:cs="Arial"/>
          <w:color w:val="0000FF"/>
          <w:sz w:val="16"/>
          <w:szCs w:val="16"/>
        </w:rPr>
      </w:pPr>
      <w:r>
        <w:rPr>
          <w:rFonts w:cs="Arial"/>
          <w:color w:val="0000FF"/>
          <w:sz w:val="12"/>
          <w:szCs w:val="12"/>
        </w:rPr>
        <w:t xml:space="preserve"> </w:t>
      </w:r>
      <w:r w:rsidR="004966C7">
        <w:rPr>
          <w:rFonts w:cs="Arial"/>
          <w:color w:val="0000FF"/>
          <w:sz w:val="14"/>
        </w:rPr>
        <w:t xml:space="preserve">   </w:t>
      </w:r>
      <w:r w:rsidR="009E6A2D" w:rsidRPr="009E6A2D">
        <w:rPr>
          <w:rFonts w:cs="Arial"/>
          <w:color w:val="0000FF"/>
          <w:sz w:val="16"/>
          <w:szCs w:val="16"/>
        </w:rPr>
        <w:t>R. Bruce Williamson</w:t>
      </w:r>
    </w:p>
    <w:p w:rsidR="006B3E45" w:rsidRPr="006B3E45" w:rsidRDefault="006B3E45" w:rsidP="006B3E45">
      <w:pPr>
        <w:pStyle w:val="InsideAddress"/>
        <w:spacing w:line="240" w:lineRule="auto"/>
        <w:rPr>
          <w:color w:val="0000FF"/>
          <w:sz w:val="16"/>
          <w:szCs w:val="16"/>
        </w:rPr>
      </w:pPr>
      <w:r>
        <w:rPr>
          <w:color w:val="0000FF"/>
          <w:sz w:val="16"/>
          <w:szCs w:val="16"/>
        </w:rPr>
        <w:t xml:space="preserve">      </w:t>
      </w:r>
      <w:r w:rsidRPr="006B3E45">
        <w:rPr>
          <w:color w:val="0000FF"/>
          <w:sz w:val="16"/>
          <w:szCs w:val="16"/>
        </w:rPr>
        <w:t>Randall D. Davis</w:t>
      </w:r>
    </w:p>
    <w:p w:rsidR="00EF7449" w:rsidRPr="003549DC" w:rsidRDefault="009E6A2D" w:rsidP="00294BD7">
      <w:pPr>
        <w:pStyle w:val="InsideAddressName"/>
        <w:spacing w:before="0" w:line="240" w:lineRule="auto"/>
        <w:ind w:right="-1170"/>
        <w:jc w:val="left"/>
        <w:rPr>
          <w:rFonts w:cs="Arial"/>
          <w:color w:val="0000FF"/>
          <w:sz w:val="12"/>
          <w:szCs w:val="24"/>
        </w:rPr>
      </w:pPr>
      <w:r>
        <w:rPr>
          <w:rFonts w:cs="Arial"/>
          <w:color w:val="0000FF"/>
          <w:sz w:val="14"/>
        </w:rPr>
        <w:t xml:space="preserve">    </w:t>
      </w:r>
      <w:r w:rsidR="00294BD7">
        <w:rPr>
          <w:rFonts w:cs="Arial"/>
          <w:color w:val="0000FF"/>
          <w:sz w:val="14"/>
        </w:rPr>
        <w:t xml:space="preserve"> </w:t>
      </w:r>
      <w:r>
        <w:rPr>
          <w:rFonts w:cs="Arial"/>
          <w:color w:val="0000FF"/>
          <w:sz w:val="14"/>
        </w:rPr>
        <w:t xml:space="preserve">   </w:t>
      </w:r>
      <w:r w:rsidR="006B3E45">
        <w:rPr>
          <w:rFonts w:cs="Arial"/>
          <w:color w:val="0000FF"/>
          <w:sz w:val="14"/>
        </w:rPr>
        <w:t xml:space="preserve"> </w:t>
      </w:r>
      <w:r w:rsidR="006B3E45">
        <w:rPr>
          <w:rFonts w:cs="Arial"/>
          <w:color w:val="0000FF"/>
          <w:sz w:val="12"/>
          <w:szCs w:val="24"/>
        </w:rPr>
        <w:t>C</w:t>
      </w:r>
      <w:r w:rsidR="00E71B2A" w:rsidRPr="003549DC">
        <w:rPr>
          <w:rFonts w:cs="Arial"/>
          <w:color w:val="0000FF"/>
          <w:sz w:val="12"/>
          <w:szCs w:val="24"/>
        </w:rPr>
        <w:t>OMMISSIONE</w:t>
      </w:r>
      <w:r w:rsidR="002502CC">
        <w:rPr>
          <w:rFonts w:cs="Arial"/>
          <w:color w:val="0000FF"/>
          <w:sz w:val="12"/>
          <w:szCs w:val="24"/>
        </w:rPr>
        <w:t>R</w:t>
      </w:r>
      <w:r w:rsidR="006B3E45">
        <w:rPr>
          <w:rFonts w:cs="Arial"/>
          <w:color w:val="0000FF"/>
          <w:sz w:val="12"/>
          <w:szCs w:val="24"/>
        </w:rPr>
        <w:t>S</w:t>
      </w:r>
      <w:r w:rsidR="00EF57BA">
        <w:rPr>
          <w:rFonts w:cs="Arial"/>
          <w:color w:val="0000FF"/>
          <w:sz w:val="14"/>
        </w:rPr>
        <w:t xml:space="preserve">                        </w:t>
      </w:r>
      <w:r w:rsidR="00EF57BA">
        <w:rPr>
          <w:rFonts w:cs="Arial"/>
          <w:color w:val="0000FF"/>
          <w:sz w:val="14"/>
        </w:rPr>
        <w:tab/>
      </w:r>
      <w:r w:rsidR="00EF57BA">
        <w:rPr>
          <w:rFonts w:cs="Arial"/>
          <w:color w:val="0000FF"/>
          <w:sz w:val="14"/>
        </w:rPr>
        <w:tab/>
        <w:t xml:space="preserve"> </w:t>
      </w:r>
      <w:r w:rsidR="00EF57BA">
        <w:rPr>
          <w:rFonts w:cs="Arial"/>
          <w:color w:val="0000FF"/>
          <w:sz w:val="14"/>
        </w:rPr>
        <w:tab/>
      </w:r>
      <w:r w:rsidR="00EF57BA">
        <w:rPr>
          <w:rFonts w:cs="Arial"/>
          <w:color w:val="0000FF"/>
          <w:sz w:val="14"/>
        </w:rPr>
        <w:tab/>
        <w:t xml:space="preserve">                         </w:t>
      </w:r>
      <w:r w:rsidR="00BC7C03">
        <w:rPr>
          <w:rFonts w:cs="Arial"/>
          <w:color w:val="0000FF"/>
          <w:sz w:val="14"/>
        </w:rPr>
        <w:t xml:space="preserve">                       </w:t>
      </w:r>
      <w:r w:rsidR="00BC7C03">
        <w:rPr>
          <w:rFonts w:cs="Arial"/>
          <w:color w:val="0000FF"/>
          <w:sz w:val="14"/>
        </w:rPr>
        <w:tab/>
        <w:t xml:space="preserve">   </w:t>
      </w:r>
      <w:r w:rsidR="00B92D70">
        <w:rPr>
          <w:rFonts w:cs="Arial"/>
          <w:color w:val="0000FF"/>
          <w:sz w:val="14"/>
        </w:rPr>
        <w:t xml:space="preserve"> </w:t>
      </w:r>
      <w:r w:rsidR="00B92D70">
        <w:rPr>
          <w:rFonts w:cs="Arial"/>
          <w:color w:val="0000FF"/>
          <w:sz w:val="14"/>
        </w:rPr>
        <w:tab/>
        <w:t xml:space="preserve"> </w:t>
      </w:r>
    </w:p>
    <w:p w:rsidR="00FC1C69" w:rsidRPr="00FC1C69" w:rsidRDefault="004966C7" w:rsidP="00FC1C69">
      <w:pPr>
        <w:tabs>
          <w:tab w:val="left" w:pos="450"/>
          <w:tab w:val="left" w:pos="5310"/>
        </w:tabs>
        <w:rPr>
          <w:rFonts w:cs="Arial"/>
          <w:i/>
          <w:color w:val="FF0000"/>
          <w:spacing w:val="0"/>
          <w:sz w:val="24"/>
          <w:szCs w:val="24"/>
        </w:rPr>
      </w:pPr>
      <w:r>
        <w:rPr>
          <w:rFonts w:ascii="Times New Roman" w:eastAsia="Calibri" w:hAnsi="Times New Roman"/>
          <w:spacing w:val="0"/>
          <w:sz w:val="24"/>
          <w:szCs w:val="24"/>
        </w:rPr>
        <w:tab/>
      </w:r>
    </w:p>
    <w:p w:rsidR="005A0E9A" w:rsidRDefault="005A0E9A" w:rsidP="005A0E9A">
      <w:pPr>
        <w:contextualSpacing/>
        <w:jc w:val="center"/>
        <w:rPr>
          <w:b/>
          <w:sz w:val="28"/>
          <w:szCs w:val="28"/>
        </w:rPr>
      </w:pPr>
      <w:r w:rsidRPr="00CA2766">
        <w:rPr>
          <w:b/>
          <w:sz w:val="28"/>
          <w:szCs w:val="28"/>
        </w:rPr>
        <w:t>Notice of Grant Opportunity</w:t>
      </w:r>
      <w:r>
        <w:rPr>
          <w:b/>
          <w:sz w:val="28"/>
          <w:szCs w:val="28"/>
        </w:rPr>
        <w:t xml:space="preserve"> for Dispatch Center Consolidation</w:t>
      </w:r>
      <w:r>
        <w:rPr>
          <w:b/>
          <w:sz w:val="28"/>
          <w:szCs w:val="28"/>
        </w:rPr>
        <w:br/>
        <w:t>Request for Applications (RFA)</w:t>
      </w:r>
    </w:p>
    <w:p w:rsidR="005A0E9A" w:rsidRDefault="005A0E9A" w:rsidP="005A0E9A">
      <w:pPr>
        <w:contextualSpacing/>
        <w:jc w:val="center"/>
        <w:rPr>
          <w:b/>
          <w:sz w:val="28"/>
          <w:szCs w:val="28"/>
        </w:rPr>
      </w:pPr>
    </w:p>
    <w:p w:rsidR="005A0E9A" w:rsidRPr="00E63032" w:rsidRDefault="005A0E9A" w:rsidP="005A0E9A">
      <w:pPr>
        <w:contextualSpacing/>
        <w:jc w:val="center"/>
        <w:rPr>
          <w:b/>
          <w:sz w:val="24"/>
          <w:szCs w:val="28"/>
        </w:rPr>
      </w:pPr>
      <w:r>
        <w:rPr>
          <w:b/>
          <w:sz w:val="24"/>
          <w:szCs w:val="28"/>
        </w:rPr>
        <w:t>July 8</w:t>
      </w:r>
      <w:r w:rsidRPr="00E63032">
        <w:rPr>
          <w:b/>
          <w:sz w:val="24"/>
          <w:szCs w:val="28"/>
        </w:rPr>
        <w:t>, 2019</w:t>
      </w:r>
    </w:p>
    <w:p w:rsidR="005A0E9A" w:rsidRDefault="005A0E9A" w:rsidP="005A0E9A">
      <w:pPr>
        <w:ind w:firstLine="720"/>
        <w:contextualSpacing/>
        <w:rPr>
          <w:rFonts w:cs="Arial"/>
        </w:rPr>
      </w:pPr>
    </w:p>
    <w:p w:rsidR="005A0E9A" w:rsidRPr="001C71CB" w:rsidRDefault="005A0E9A" w:rsidP="005A0E9A">
      <w:pPr>
        <w:autoSpaceDE w:val="0"/>
        <w:autoSpaceDN w:val="0"/>
        <w:adjustRightInd w:val="0"/>
        <w:ind w:firstLine="720"/>
        <w:contextualSpacing/>
        <w:rPr>
          <w:rFonts w:eastAsia="Calibri" w:cs="Arial"/>
          <w:spacing w:val="0"/>
          <w:sz w:val="22"/>
          <w:szCs w:val="22"/>
        </w:rPr>
      </w:pPr>
      <w:r w:rsidRPr="001C71CB">
        <w:rPr>
          <w:rFonts w:eastAsia="Calibri" w:cs="Arial"/>
          <w:spacing w:val="0"/>
          <w:sz w:val="22"/>
          <w:szCs w:val="22"/>
        </w:rPr>
        <w:t>The Public Utilities Commission's (Commission) Emergency Services Communication Bureau (Bureau) is soliciting grant applications to support the consolidation of dispatch centers into existing Public Safety Answering Points (PSAPs).</w:t>
      </w:r>
    </w:p>
    <w:p w:rsidR="005A0E9A" w:rsidRPr="00466E22" w:rsidRDefault="005A0E9A" w:rsidP="005A0E9A">
      <w:pPr>
        <w:ind w:firstLine="720"/>
        <w:contextualSpacing/>
        <w:rPr>
          <w:rFonts w:cs="Arial"/>
        </w:rPr>
      </w:pPr>
    </w:p>
    <w:p w:rsidR="005A0E9A" w:rsidRPr="001E022D" w:rsidRDefault="005A0E9A" w:rsidP="005A0E9A">
      <w:pPr>
        <w:pStyle w:val="ListParagraph"/>
        <w:numPr>
          <w:ilvl w:val="0"/>
          <w:numId w:val="8"/>
        </w:numPr>
        <w:spacing w:after="0"/>
        <w:rPr>
          <w:rFonts w:ascii="Arial" w:hAnsi="Arial" w:cs="Arial"/>
          <w:b/>
        </w:rPr>
      </w:pPr>
      <w:r w:rsidRPr="001E022D">
        <w:rPr>
          <w:rFonts w:ascii="Arial" w:hAnsi="Arial" w:cs="Arial"/>
          <w:b/>
        </w:rPr>
        <w:t>Background</w:t>
      </w:r>
    </w:p>
    <w:p w:rsidR="005A0E9A" w:rsidRDefault="005A0E9A" w:rsidP="005A0E9A">
      <w:pPr>
        <w:autoSpaceDE w:val="0"/>
        <w:autoSpaceDN w:val="0"/>
        <w:adjustRightInd w:val="0"/>
        <w:ind w:firstLine="720"/>
        <w:contextualSpacing/>
        <w:rPr>
          <w:rFonts w:cs="Arial"/>
        </w:rPr>
      </w:pPr>
    </w:p>
    <w:p w:rsidR="005A0E9A" w:rsidRPr="001C71CB" w:rsidRDefault="005A0E9A" w:rsidP="005A0E9A">
      <w:pPr>
        <w:autoSpaceDE w:val="0"/>
        <w:autoSpaceDN w:val="0"/>
        <w:adjustRightInd w:val="0"/>
        <w:ind w:firstLine="720"/>
        <w:contextualSpacing/>
        <w:rPr>
          <w:rFonts w:eastAsia="Calibri" w:cs="Arial"/>
          <w:spacing w:val="0"/>
          <w:sz w:val="22"/>
          <w:szCs w:val="22"/>
        </w:rPr>
      </w:pPr>
      <w:r w:rsidRPr="001C71CB">
        <w:rPr>
          <w:rFonts w:eastAsia="Calibri" w:cs="Arial"/>
          <w:spacing w:val="0"/>
          <w:sz w:val="22"/>
          <w:szCs w:val="22"/>
        </w:rPr>
        <w:t>On June 29, 2018, the Governor signed L.D. 1671, An Act To Create a Grant Program To Assist with Dispatch Center Consolidation (Act).</w:t>
      </w:r>
      <w:r w:rsidRPr="001C71CB">
        <w:rPr>
          <w:rFonts w:eastAsia="Calibri"/>
          <w:spacing w:val="0"/>
          <w:sz w:val="22"/>
          <w:szCs w:val="22"/>
          <w:vertAlign w:val="superscript"/>
        </w:rPr>
        <w:footnoteReference w:id="1"/>
      </w:r>
      <w:r w:rsidRPr="001C71CB">
        <w:rPr>
          <w:rFonts w:eastAsia="Calibri" w:cs="Arial"/>
          <w:spacing w:val="0"/>
          <w:sz w:val="22"/>
          <w:szCs w:val="22"/>
        </w:rPr>
        <w:t xml:space="preserve">  The Act states that to support the consolidation of dispatch centers into existing PSAPs, the Commission’s Emergency Services Communication Bureau may provide up to $1,000,000 from funds collected from the statewide E-9-1-1 surcharge and the statewide prepaid wireless telecommunications service E-9-1-1 surcharge to provide grants to dispatch centers for nonrecurring costs associated with the consolidation of the dispatch centers into PSAPs.  </w:t>
      </w:r>
    </w:p>
    <w:p w:rsidR="005A0E9A" w:rsidRPr="001C71CB" w:rsidRDefault="005A0E9A" w:rsidP="005A0E9A">
      <w:pPr>
        <w:autoSpaceDE w:val="0"/>
        <w:autoSpaceDN w:val="0"/>
        <w:adjustRightInd w:val="0"/>
        <w:ind w:firstLine="720"/>
        <w:contextualSpacing/>
        <w:rPr>
          <w:rFonts w:eastAsia="Calibri" w:cs="Arial"/>
          <w:spacing w:val="0"/>
          <w:sz w:val="22"/>
          <w:szCs w:val="22"/>
        </w:rPr>
      </w:pPr>
    </w:p>
    <w:p w:rsidR="005A0E9A" w:rsidRPr="001C71CB" w:rsidRDefault="005A0E9A" w:rsidP="005A0E9A">
      <w:pPr>
        <w:autoSpaceDE w:val="0"/>
        <w:autoSpaceDN w:val="0"/>
        <w:adjustRightInd w:val="0"/>
        <w:ind w:firstLine="720"/>
        <w:contextualSpacing/>
        <w:rPr>
          <w:rFonts w:eastAsia="Calibri"/>
          <w:spacing w:val="0"/>
          <w:sz w:val="22"/>
          <w:szCs w:val="22"/>
        </w:rPr>
      </w:pPr>
      <w:r w:rsidRPr="001C71CB">
        <w:rPr>
          <w:rFonts w:eastAsia="Calibri" w:cs="Arial"/>
          <w:spacing w:val="0"/>
          <w:sz w:val="22"/>
          <w:szCs w:val="22"/>
        </w:rPr>
        <w:t xml:space="preserve">Chapter 4 of the Bureau's Rules - Requirements for the Dispatch Consolidation Grant Program - establishes the application process for the distribution of grants for nonrecurring costs incurred by dispatch centers for consolidation into PSAPs. A copy of the rule is attached and can also be found on the Bureau’s website: </w:t>
      </w:r>
      <w:hyperlink r:id="rId8" w:history="1">
        <w:r w:rsidRPr="001C71CB">
          <w:rPr>
            <w:rFonts w:eastAsia="Calibri"/>
            <w:spacing w:val="0"/>
            <w:sz w:val="22"/>
            <w:szCs w:val="22"/>
          </w:rPr>
          <w:t>https://www.maine.gov/maine911/laws-rules/rules</w:t>
        </w:r>
      </w:hyperlink>
      <w:r>
        <w:rPr>
          <w:rFonts w:eastAsia="Calibri"/>
          <w:spacing w:val="0"/>
          <w:sz w:val="22"/>
          <w:szCs w:val="22"/>
        </w:rPr>
        <w:t>.</w:t>
      </w:r>
    </w:p>
    <w:p w:rsidR="005A0E9A" w:rsidRPr="001C71CB" w:rsidRDefault="005A0E9A" w:rsidP="005A0E9A">
      <w:pPr>
        <w:autoSpaceDE w:val="0"/>
        <w:autoSpaceDN w:val="0"/>
        <w:adjustRightInd w:val="0"/>
        <w:ind w:firstLine="720"/>
        <w:contextualSpacing/>
        <w:rPr>
          <w:rFonts w:eastAsia="Calibri" w:cs="Arial"/>
          <w:spacing w:val="0"/>
          <w:sz w:val="22"/>
          <w:szCs w:val="22"/>
        </w:rPr>
      </w:pPr>
    </w:p>
    <w:p w:rsidR="005A0E9A" w:rsidRPr="00986F19" w:rsidRDefault="005A0E9A" w:rsidP="005A0E9A">
      <w:pPr>
        <w:autoSpaceDE w:val="0"/>
        <w:autoSpaceDN w:val="0"/>
        <w:adjustRightInd w:val="0"/>
        <w:ind w:firstLine="720"/>
        <w:contextualSpacing/>
        <w:rPr>
          <w:rFonts w:eastAsia="Calibri" w:cs="Arial"/>
          <w:spacing w:val="0"/>
          <w:sz w:val="22"/>
          <w:szCs w:val="22"/>
        </w:rPr>
      </w:pPr>
      <w:r w:rsidRPr="00986F19">
        <w:rPr>
          <w:rFonts w:eastAsia="Calibri" w:cs="Arial"/>
          <w:spacing w:val="0"/>
          <w:sz w:val="22"/>
          <w:szCs w:val="22"/>
        </w:rPr>
        <w:t xml:space="preserve">The Bureau’s Request for Grant Applications (RFA) is open </w:t>
      </w:r>
      <w:r w:rsidR="00A458E3" w:rsidRPr="00986F19">
        <w:rPr>
          <w:rFonts w:eastAsia="Calibri" w:cs="Arial"/>
          <w:spacing w:val="0"/>
          <w:sz w:val="22"/>
          <w:szCs w:val="22"/>
        </w:rPr>
        <w:t>as long as funds remain and the program is authorized by law</w:t>
      </w:r>
      <w:r w:rsidRPr="00986F19">
        <w:rPr>
          <w:rFonts w:eastAsia="Calibri" w:cs="Arial"/>
          <w:spacing w:val="0"/>
          <w:sz w:val="22"/>
          <w:szCs w:val="22"/>
        </w:rPr>
        <w:t>.</w:t>
      </w:r>
      <w:r w:rsidR="00055C32" w:rsidRPr="00986F19">
        <w:rPr>
          <w:rFonts w:eastAsia="Calibri" w:cs="Arial"/>
          <w:spacing w:val="0"/>
          <w:sz w:val="22"/>
          <w:szCs w:val="22"/>
        </w:rPr>
        <w:t xml:space="preserve"> Applications will be considered on a first come, first served basis.</w:t>
      </w:r>
    </w:p>
    <w:p w:rsidR="005A0E9A" w:rsidRDefault="005A0E9A" w:rsidP="005A0E9A">
      <w:pPr>
        <w:autoSpaceDE w:val="0"/>
        <w:autoSpaceDN w:val="0"/>
        <w:adjustRightInd w:val="0"/>
        <w:contextualSpacing/>
        <w:rPr>
          <w:rFonts w:cs="Arial"/>
        </w:rPr>
      </w:pPr>
    </w:p>
    <w:p w:rsidR="005A0E9A" w:rsidRPr="009B2135" w:rsidRDefault="005A0E9A" w:rsidP="005A0E9A">
      <w:pPr>
        <w:pStyle w:val="ListParagraph"/>
        <w:numPr>
          <w:ilvl w:val="0"/>
          <w:numId w:val="8"/>
        </w:numPr>
        <w:autoSpaceDE w:val="0"/>
        <w:autoSpaceDN w:val="0"/>
        <w:adjustRightInd w:val="0"/>
        <w:spacing w:after="0"/>
        <w:rPr>
          <w:rFonts w:ascii="Arial" w:hAnsi="Arial" w:cs="Arial"/>
          <w:b/>
        </w:rPr>
      </w:pPr>
      <w:r w:rsidRPr="009B2135">
        <w:rPr>
          <w:rFonts w:ascii="Arial" w:hAnsi="Arial" w:cs="Arial"/>
          <w:b/>
        </w:rPr>
        <w:t>Eligible Applicants</w:t>
      </w:r>
    </w:p>
    <w:p w:rsidR="005A0E9A" w:rsidRDefault="005A0E9A" w:rsidP="005A0E9A">
      <w:pPr>
        <w:autoSpaceDE w:val="0"/>
        <w:autoSpaceDN w:val="0"/>
        <w:adjustRightInd w:val="0"/>
        <w:ind w:firstLine="720"/>
        <w:contextualSpacing/>
        <w:rPr>
          <w:rFonts w:cs="Arial"/>
        </w:rPr>
      </w:pPr>
    </w:p>
    <w:p w:rsidR="005A0E9A" w:rsidRPr="001C71CB" w:rsidRDefault="005A0E9A" w:rsidP="005A0E9A">
      <w:pPr>
        <w:autoSpaceDE w:val="0"/>
        <w:autoSpaceDN w:val="0"/>
        <w:adjustRightInd w:val="0"/>
        <w:ind w:firstLine="720"/>
        <w:contextualSpacing/>
        <w:rPr>
          <w:rFonts w:eastAsia="Calibri" w:cs="Arial"/>
          <w:spacing w:val="0"/>
          <w:sz w:val="22"/>
          <w:szCs w:val="22"/>
        </w:rPr>
      </w:pPr>
      <w:r w:rsidRPr="001C71CB">
        <w:rPr>
          <w:rFonts w:eastAsia="Calibri" w:cs="Arial"/>
          <w:spacing w:val="0"/>
          <w:sz w:val="22"/>
          <w:szCs w:val="22"/>
        </w:rPr>
        <w:t xml:space="preserve">To be eligible for this grant program, an applicant must be a dispatch center located in Maine and must submit a completed grant application. Consolidation costs incurred after June 29, 2018 are eligible for grant funds.  Applications may include services related to all towns that are (or were) dispatched through the applying dispatch center that will be (or were) consolidated into the PSAP as these towns are not able to apply on their own. </w:t>
      </w:r>
    </w:p>
    <w:p w:rsidR="005A0E9A" w:rsidRDefault="005A0E9A" w:rsidP="005A0E9A">
      <w:pPr>
        <w:autoSpaceDE w:val="0"/>
        <w:autoSpaceDN w:val="0"/>
        <w:adjustRightInd w:val="0"/>
        <w:ind w:firstLine="720"/>
        <w:contextualSpacing/>
        <w:rPr>
          <w:rFonts w:cs="Arial"/>
        </w:rPr>
      </w:pPr>
    </w:p>
    <w:p w:rsidR="005A0E9A" w:rsidRPr="00BE3651" w:rsidRDefault="005A0E9A" w:rsidP="005A0E9A">
      <w:pPr>
        <w:pStyle w:val="ListParagraph"/>
        <w:numPr>
          <w:ilvl w:val="0"/>
          <w:numId w:val="8"/>
        </w:numPr>
        <w:autoSpaceDE w:val="0"/>
        <w:autoSpaceDN w:val="0"/>
        <w:adjustRightInd w:val="0"/>
        <w:spacing w:after="0"/>
        <w:rPr>
          <w:rFonts w:ascii="Arial" w:hAnsi="Arial" w:cs="Arial"/>
          <w:b/>
        </w:rPr>
      </w:pPr>
      <w:r w:rsidRPr="00BE3651">
        <w:rPr>
          <w:rFonts w:ascii="Arial" w:hAnsi="Arial" w:cs="Arial"/>
          <w:b/>
        </w:rPr>
        <w:t>Eligible Expenses</w:t>
      </w:r>
    </w:p>
    <w:p w:rsidR="005A0E9A" w:rsidRDefault="005A0E9A" w:rsidP="005A0E9A">
      <w:pPr>
        <w:pStyle w:val="ListParagraph"/>
        <w:autoSpaceDE w:val="0"/>
        <w:autoSpaceDN w:val="0"/>
        <w:adjustRightInd w:val="0"/>
        <w:spacing w:after="0"/>
        <w:ind w:left="360"/>
        <w:rPr>
          <w:rFonts w:ascii="Arial" w:hAnsi="Arial" w:cs="Arial"/>
        </w:rPr>
      </w:pPr>
    </w:p>
    <w:p w:rsidR="005A0E9A" w:rsidRPr="008F67A7" w:rsidRDefault="005A0E9A" w:rsidP="005A0E9A">
      <w:pPr>
        <w:pStyle w:val="ListParagraph"/>
        <w:autoSpaceDE w:val="0"/>
        <w:autoSpaceDN w:val="0"/>
        <w:adjustRightInd w:val="0"/>
        <w:spacing w:after="0"/>
        <w:ind w:left="0" w:firstLine="720"/>
        <w:rPr>
          <w:rFonts w:ascii="Arial" w:hAnsi="Arial" w:cs="Arial"/>
        </w:rPr>
      </w:pPr>
      <w:r>
        <w:rPr>
          <w:rFonts w:ascii="Arial" w:hAnsi="Arial" w:cs="Arial"/>
        </w:rPr>
        <w:t>The following are allowable nonrecurring dispatch consolidation costs that would be eligible for grant funds: m</w:t>
      </w:r>
      <w:r w:rsidRPr="008F67A7">
        <w:rPr>
          <w:rFonts w:ascii="Arial" w:hAnsi="Arial" w:cs="Arial"/>
        </w:rPr>
        <w:t>oving of existing emergency telecommunications system;</w:t>
      </w:r>
      <w:r>
        <w:rPr>
          <w:rFonts w:ascii="Arial" w:hAnsi="Arial" w:cs="Arial"/>
        </w:rPr>
        <w:t xml:space="preserve"> c</w:t>
      </w:r>
      <w:r w:rsidRPr="00BE3651">
        <w:rPr>
          <w:rFonts w:ascii="Arial" w:hAnsi="Arial" w:cs="Arial"/>
        </w:rPr>
        <w:t>osts associated with providing for additional functional capacity at the regional PSAP;</w:t>
      </w:r>
      <w:r>
        <w:rPr>
          <w:rFonts w:ascii="Arial" w:hAnsi="Arial" w:cs="Arial"/>
        </w:rPr>
        <w:t xml:space="preserve"> c</w:t>
      </w:r>
      <w:r w:rsidRPr="00BE3651">
        <w:rPr>
          <w:rFonts w:ascii="Arial" w:hAnsi="Arial" w:cs="Arial"/>
        </w:rPr>
        <w:t>hanges to existing radio systems of the affected parties that are required by the</w:t>
      </w:r>
      <w:r>
        <w:rPr>
          <w:rFonts w:ascii="Arial" w:hAnsi="Arial" w:cs="Arial"/>
        </w:rPr>
        <w:t xml:space="preserve"> </w:t>
      </w:r>
      <w:r w:rsidRPr="00BE3651">
        <w:rPr>
          <w:rFonts w:ascii="Arial" w:hAnsi="Arial" w:cs="Arial"/>
        </w:rPr>
        <w:t>move;</w:t>
      </w:r>
      <w:r w:rsidRPr="008F67A7">
        <w:rPr>
          <w:rFonts w:ascii="Arial" w:hAnsi="Arial" w:cs="Arial"/>
        </w:rPr>
        <w:t xml:space="preserve"> </w:t>
      </w:r>
      <w:r>
        <w:rPr>
          <w:rFonts w:ascii="Arial" w:hAnsi="Arial" w:cs="Arial"/>
        </w:rPr>
        <w:t>e</w:t>
      </w:r>
      <w:r w:rsidRPr="008F67A7">
        <w:rPr>
          <w:rFonts w:ascii="Arial" w:hAnsi="Arial" w:cs="Arial"/>
        </w:rPr>
        <w:t xml:space="preserve">mergency telecommunications equipment required by the regional PSAP to facilitate the incorporation of another municipality; </w:t>
      </w:r>
      <w:r>
        <w:rPr>
          <w:rFonts w:ascii="Arial" w:hAnsi="Arial" w:cs="Arial"/>
        </w:rPr>
        <w:t xml:space="preserve">a </w:t>
      </w:r>
      <w:r w:rsidRPr="008F67A7">
        <w:rPr>
          <w:rFonts w:ascii="Arial" w:hAnsi="Arial" w:cs="Arial"/>
        </w:rPr>
        <w:t xml:space="preserve">study or plan </w:t>
      </w:r>
      <w:r w:rsidRPr="008F67A7">
        <w:rPr>
          <w:rFonts w:ascii="Arial" w:hAnsi="Arial" w:cs="Arial"/>
        </w:rPr>
        <w:lastRenderedPageBreak/>
        <w:t>for consolidation into an existing PSAP</w:t>
      </w:r>
      <w:r>
        <w:rPr>
          <w:rFonts w:ascii="Arial" w:hAnsi="Arial" w:cs="Arial"/>
        </w:rPr>
        <w:t>;</w:t>
      </w:r>
      <w:r w:rsidRPr="008F67A7">
        <w:rPr>
          <w:rFonts w:ascii="Arial" w:hAnsi="Arial" w:cs="Arial"/>
        </w:rPr>
        <w:t xml:space="preserve"> and Incidental construction or remodeling costs of the PSAP to accommodate the consolidation. </w:t>
      </w:r>
    </w:p>
    <w:p w:rsidR="005A0E9A" w:rsidRDefault="005A0E9A" w:rsidP="005A0E9A">
      <w:pPr>
        <w:pStyle w:val="ListParagraph"/>
        <w:autoSpaceDE w:val="0"/>
        <w:autoSpaceDN w:val="0"/>
        <w:adjustRightInd w:val="0"/>
        <w:spacing w:after="0"/>
        <w:ind w:left="360"/>
        <w:rPr>
          <w:rFonts w:ascii="Arial" w:hAnsi="Arial" w:cs="Arial"/>
        </w:rPr>
      </w:pPr>
    </w:p>
    <w:p w:rsidR="005A0E9A" w:rsidRDefault="005A0E9A" w:rsidP="005A0E9A">
      <w:pPr>
        <w:pStyle w:val="ListParagraph"/>
        <w:autoSpaceDE w:val="0"/>
        <w:autoSpaceDN w:val="0"/>
        <w:adjustRightInd w:val="0"/>
        <w:spacing w:after="0"/>
        <w:ind w:left="0" w:firstLine="720"/>
        <w:rPr>
          <w:rFonts w:ascii="Arial" w:hAnsi="Arial" w:cs="Arial"/>
        </w:rPr>
      </w:pPr>
      <w:r>
        <w:rPr>
          <w:rFonts w:ascii="Arial" w:hAnsi="Arial" w:cs="Arial"/>
        </w:rPr>
        <w:t>The Commission may also, in its discretion, determine that additional types of non-recurring costs are eligible for grant funds.</w:t>
      </w:r>
    </w:p>
    <w:p w:rsidR="005A0E9A" w:rsidRDefault="005A0E9A" w:rsidP="005A0E9A">
      <w:pPr>
        <w:pStyle w:val="ListParagraph"/>
        <w:autoSpaceDE w:val="0"/>
        <w:autoSpaceDN w:val="0"/>
        <w:adjustRightInd w:val="0"/>
        <w:spacing w:after="0"/>
        <w:ind w:left="0" w:firstLine="720"/>
        <w:rPr>
          <w:rFonts w:ascii="Arial" w:hAnsi="Arial" w:cs="Arial"/>
        </w:rPr>
      </w:pPr>
    </w:p>
    <w:p w:rsidR="005A0E9A" w:rsidRPr="00BE3651" w:rsidRDefault="005A0E9A" w:rsidP="005A0E9A">
      <w:pPr>
        <w:pStyle w:val="ListParagraph"/>
        <w:autoSpaceDE w:val="0"/>
        <w:autoSpaceDN w:val="0"/>
        <w:adjustRightInd w:val="0"/>
        <w:spacing w:after="0"/>
        <w:ind w:left="360" w:firstLine="360"/>
        <w:rPr>
          <w:rFonts w:ascii="Arial" w:hAnsi="Arial" w:cs="Arial"/>
        </w:rPr>
      </w:pPr>
    </w:p>
    <w:p w:rsidR="005A0E9A" w:rsidRDefault="005A0E9A" w:rsidP="005A0E9A">
      <w:pPr>
        <w:pStyle w:val="ListParagraph"/>
        <w:numPr>
          <w:ilvl w:val="0"/>
          <w:numId w:val="8"/>
        </w:numPr>
        <w:autoSpaceDE w:val="0"/>
        <w:autoSpaceDN w:val="0"/>
        <w:adjustRightInd w:val="0"/>
        <w:spacing w:after="0"/>
        <w:rPr>
          <w:rFonts w:ascii="Arial" w:hAnsi="Arial" w:cs="Arial"/>
          <w:b/>
        </w:rPr>
      </w:pPr>
      <w:r w:rsidRPr="009B2135">
        <w:rPr>
          <w:rFonts w:ascii="Arial" w:hAnsi="Arial" w:cs="Arial"/>
          <w:b/>
        </w:rPr>
        <w:t>Application Process</w:t>
      </w:r>
    </w:p>
    <w:p w:rsidR="005A0E9A" w:rsidRDefault="005A0E9A" w:rsidP="005A0E9A">
      <w:pPr>
        <w:pStyle w:val="ListParagraph"/>
        <w:autoSpaceDE w:val="0"/>
        <w:autoSpaceDN w:val="0"/>
        <w:adjustRightInd w:val="0"/>
        <w:spacing w:after="0"/>
        <w:ind w:left="360"/>
        <w:rPr>
          <w:rFonts w:ascii="Arial" w:hAnsi="Arial" w:cs="Arial"/>
          <w:b/>
        </w:rPr>
      </w:pPr>
    </w:p>
    <w:p w:rsidR="005A0E9A" w:rsidRDefault="005A0E9A" w:rsidP="005A0E9A">
      <w:pPr>
        <w:pStyle w:val="ListParagraph"/>
        <w:spacing w:after="0"/>
        <w:ind w:left="0" w:firstLine="720"/>
        <w:rPr>
          <w:rFonts w:ascii="Arial" w:hAnsi="Arial" w:cs="Arial"/>
        </w:rPr>
      </w:pPr>
      <w:r>
        <w:rPr>
          <w:rFonts w:ascii="Arial" w:hAnsi="Arial" w:cs="Arial"/>
        </w:rPr>
        <w:t xml:space="preserve">Applicants must provide a complete Standard Application Form. Applicants must provide sufficient supporting documentation with the application to allow the Commission to verify that the information provided in the Application Form is accurate.  </w:t>
      </w:r>
    </w:p>
    <w:p w:rsidR="005A0E9A" w:rsidRDefault="005A0E9A" w:rsidP="005A0E9A">
      <w:pPr>
        <w:pStyle w:val="ListParagraph"/>
        <w:spacing w:after="0"/>
        <w:ind w:left="0" w:firstLine="720"/>
        <w:rPr>
          <w:rFonts w:ascii="Arial" w:hAnsi="Arial" w:cs="Arial"/>
        </w:rPr>
      </w:pPr>
    </w:p>
    <w:p w:rsidR="005A0E9A" w:rsidRDefault="005A0E9A" w:rsidP="005A0E9A">
      <w:pPr>
        <w:pStyle w:val="ListParagraph"/>
        <w:spacing w:after="0"/>
        <w:ind w:left="0" w:firstLine="720"/>
        <w:rPr>
          <w:rFonts w:ascii="Arial" w:hAnsi="Arial" w:cs="Arial"/>
        </w:rPr>
      </w:pPr>
      <w:r w:rsidRPr="008F67A7">
        <w:rPr>
          <w:rFonts w:ascii="Arial" w:hAnsi="Arial" w:cs="Arial"/>
        </w:rPr>
        <w:t xml:space="preserve">Electronic filing Instructions are attached and will also be posted at </w:t>
      </w:r>
      <w:hyperlink r:id="rId9" w:history="1">
        <w:r w:rsidRPr="0033139E">
          <w:rPr>
            <w:rStyle w:val="Hyperlink"/>
            <w:rFonts w:ascii="Arial" w:hAnsi="Arial" w:cs="Arial"/>
          </w:rPr>
          <w:t>http://www.maine.gov/maine911/psap-training/Consolidation-Grant</w:t>
        </w:r>
      </w:hyperlink>
      <w:r>
        <w:rPr>
          <w:rFonts w:ascii="Arial" w:hAnsi="Arial" w:cs="Arial"/>
        </w:rPr>
        <w:t>.</w:t>
      </w:r>
    </w:p>
    <w:p w:rsidR="005A0E9A" w:rsidRPr="008F67A7" w:rsidRDefault="005A0E9A" w:rsidP="005A0E9A">
      <w:pPr>
        <w:pStyle w:val="ListParagraph"/>
        <w:spacing w:after="0"/>
        <w:ind w:left="0" w:firstLine="720"/>
        <w:rPr>
          <w:rFonts w:ascii="Arial" w:hAnsi="Arial" w:cs="Arial"/>
        </w:rPr>
      </w:pPr>
    </w:p>
    <w:p w:rsidR="005A0E9A" w:rsidRPr="001C71CB" w:rsidRDefault="005A0E9A" w:rsidP="005A0E9A">
      <w:pPr>
        <w:ind w:firstLine="720"/>
        <w:contextualSpacing/>
        <w:jc w:val="left"/>
        <w:rPr>
          <w:rFonts w:eastAsia="Calibri" w:cs="Arial"/>
          <w:spacing w:val="0"/>
          <w:sz w:val="22"/>
          <w:szCs w:val="22"/>
        </w:rPr>
      </w:pPr>
      <w:r w:rsidRPr="001C71CB">
        <w:rPr>
          <w:rFonts w:eastAsia="Calibri" w:cs="Arial"/>
          <w:spacing w:val="0"/>
          <w:sz w:val="22"/>
          <w:szCs w:val="22"/>
        </w:rPr>
        <w:t xml:space="preserve">Commission staff will then review all applications and may ask for supplemental and/or clarifying information from applicants.  The Commission expects to make decisions on complete </w:t>
      </w:r>
      <w:r w:rsidRPr="00AF485F">
        <w:rPr>
          <w:rFonts w:eastAsia="Calibri" w:cs="Arial"/>
          <w:spacing w:val="0"/>
          <w:sz w:val="22"/>
          <w:szCs w:val="22"/>
        </w:rPr>
        <w:t xml:space="preserve">applications </w:t>
      </w:r>
      <w:r w:rsidR="00055C32" w:rsidRPr="00AF485F">
        <w:rPr>
          <w:rFonts w:eastAsia="Calibri" w:cs="Arial"/>
          <w:spacing w:val="0"/>
          <w:sz w:val="22"/>
          <w:szCs w:val="22"/>
        </w:rPr>
        <w:t>within 30 days of receipt</w:t>
      </w:r>
      <w:r w:rsidRPr="00AF485F">
        <w:rPr>
          <w:rFonts w:eastAsia="Calibri" w:cs="Arial"/>
          <w:spacing w:val="0"/>
          <w:sz w:val="22"/>
          <w:szCs w:val="22"/>
        </w:rPr>
        <w:t>.</w:t>
      </w:r>
      <w:r w:rsidRPr="001C71CB">
        <w:rPr>
          <w:rFonts w:eastAsia="Calibri" w:cs="Arial"/>
          <w:spacing w:val="0"/>
          <w:sz w:val="22"/>
          <w:szCs w:val="22"/>
        </w:rPr>
        <w:t xml:space="preserve">  Grants will be limited by the availability of funds and subject to approval by the Bureau.  No application will be approved unless the Bureau determines that the application is </w:t>
      </w:r>
      <w:r w:rsidR="002B4846" w:rsidRPr="001C71CB">
        <w:rPr>
          <w:rFonts w:eastAsia="Calibri" w:cs="Arial"/>
          <w:spacing w:val="0"/>
          <w:sz w:val="22"/>
          <w:szCs w:val="22"/>
        </w:rPr>
        <w:t>complete,</w:t>
      </w:r>
      <w:r w:rsidRPr="001C71CB">
        <w:rPr>
          <w:rFonts w:eastAsia="Calibri" w:cs="Arial"/>
          <w:spacing w:val="0"/>
          <w:sz w:val="22"/>
          <w:szCs w:val="22"/>
        </w:rPr>
        <w:t xml:space="preserve"> and the applicant is eligible. </w:t>
      </w:r>
    </w:p>
    <w:p w:rsidR="005A0E9A" w:rsidRPr="001C71CB" w:rsidRDefault="005A0E9A" w:rsidP="005A0E9A">
      <w:pPr>
        <w:ind w:firstLine="720"/>
        <w:contextualSpacing/>
        <w:jc w:val="left"/>
        <w:rPr>
          <w:rFonts w:eastAsia="Calibri" w:cs="Arial"/>
          <w:spacing w:val="0"/>
          <w:sz w:val="22"/>
          <w:szCs w:val="22"/>
        </w:rPr>
      </w:pPr>
    </w:p>
    <w:p w:rsidR="005A0E9A" w:rsidRPr="001C71CB" w:rsidRDefault="005A0E9A" w:rsidP="005A0E9A">
      <w:pPr>
        <w:ind w:firstLine="360"/>
        <w:contextualSpacing/>
        <w:jc w:val="left"/>
        <w:rPr>
          <w:rFonts w:eastAsia="Calibri" w:cs="Arial"/>
          <w:spacing w:val="0"/>
          <w:sz w:val="22"/>
          <w:szCs w:val="22"/>
        </w:rPr>
      </w:pPr>
      <w:r w:rsidRPr="001C71CB">
        <w:rPr>
          <w:rFonts w:eastAsia="Calibri" w:cs="Arial"/>
          <w:spacing w:val="0"/>
          <w:sz w:val="22"/>
          <w:szCs w:val="22"/>
        </w:rPr>
        <w:t>Before receiving grant funds, the applicant shall provide supporting documentation for actual costs incurred related to the consolidation and documentation that the consolidation was completed.</w:t>
      </w:r>
    </w:p>
    <w:p w:rsidR="005A0E9A" w:rsidRPr="001C71CB" w:rsidRDefault="005A0E9A" w:rsidP="005A0E9A">
      <w:pPr>
        <w:ind w:firstLine="360"/>
        <w:contextualSpacing/>
        <w:jc w:val="left"/>
        <w:rPr>
          <w:rFonts w:eastAsia="Calibri" w:cs="Arial"/>
          <w:spacing w:val="0"/>
          <w:sz w:val="22"/>
          <w:szCs w:val="22"/>
        </w:rPr>
      </w:pPr>
    </w:p>
    <w:p w:rsidR="005A0E9A" w:rsidRPr="001C71CB" w:rsidRDefault="005A0E9A" w:rsidP="005A0E9A">
      <w:pPr>
        <w:ind w:firstLine="360"/>
        <w:contextualSpacing/>
        <w:jc w:val="left"/>
        <w:rPr>
          <w:rFonts w:eastAsia="Calibri" w:cs="Arial"/>
          <w:spacing w:val="0"/>
          <w:sz w:val="22"/>
          <w:szCs w:val="22"/>
        </w:rPr>
      </w:pPr>
      <w:r w:rsidRPr="001C71CB">
        <w:rPr>
          <w:rFonts w:eastAsia="Calibri" w:cs="Arial"/>
          <w:spacing w:val="0"/>
          <w:sz w:val="22"/>
          <w:szCs w:val="22"/>
        </w:rPr>
        <w:t>The Bureau may reopen application submissions should available funds remain.</w:t>
      </w:r>
    </w:p>
    <w:p w:rsidR="005A0E9A" w:rsidRPr="001C71CB" w:rsidRDefault="005A0E9A" w:rsidP="005A0E9A">
      <w:pPr>
        <w:ind w:firstLine="360"/>
        <w:contextualSpacing/>
        <w:jc w:val="left"/>
        <w:rPr>
          <w:rFonts w:eastAsia="Calibri" w:cs="Arial"/>
          <w:spacing w:val="0"/>
          <w:sz w:val="22"/>
          <w:szCs w:val="22"/>
        </w:rPr>
      </w:pPr>
    </w:p>
    <w:p w:rsidR="005A0E9A" w:rsidRPr="009B2135" w:rsidRDefault="005A0E9A" w:rsidP="005A0E9A">
      <w:pPr>
        <w:pStyle w:val="ListParagraph"/>
        <w:numPr>
          <w:ilvl w:val="0"/>
          <w:numId w:val="8"/>
        </w:numPr>
        <w:autoSpaceDE w:val="0"/>
        <w:autoSpaceDN w:val="0"/>
        <w:adjustRightInd w:val="0"/>
        <w:spacing w:after="0"/>
        <w:rPr>
          <w:rFonts w:ascii="Arial" w:hAnsi="Arial" w:cs="Arial"/>
          <w:b/>
        </w:rPr>
      </w:pPr>
      <w:r w:rsidRPr="009B2135">
        <w:rPr>
          <w:rFonts w:ascii="Arial" w:hAnsi="Arial" w:cs="Arial"/>
          <w:b/>
        </w:rPr>
        <w:t>Grant Documents and Information; Contact Person</w:t>
      </w:r>
    </w:p>
    <w:p w:rsidR="005A0E9A" w:rsidRDefault="005A0E9A" w:rsidP="005A0E9A">
      <w:pPr>
        <w:ind w:firstLine="360"/>
        <w:contextualSpacing/>
        <w:jc w:val="left"/>
      </w:pPr>
    </w:p>
    <w:p w:rsidR="005A0E9A" w:rsidRPr="001C71CB" w:rsidRDefault="005A0E9A" w:rsidP="005A0E9A">
      <w:pPr>
        <w:ind w:firstLine="360"/>
        <w:contextualSpacing/>
        <w:jc w:val="left"/>
        <w:rPr>
          <w:rFonts w:eastAsia="Calibri" w:cs="Arial"/>
          <w:spacing w:val="0"/>
          <w:sz w:val="22"/>
          <w:szCs w:val="22"/>
        </w:rPr>
      </w:pPr>
      <w:r w:rsidRPr="001C71CB">
        <w:rPr>
          <w:rFonts w:eastAsia="Calibri" w:cs="Arial"/>
          <w:spacing w:val="0"/>
          <w:sz w:val="22"/>
          <w:szCs w:val="22"/>
        </w:rPr>
        <w:t xml:space="preserve">The RFA and related materials are available at: </w:t>
      </w:r>
      <w:hyperlink r:id="rId10" w:history="1">
        <w:r w:rsidRPr="0033139E">
          <w:rPr>
            <w:rStyle w:val="Hyperlink"/>
            <w:rFonts w:eastAsia="Calibri" w:cs="Arial"/>
            <w:spacing w:val="0"/>
            <w:sz w:val="22"/>
            <w:szCs w:val="22"/>
          </w:rPr>
          <w:t>http://www.maine.gov/maine911/psap-training/Consolidation-Grant</w:t>
        </w:r>
      </w:hyperlink>
      <w:r>
        <w:rPr>
          <w:rFonts w:eastAsia="Calibri" w:cs="Arial"/>
          <w:spacing w:val="0"/>
          <w:sz w:val="22"/>
          <w:szCs w:val="22"/>
        </w:rPr>
        <w:t xml:space="preserve">. </w:t>
      </w:r>
      <w:r w:rsidRPr="001C71CB">
        <w:rPr>
          <w:rFonts w:eastAsia="Calibri" w:cs="Arial"/>
          <w:spacing w:val="0"/>
          <w:sz w:val="22"/>
          <w:szCs w:val="22"/>
        </w:rPr>
        <w:t xml:space="preserve">  Any changes and supplements to these materials will be posted at the same link. </w:t>
      </w:r>
    </w:p>
    <w:p w:rsidR="005A0E9A" w:rsidRPr="001C71CB" w:rsidRDefault="005A0E9A" w:rsidP="005A0E9A">
      <w:pPr>
        <w:ind w:firstLine="360"/>
        <w:contextualSpacing/>
        <w:jc w:val="left"/>
        <w:rPr>
          <w:rFonts w:eastAsia="Calibri" w:cs="Arial"/>
          <w:spacing w:val="0"/>
          <w:sz w:val="22"/>
          <w:szCs w:val="22"/>
        </w:rPr>
      </w:pPr>
    </w:p>
    <w:p w:rsidR="005A0E9A" w:rsidRPr="001C71CB" w:rsidRDefault="005A0E9A" w:rsidP="005A0E9A">
      <w:pPr>
        <w:ind w:firstLine="360"/>
        <w:contextualSpacing/>
        <w:jc w:val="left"/>
        <w:rPr>
          <w:rFonts w:eastAsia="Calibri" w:cs="Arial"/>
          <w:spacing w:val="0"/>
          <w:sz w:val="22"/>
          <w:szCs w:val="22"/>
        </w:rPr>
      </w:pPr>
      <w:r w:rsidRPr="001C71CB">
        <w:rPr>
          <w:rFonts w:eastAsia="Calibri" w:cs="Arial"/>
          <w:spacing w:val="0"/>
          <w:sz w:val="22"/>
          <w:szCs w:val="22"/>
        </w:rPr>
        <w:t>The Contact Person is:</w:t>
      </w:r>
    </w:p>
    <w:p w:rsidR="005A0E9A" w:rsidRPr="001C71CB" w:rsidRDefault="005A0E9A" w:rsidP="005A0E9A">
      <w:pPr>
        <w:ind w:firstLine="360"/>
        <w:contextualSpacing/>
        <w:jc w:val="left"/>
        <w:rPr>
          <w:rFonts w:eastAsia="Calibri" w:cs="Arial"/>
          <w:spacing w:val="0"/>
          <w:sz w:val="22"/>
          <w:szCs w:val="22"/>
        </w:rPr>
      </w:pPr>
    </w:p>
    <w:p w:rsidR="005A0E9A" w:rsidRDefault="005A0E9A" w:rsidP="005A0E9A">
      <w:pPr>
        <w:ind w:left="360"/>
        <w:contextualSpacing/>
        <w:jc w:val="left"/>
        <w:rPr>
          <w:rFonts w:eastAsia="Calibri" w:cs="Arial"/>
          <w:spacing w:val="0"/>
          <w:sz w:val="22"/>
          <w:szCs w:val="22"/>
        </w:rPr>
      </w:pPr>
      <w:r w:rsidRPr="001C71CB">
        <w:rPr>
          <w:rFonts w:eastAsia="Calibri" w:cs="Arial"/>
          <w:spacing w:val="0"/>
          <w:sz w:val="22"/>
          <w:szCs w:val="22"/>
        </w:rPr>
        <w:t>Maria Jacques</w:t>
      </w:r>
      <w:r w:rsidRPr="001C71CB">
        <w:rPr>
          <w:rFonts w:eastAsia="Calibri" w:cs="Arial"/>
          <w:spacing w:val="0"/>
          <w:sz w:val="22"/>
          <w:szCs w:val="22"/>
        </w:rPr>
        <w:br/>
        <w:t>Emergency Services Communication Bureau</w:t>
      </w:r>
      <w:r w:rsidRPr="001C71CB">
        <w:rPr>
          <w:rFonts w:eastAsia="Calibri" w:cs="Arial"/>
          <w:spacing w:val="0"/>
          <w:sz w:val="22"/>
          <w:szCs w:val="22"/>
        </w:rPr>
        <w:br/>
      </w:r>
      <w:hyperlink r:id="rId11" w:history="1">
        <w:r w:rsidRPr="001C71CB">
          <w:rPr>
            <w:rFonts w:eastAsia="Calibri" w:cs="Arial"/>
            <w:spacing w:val="0"/>
            <w:sz w:val="22"/>
            <w:szCs w:val="22"/>
          </w:rPr>
          <w:t>maria.jacques@maine.gov</w:t>
        </w:r>
      </w:hyperlink>
      <w:r w:rsidRPr="001C71CB">
        <w:rPr>
          <w:rFonts w:eastAsia="Calibri" w:cs="Arial"/>
          <w:spacing w:val="0"/>
          <w:sz w:val="22"/>
          <w:szCs w:val="22"/>
        </w:rPr>
        <w:br/>
        <w:t xml:space="preserve">207-287-6083 </w:t>
      </w:r>
    </w:p>
    <w:p w:rsidR="005A0E9A" w:rsidRDefault="005A0E9A" w:rsidP="005A0E9A">
      <w:pPr>
        <w:ind w:left="360"/>
        <w:contextualSpacing/>
        <w:jc w:val="left"/>
        <w:rPr>
          <w:rFonts w:eastAsia="Calibri" w:cs="Arial"/>
          <w:spacing w:val="0"/>
          <w:sz w:val="22"/>
          <w:szCs w:val="22"/>
        </w:rPr>
      </w:pPr>
    </w:p>
    <w:p w:rsidR="005A0E9A" w:rsidRDefault="005A0E9A" w:rsidP="005A0E9A">
      <w:pPr>
        <w:ind w:left="360"/>
        <w:contextualSpacing/>
        <w:jc w:val="left"/>
        <w:rPr>
          <w:rFonts w:eastAsia="Calibri" w:cs="Arial"/>
          <w:spacing w:val="0"/>
          <w:sz w:val="22"/>
          <w:szCs w:val="22"/>
        </w:rPr>
      </w:pPr>
    </w:p>
    <w:p w:rsidR="005A0E9A" w:rsidRPr="00B840FE" w:rsidRDefault="005A0E9A" w:rsidP="005A0E9A">
      <w:pPr>
        <w:pStyle w:val="Default"/>
        <w:contextualSpacing/>
        <w:rPr>
          <w:sz w:val="23"/>
          <w:szCs w:val="23"/>
        </w:rPr>
      </w:pPr>
    </w:p>
    <w:p w:rsidR="005A0E9A" w:rsidRDefault="005A0E9A" w:rsidP="005A0E9A">
      <w:pPr>
        <w:pStyle w:val="Default"/>
        <w:numPr>
          <w:ilvl w:val="0"/>
          <w:numId w:val="8"/>
        </w:numPr>
        <w:contextualSpacing/>
        <w:rPr>
          <w:sz w:val="23"/>
          <w:szCs w:val="23"/>
        </w:rPr>
      </w:pPr>
      <w:r>
        <w:rPr>
          <w:b/>
          <w:bCs/>
          <w:sz w:val="23"/>
          <w:szCs w:val="23"/>
        </w:rPr>
        <w:t xml:space="preserve">General </w:t>
      </w:r>
    </w:p>
    <w:p w:rsidR="005A0E9A" w:rsidRDefault="005A0E9A" w:rsidP="005A0E9A">
      <w:pPr>
        <w:pStyle w:val="Default"/>
        <w:contextualSpacing/>
        <w:rPr>
          <w:b/>
          <w:bCs/>
          <w:sz w:val="23"/>
          <w:szCs w:val="23"/>
        </w:rPr>
      </w:pPr>
    </w:p>
    <w:p w:rsidR="005A0E9A" w:rsidRPr="00B840FE" w:rsidRDefault="005A0E9A" w:rsidP="005A0E9A">
      <w:pPr>
        <w:pStyle w:val="Default"/>
        <w:numPr>
          <w:ilvl w:val="0"/>
          <w:numId w:val="7"/>
        </w:numPr>
        <w:contextualSpacing/>
        <w:rPr>
          <w:sz w:val="20"/>
          <w:szCs w:val="23"/>
        </w:rPr>
      </w:pPr>
      <w:r w:rsidRPr="00B840FE">
        <w:rPr>
          <w:b/>
          <w:bCs/>
          <w:sz w:val="20"/>
          <w:szCs w:val="23"/>
        </w:rPr>
        <w:t xml:space="preserve">Clarification or Supplemental Material </w:t>
      </w:r>
    </w:p>
    <w:p w:rsidR="005A0E9A" w:rsidRDefault="005A0E9A" w:rsidP="005A0E9A">
      <w:pPr>
        <w:pStyle w:val="Default"/>
        <w:ind w:firstLine="360"/>
        <w:contextualSpacing/>
        <w:rPr>
          <w:sz w:val="23"/>
          <w:szCs w:val="23"/>
        </w:rPr>
      </w:pPr>
    </w:p>
    <w:p w:rsidR="005A0E9A" w:rsidRDefault="005A0E9A" w:rsidP="005A0E9A">
      <w:pPr>
        <w:pStyle w:val="Default"/>
        <w:ind w:firstLine="720"/>
        <w:contextualSpacing/>
        <w:rPr>
          <w:sz w:val="23"/>
          <w:szCs w:val="23"/>
        </w:rPr>
      </w:pPr>
      <w:r>
        <w:rPr>
          <w:sz w:val="23"/>
          <w:szCs w:val="23"/>
        </w:rPr>
        <w:t xml:space="preserve">Applications must be submitted in accordance with this RFA or as otherwise specified by the Commission.  The Commission reserves the right to seek clarification and request additional information, documentation and other material related to the applications. </w:t>
      </w:r>
    </w:p>
    <w:p w:rsidR="005A0E9A" w:rsidRDefault="005A0E9A" w:rsidP="005A0E9A">
      <w:pPr>
        <w:pStyle w:val="Default"/>
        <w:contextualSpacing/>
        <w:rPr>
          <w:b/>
          <w:bCs/>
          <w:sz w:val="23"/>
          <w:szCs w:val="23"/>
        </w:rPr>
      </w:pPr>
    </w:p>
    <w:p w:rsidR="005A0E9A" w:rsidRPr="00B840FE" w:rsidRDefault="005A0E9A" w:rsidP="005A0E9A">
      <w:pPr>
        <w:pStyle w:val="Default"/>
        <w:numPr>
          <w:ilvl w:val="0"/>
          <w:numId w:val="7"/>
        </w:numPr>
        <w:contextualSpacing/>
        <w:rPr>
          <w:b/>
          <w:bCs/>
          <w:sz w:val="20"/>
          <w:szCs w:val="23"/>
        </w:rPr>
      </w:pPr>
      <w:r w:rsidRPr="00B840FE">
        <w:rPr>
          <w:b/>
          <w:bCs/>
          <w:sz w:val="20"/>
          <w:szCs w:val="23"/>
        </w:rPr>
        <w:t xml:space="preserve">Application Costs </w:t>
      </w:r>
    </w:p>
    <w:p w:rsidR="005A0E9A" w:rsidRDefault="005A0E9A" w:rsidP="005A0E9A">
      <w:pPr>
        <w:pStyle w:val="Default"/>
        <w:ind w:firstLine="360"/>
        <w:contextualSpacing/>
        <w:rPr>
          <w:sz w:val="23"/>
          <w:szCs w:val="23"/>
        </w:rPr>
      </w:pPr>
    </w:p>
    <w:p w:rsidR="005A0E9A" w:rsidRDefault="005A0E9A" w:rsidP="005A0E9A">
      <w:pPr>
        <w:pStyle w:val="Default"/>
        <w:ind w:firstLine="720"/>
        <w:contextualSpacing/>
        <w:rPr>
          <w:sz w:val="23"/>
          <w:szCs w:val="23"/>
        </w:rPr>
      </w:pPr>
      <w:r>
        <w:rPr>
          <w:sz w:val="23"/>
          <w:szCs w:val="23"/>
        </w:rPr>
        <w:lastRenderedPageBreak/>
        <w:t xml:space="preserve">All costs associated with developing and submitting an application in response to this RFA and providing oral or written clarification of its contents are borne by the applicant. </w:t>
      </w:r>
    </w:p>
    <w:p w:rsidR="005A0E9A" w:rsidRPr="008F67A7" w:rsidRDefault="005A0E9A" w:rsidP="005A0E9A">
      <w:pPr>
        <w:pStyle w:val="Default"/>
        <w:contextualSpacing/>
      </w:pPr>
      <w:r w:rsidRPr="008F67A7">
        <w:t xml:space="preserve"> </w:t>
      </w:r>
    </w:p>
    <w:p w:rsidR="005A0E9A" w:rsidRPr="00B840FE" w:rsidRDefault="005A0E9A" w:rsidP="005A0E9A">
      <w:pPr>
        <w:pStyle w:val="Default"/>
        <w:numPr>
          <w:ilvl w:val="0"/>
          <w:numId w:val="7"/>
        </w:numPr>
        <w:contextualSpacing/>
        <w:rPr>
          <w:b/>
          <w:bCs/>
          <w:sz w:val="20"/>
          <w:szCs w:val="23"/>
        </w:rPr>
      </w:pPr>
      <w:r w:rsidRPr="00B840FE">
        <w:rPr>
          <w:b/>
          <w:bCs/>
          <w:sz w:val="20"/>
          <w:szCs w:val="23"/>
        </w:rPr>
        <w:t xml:space="preserve">Rights of the Commission </w:t>
      </w:r>
    </w:p>
    <w:p w:rsidR="005A0E9A" w:rsidRDefault="005A0E9A" w:rsidP="005A0E9A">
      <w:pPr>
        <w:pStyle w:val="Default"/>
        <w:ind w:firstLine="360"/>
        <w:contextualSpacing/>
        <w:rPr>
          <w:sz w:val="23"/>
          <w:szCs w:val="23"/>
        </w:rPr>
      </w:pPr>
    </w:p>
    <w:p w:rsidR="005A0E9A" w:rsidRDefault="005A0E9A" w:rsidP="005A0E9A">
      <w:pPr>
        <w:pStyle w:val="Default"/>
        <w:ind w:firstLine="360"/>
        <w:contextualSpacing/>
        <w:rPr>
          <w:sz w:val="23"/>
          <w:szCs w:val="23"/>
        </w:rPr>
      </w:pPr>
      <w:r>
        <w:rPr>
          <w:sz w:val="23"/>
          <w:szCs w:val="23"/>
        </w:rPr>
        <w:t xml:space="preserve">The Commission may accept or reject any application based on its assessment of whether the application meets the requirements of the RFA.  The Commission shall not be responsible or liable in any manner for risks, costs, expenses, or other damages incurred by any applicant or other entity involved, directly or indirectly, with this RFA. </w:t>
      </w:r>
    </w:p>
    <w:p w:rsidR="005A0E9A" w:rsidRDefault="005A0E9A" w:rsidP="005A0E9A">
      <w:pPr>
        <w:pStyle w:val="Default"/>
        <w:contextualSpacing/>
        <w:rPr>
          <w:sz w:val="23"/>
          <w:szCs w:val="23"/>
        </w:rPr>
      </w:pPr>
    </w:p>
    <w:p w:rsidR="005A0E9A" w:rsidRPr="00B840FE" w:rsidRDefault="005A0E9A" w:rsidP="005A0E9A">
      <w:pPr>
        <w:pStyle w:val="Default"/>
        <w:numPr>
          <w:ilvl w:val="0"/>
          <w:numId w:val="7"/>
        </w:numPr>
        <w:contextualSpacing/>
        <w:rPr>
          <w:sz w:val="20"/>
          <w:szCs w:val="23"/>
        </w:rPr>
      </w:pPr>
      <w:r w:rsidRPr="00B840FE">
        <w:rPr>
          <w:b/>
          <w:bCs/>
          <w:sz w:val="20"/>
          <w:szCs w:val="23"/>
        </w:rPr>
        <w:t xml:space="preserve">State Held Harmless </w:t>
      </w:r>
    </w:p>
    <w:p w:rsidR="005A0E9A" w:rsidRDefault="005A0E9A" w:rsidP="005A0E9A">
      <w:pPr>
        <w:pStyle w:val="Default"/>
        <w:ind w:firstLine="360"/>
        <w:contextualSpacing/>
        <w:rPr>
          <w:sz w:val="23"/>
          <w:szCs w:val="23"/>
        </w:rPr>
      </w:pPr>
    </w:p>
    <w:p w:rsidR="005A0E9A" w:rsidRDefault="005A0E9A" w:rsidP="005A0E9A">
      <w:pPr>
        <w:pStyle w:val="Default"/>
        <w:ind w:firstLine="720"/>
        <w:contextualSpacing/>
        <w:rPr>
          <w:sz w:val="23"/>
          <w:szCs w:val="23"/>
        </w:rPr>
      </w:pPr>
      <w:r>
        <w:rPr>
          <w:sz w:val="23"/>
          <w:szCs w:val="23"/>
        </w:rPr>
        <w:t xml:space="preserve">The State of Maine, its officers, agents, and employees, including the Commission, the Bureau, Commissioners, and the employees or agents of the Commission and the Bureau shall be held harmless from any and all claims, costs, expenses, injuries, liabilities, losses and damages of every kind and description resulting from or arising out of this RFA. </w:t>
      </w:r>
    </w:p>
    <w:p w:rsidR="005A0E9A" w:rsidRDefault="005A0E9A" w:rsidP="005A0E9A">
      <w:pPr>
        <w:pStyle w:val="Default"/>
        <w:contextualSpacing/>
        <w:rPr>
          <w:sz w:val="23"/>
          <w:szCs w:val="23"/>
        </w:rPr>
      </w:pPr>
    </w:p>
    <w:p w:rsidR="005A0E9A" w:rsidRPr="00B840FE" w:rsidRDefault="005A0E9A" w:rsidP="005A0E9A">
      <w:pPr>
        <w:pStyle w:val="Default"/>
        <w:numPr>
          <w:ilvl w:val="0"/>
          <w:numId w:val="7"/>
        </w:numPr>
        <w:contextualSpacing/>
        <w:rPr>
          <w:sz w:val="20"/>
          <w:szCs w:val="23"/>
        </w:rPr>
      </w:pPr>
      <w:r w:rsidRPr="00B840FE">
        <w:rPr>
          <w:b/>
          <w:bCs/>
          <w:sz w:val="20"/>
          <w:szCs w:val="23"/>
        </w:rPr>
        <w:t xml:space="preserve">Warranty </w:t>
      </w:r>
    </w:p>
    <w:p w:rsidR="005A0E9A" w:rsidRDefault="005A0E9A" w:rsidP="005A0E9A">
      <w:pPr>
        <w:pStyle w:val="Default"/>
        <w:ind w:firstLine="360"/>
        <w:contextualSpacing/>
        <w:rPr>
          <w:sz w:val="23"/>
          <w:szCs w:val="23"/>
        </w:rPr>
      </w:pPr>
    </w:p>
    <w:p w:rsidR="005A0E9A" w:rsidRDefault="005A0E9A" w:rsidP="005A0E9A">
      <w:pPr>
        <w:pStyle w:val="Default"/>
        <w:ind w:firstLine="720"/>
        <w:contextualSpacing/>
        <w:rPr>
          <w:sz w:val="23"/>
          <w:szCs w:val="23"/>
        </w:rPr>
      </w:pPr>
      <w:r w:rsidRPr="0031785D">
        <w:rPr>
          <w:sz w:val="23"/>
          <w:szCs w:val="23"/>
        </w:rPr>
        <w:t xml:space="preserve">The information contained in the </w:t>
      </w:r>
      <w:r w:rsidRPr="00986F81">
        <w:rPr>
          <w:color w:val="auto"/>
          <w:sz w:val="23"/>
          <w:szCs w:val="23"/>
        </w:rPr>
        <w:t>RFA</w:t>
      </w:r>
      <w:r w:rsidRPr="0031785D">
        <w:rPr>
          <w:sz w:val="23"/>
          <w:szCs w:val="23"/>
        </w:rPr>
        <w:t xml:space="preserve"> </w:t>
      </w:r>
      <w:r>
        <w:rPr>
          <w:sz w:val="23"/>
          <w:szCs w:val="23"/>
        </w:rPr>
        <w:t xml:space="preserve">and associated materials </w:t>
      </w:r>
      <w:r w:rsidRPr="0031785D">
        <w:rPr>
          <w:sz w:val="23"/>
          <w:szCs w:val="23"/>
        </w:rPr>
        <w:t xml:space="preserve">is prepared to assist applicants and does not purport to contain all of the information that may be relevant to applicants. </w:t>
      </w:r>
      <w:r>
        <w:rPr>
          <w:sz w:val="23"/>
          <w:szCs w:val="23"/>
        </w:rPr>
        <w:t xml:space="preserve"> </w:t>
      </w:r>
      <w:r w:rsidRPr="0031785D">
        <w:rPr>
          <w:sz w:val="23"/>
          <w:szCs w:val="23"/>
        </w:rPr>
        <w:t xml:space="preserve">The Commission </w:t>
      </w:r>
      <w:r>
        <w:rPr>
          <w:sz w:val="23"/>
          <w:szCs w:val="23"/>
        </w:rPr>
        <w:t xml:space="preserve">and the Bureau </w:t>
      </w:r>
      <w:r w:rsidRPr="0031785D">
        <w:rPr>
          <w:sz w:val="23"/>
          <w:szCs w:val="23"/>
        </w:rPr>
        <w:t>make no representation or warranty, expressed or implied, as to the accuracy or completeness of the information. The Commission,</w:t>
      </w:r>
      <w:r>
        <w:rPr>
          <w:sz w:val="23"/>
          <w:szCs w:val="23"/>
        </w:rPr>
        <w:t xml:space="preserve"> the Bureau,</w:t>
      </w:r>
      <w:r w:rsidRPr="0031785D">
        <w:rPr>
          <w:sz w:val="23"/>
          <w:szCs w:val="23"/>
        </w:rPr>
        <w:t xml:space="preserve"> </w:t>
      </w:r>
      <w:r>
        <w:rPr>
          <w:sz w:val="23"/>
          <w:szCs w:val="23"/>
        </w:rPr>
        <w:t>their</w:t>
      </w:r>
      <w:r w:rsidRPr="0031785D">
        <w:rPr>
          <w:sz w:val="23"/>
          <w:szCs w:val="23"/>
        </w:rPr>
        <w:t xml:space="preserve"> staff</w:t>
      </w:r>
      <w:r>
        <w:rPr>
          <w:sz w:val="23"/>
          <w:szCs w:val="23"/>
        </w:rPr>
        <w:t>s</w:t>
      </w:r>
      <w:r w:rsidRPr="0031785D">
        <w:rPr>
          <w:sz w:val="23"/>
          <w:szCs w:val="23"/>
        </w:rPr>
        <w:t xml:space="preserve"> and </w:t>
      </w:r>
      <w:r>
        <w:rPr>
          <w:sz w:val="23"/>
          <w:szCs w:val="23"/>
        </w:rPr>
        <w:t>their</w:t>
      </w:r>
      <w:r w:rsidRPr="0031785D">
        <w:rPr>
          <w:sz w:val="23"/>
          <w:szCs w:val="23"/>
        </w:rPr>
        <w:t xml:space="preserve"> agents shall not have any liability for any representations expressed or implied in, or any omissions from, the </w:t>
      </w:r>
      <w:r w:rsidRPr="00986F81">
        <w:rPr>
          <w:color w:val="auto"/>
          <w:sz w:val="23"/>
          <w:szCs w:val="23"/>
        </w:rPr>
        <w:t>RFA</w:t>
      </w:r>
      <w:r w:rsidRPr="0031785D">
        <w:rPr>
          <w:sz w:val="23"/>
          <w:szCs w:val="23"/>
        </w:rPr>
        <w:t xml:space="preserve"> or information obtained</w:t>
      </w:r>
      <w:r>
        <w:rPr>
          <w:sz w:val="23"/>
          <w:szCs w:val="23"/>
        </w:rPr>
        <w:t>.</w:t>
      </w:r>
    </w:p>
    <w:p w:rsidR="005A0E9A" w:rsidRPr="0031785D" w:rsidRDefault="005A0E9A" w:rsidP="005A0E9A">
      <w:pPr>
        <w:pStyle w:val="Default"/>
        <w:ind w:firstLine="360"/>
        <w:contextualSpacing/>
        <w:rPr>
          <w:sz w:val="23"/>
          <w:szCs w:val="23"/>
        </w:rPr>
      </w:pPr>
    </w:p>
    <w:p w:rsidR="005A0E9A" w:rsidRDefault="005A0E9A" w:rsidP="005A0E9A">
      <w:pPr>
        <w:contextualSpacing/>
      </w:pPr>
    </w:p>
    <w:p w:rsidR="005A0E9A" w:rsidRPr="00EA0F92" w:rsidRDefault="005A0E9A" w:rsidP="005A0E9A">
      <w:pPr>
        <w:contextualSpacing/>
        <w:rPr>
          <w:rFonts w:cs="Arial"/>
          <w:b/>
          <w:bCs/>
          <w:color w:val="000000"/>
          <w:szCs w:val="23"/>
        </w:rPr>
      </w:pPr>
      <w:r w:rsidRPr="00EA0F92">
        <w:rPr>
          <w:rFonts w:cs="Arial"/>
          <w:b/>
          <w:bCs/>
          <w:color w:val="000000"/>
          <w:szCs w:val="23"/>
        </w:rPr>
        <w:t>Attachments:</w:t>
      </w:r>
    </w:p>
    <w:p w:rsidR="005A0E9A" w:rsidRPr="00EA0F92" w:rsidRDefault="005A0E9A" w:rsidP="005A0E9A">
      <w:pPr>
        <w:contextualSpacing/>
        <w:jc w:val="left"/>
        <w:rPr>
          <w:rFonts w:cs="Arial"/>
          <w:color w:val="000000"/>
          <w:sz w:val="23"/>
          <w:szCs w:val="23"/>
        </w:rPr>
      </w:pPr>
      <w:r>
        <w:rPr>
          <w:rFonts w:cs="Arial"/>
          <w:color w:val="000000"/>
          <w:sz w:val="23"/>
          <w:szCs w:val="23"/>
        </w:rPr>
        <w:t xml:space="preserve">Dispatch Consolidation </w:t>
      </w:r>
      <w:r w:rsidRPr="00EA0F92">
        <w:rPr>
          <w:rFonts w:cs="Arial"/>
          <w:color w:val="000000"/>
          <w:sz w:val="23"/>
          <w:szCs w:val="23"/>
        </w:rPr>
        <w:t>Grant Application</w:t>
      </w:r>
      <w:r w:rsidRPr="00EA0F92">
        <w:rPr>
          <w:rFonts w:cs="Arial"/>
          <w:color w:val="000000"/>
          <w:sz w:val="23"/>
          <w:szCs w:val="23"/>
        </w:rPr>
        <w:br/>
        <w:t>Instructions for Submitting Applications</w:t>
      </w:r>
      <w:r w:rsidRPr="00EA0F92">
        <w:rPr>
          <w:rFonts w:cs="Arial"/>
          <w:color w:val="000000"/>
          <w:sz w:val="23"/>
          <w:szCs w:val="23"/>
        </w:rPr>
        <w:br/>
      </w:r>
      <w:r>
        <w:rPr>
          <w:rFonts w:cs="Arial"/>
          <w:color w:val="000000"/>
          <w:sz w:val="23"/>
          <w:szCs w:val="23"/>
        </w:rPr>
        <w:t xml:space="preserve">Bureau </w:t>
      </w:r>
      <w:r w:rsidRPr="00EA0F92">
        <w:rPr>
          <w:rFonts w:cs="Arial"/>
          <w:color w:val="000000"/>
          <w:sz w:val="23"/>
          <w:szCs w:val="23"/>
        </w:rPr>
        <w:t>Chapter 4: Requirements for the Dispatch Center Consolidation Grant Program</w:t>
      </w:r>
    </w:p>
    <w:p w:rsidR="005A0E9A" w:rsidRPr="00EA0F92" w:rsidRDefault="005A0E9A" w:rsidP="005A0E9A">
      <w:pPr>
        <w:contextualSpacing/>
        <w:jc w:val="left"/>
        <w:rPr>
          <w:rFonts w:cs="Arial"/>
          <w:color w:val="000000"/>
          <w:sz w:val="23"/>
          <w:szCs w:val="23"/>
        </w:rPr>
      </w:pPr>
    </w:p>
    <w:p w:rsidR="005A0E9A" w:rsidRDefault="005A0E9A" w:rsidP="005A0E9A">
      <w:pPr>
        <w:contextualSpacing/>
        <w:jc w:val="left"/>
      </w:pPr>
    </w:p>
    <w:p w:rsidR="005A0E9A" w:rsidRDefault="005A0E9A" w:rsidP="005A0E9A">
      <w:pPr>
        <w:contextualSpacing/>
      </w:pPr>
    </w:p>
    <w:p w:rsidR="005A0E9A" w:rsidRDefault="005A0E9A" w:rsidP="005A0E9A">
      <w:pPr>
        <w:contextualSpacing/>
      </w:pPr>
    </w:p>
    <w:p w:rsidR="005A0E9A" w:rsidRPr="00EE7D20" w:rsidRDefault="005A0E9A" w:rsidP="005A0E9A">
      <w:pPr>
        <w:tabs>
          <w:tab w:val="left" w:pos="450"/>
          <w:tab w:val="left" w:pos="5310"/>
        </w:tabs>
        <w:rPr>
          <w:rFonts w:ascii="Times New Roman" w:hAnsi="Times New Roman"/>
          <w:spacing w:val="0"/>
        </w:rPr>
      </w:pPr>
    </w:p>
    <w:p w:rsidR="00DB0081" w:rsidRDefault="00FC1C69" w:rsidP="00FC1C69">
      <w:pPr>
        <w:tabs>
          <w:tab w:val="left" w:pos="540"/>
          <w:tab w:val="left" w:pos="5310"/>
        </w:tabs>
        <w:jc w:val="left"/>
        <w:rPr>
          <w:rFonts w:cs="Arial"/>
          <w:snapToGrid w:val="0"/>
          <w:color w:val="FF0000"/>
          <w:spacing w:val="0"/>
          <w:sz w:val="24"/>
          <w:szCs w:val="24"/>
        </w:rPr>
      </w:pPr>
      <w:r>
        <w:rPr>
          <w:rFonts w:cs="Arial"/>
          <w:snapToGrid w:val="0"/>
          <w:color w:val="FF0000"/>
          <w:spacing w:val="0"/>
          <w:sz w:val="24"/>
          <w:szCs w:val="24"/>
        </w:rPr>
        <w:tab/>
      </w:r>
    </w:p>
    <w:p w:rsidR="00FC1C69" w:rsidRPr="00FC1C69" w:rsidRDefault="00DB0081" w:rsidP="0053735A">
      <w:pPr>
        <w:tabs>
          <w:tab w:val="left" w:pos="540"/>
          <w:tab w:val="left" w:pos="5310"/>
        </w:tabs>
        <w:jc w:val="left"/>
        <w:rPr>
          <w:rFonts w:ascii="Times New Roman" w:hAnsi="Times New Roman"/>
          <w:color w:val="000000"/>
          <w:spacing w:val="0"/>
          <w:sz w:val="22"/>
          <w:szCs w:val="22"/>
        </w:rPr>
      </w:pPr>
      <w:r>
        <w:rPr>
          <w:rFonts w:cs="Arial"/>
          <w:snapToGrid w:val="0"/>
          <w:color w:val="FF0000"/>
          <w:spacing w:val="0"/>
          <w:sz w:val="24"/>
          <w:szCs w:val="24"/>
        </w:rPr>
        <w:tab/>
      </w:r>
      <w:r>
        <w:rPr>
          <w:rFonts w:cs="Arial"/>
          <w:snapToGrid w:val="0"/>
          <w:color w:val="FF0000"/>
          <w:spacing w:val="0"/>
          <w:sz w:val="24"/>
          <w:szCs w:val="24"/>
        </w:rPr>
        <w:tab/>
      </w:r>
      <w:r w:rsidR="00FC1C69" w:rsidRPr="00FC1C69">
        <w:rPr>
          <w:rFonts w:ascii="Times New Roman" w:hAnsi="Times New Roman"/>
          <w:color w:val="000000"/>
          <w:spacing w:val="0"/>
          <w:sz w:val="22"/>
          <w:szCs w:val="22"/>
        </w:rPr>
        <w:t xml:space="preserve"> </w:t>
      </w:r>
    </w:p>
    <w:p w:rsidR="004966C7" w:rsidRPr="004C2108" w:rsidRDefault="004966C7" w:rsidP="00FC1C69">
      <w:pPr>
        <w:tabs>
          <w:tab w:val="left" w:pos="540"/>
          <w:tab w:val="left" w:pos="5220"/>
          <w:tab w:val="left" w:pos="5310"/>
          <w:tab w:val="left" w:pos="6120"/>
        </w:tabs>
        <w:jc w:val="left"/>
        <w:rPr>
          <w:rFonts w:ascii="Times New Roman" w:hAnsi="Times New Roman"/>
          <w:sz w:val="24"/>
          <w:szCs w:val="24"/>
        </w:rPr>
      </w:pPr>
    </w:p>
    <w:sectPr w:rsidR="004966C7" w:rsidRPr="004C2108">
      <w:headerReference w:type="default" r:id="rId12"/>
      <w:footerReference w:type="first" r:id="rId13"/>
      <w:type w:val="continuous"/>
      <w:pgSz w:w="12240" w:h="15840" w:code="1"/>
      <w:pgMar w:top="720" w:right="1296" w:bottom="288" w:left="1296" w:header="96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EA4" w:rsidRDefault="00A67EA4">
      <w:r>
        <w:separator/>
      </w:r>
    </w:p>
  </w:endnote>
  <w:endnote w:type="continuationSeparator" w:id="0">
    <w:p w:rsidR="00A67EA4" w:rsidRDefault="00A6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F11" w:rsidRPr="00707AE2" w:rsidRDefault="006938C4" w:rsidP="00707AE2">
    <w:pPr>
      <w:pStyle w:val="InsideAddress"/>
      <w:jc w:val="left"/>
      <w:rPr>
        <w:rFonts w:ascii="Times New Roman" w:hAnsi="Times New Roman"/>
        <w:color w:val="000080"/>
        <w:sz w:val="16"/>
        <w:szCs w:val="16"/>
      </w:rPr>
    </w:pPr>
    <w:r>
      <w:rPr>
        <w:rFonts w:ascii="Times New Roman" w:hAnsi="Times New Roman"/>
        <w:color w:val="000080"/>
        <w:sz w:val="16"/>
        <w:szCs w:val="16"/>
      </w:rPr>
      <w:t>LOCATION</w:t>
    </w:r>
    <w:r w:rsidR="00BE284D" w:rsidRPr="00BE284D">
      <w:rPr>
        <w:rFonts w:ascii="Times New Roman" w:hAnsi="Times New Roman"/>
        <w:color w:val="000080"/>
        <w:sz w:val="16"/>
        <w:szCs w:val="16"/>
      </w:rPr>
      <w:t xml:space="preserve">:  </w:t>
    </w:r>
    <w:r w:rsidR="00BE284D" w:rsidRPr="006938C4">
      <w:rPr>
        <w:rFonts w:ascii="Times New Roman" w:hAnsi="Times New Roman"/>
        <w:color w:val="000080"/>
        <w:sz w:val="16"/>
        <w:szCs w:val="16"/>
      </w:rPr>
      <w:t>101 Second Street, Hallowell, ME 04347</w:t>
    </w:r>
    <w:r w:rsidR="00BE284D" w:rsidRPr="00BE284D">
      <w:rPr>
        <w:rFonts w:ascii="Times New Roman" w:hAnsi="Times New Roman"/>
        <w:color w:val="000080"/>
        <w:sz w:val="16"/>
        <w:szCs w:val="16"/>
      </w:rPr>
      <w:tab/>
    </w:r>
    <w:r w:rsidR="00BE284D" w:rsidRPr="00BE284D">
      <w:rPr>
        <w:rFonts w:ascii="Times New Roman" w:hAnsi="Times New Roman"/>
        <w:color w:val="000080"/>
        <w:sz w:val="16"/>
        <w:szCs w:val="16"/>
      </w:rPr>
      <w:tab/>
    </w:r>
    <w:r w:rsidR="00BE284D">
      <w:rPr>
        <w:rFonts w:ascii="Times New Roman" w:hAnsi="Times New Roman"/>
        <w:color w:val="000080"/>
        <w:sz w:val="16"/>
        <w:szCs w:val="16"/>
      </w:rPr>
      <w:tab/>
    </w:r>
    <w:r w:rsidR="00BE284D">
      <w:rPr>
        <w:rFonts w:ascii="Times New Roman" w:hAnsi="Times New Roman"/>
        <w:color w:val="000080"/>
        <w:sz w:val="16"/>
        <w:szCs w:val="16"/>
      </w:rPr>
      <w:tab/>
    </w:r>
    <w:r>
      <w:rPr>
        <w:rFonts w:ascii="Times New Roman" w:hAnsi="Times New Roman"/>
        <w:color w:val="000080"/>
        <w:sz w:val="16"/>
        <w:szCs w:val="16"/>
      </w:rPr>
      <w:t>MAIL</w:t>
    </w:r>
    <w:r w:rsidR="00BE284D" w:rsidRPr="00BE284D">
      <w:rPr>
        <w:rFonts w:ascii="Times New Roman" w:hAnsi="Times New Roman"/>
        <w:color w:val="000080"/>
        <w:sz w:val="16"/>
        <w:szCs w:val="16"/>
      </w:rPr>
      <w:t>:  18 State House Station, Augusta, ME 04333-0018</w:t>
    </w:r>
    <w:r w:rsidR="00830F11" w:rsidRPr="006B25ED">
      <w:rPr>
        <w:rFonts w:ascii="Times New Roman" w:hAnsi="Times New Roman"/>
        <w:color w:val="000080"/>
        <w:sz w:val="16"/>
      </w:rPr>
      <w:t xml:space="preserve">                   </w:t>
    </w:r>
  </w:p>
  <w:p w:rsidR="00830F11" w:rsidRPr="006B25ED" w:rsidRDefault="00830F11" w:rsidP="00830F11">
    <w:pPr>
      <w:pStyle w:val="InsideAddress"/>
      <w:rPr>
        <w:rFonts w:ascii="Times New Roman" w:hAnsi="Times New Roman"/>
        <w:color w:val="000080"/>
        <w:sz w:val="16"/>
      </w:rPr>
    </w:pPr>
    <w:r w:rsidRPr="006B25ED">
      <w:rPr>
        <w:rFonts w:ascii="Times New Roman" w:hAnsi="Times New Roman"/>
        <w:color w:val="000080"/>
        <w:sz w:val="16"/>
      </w:rPr>
      <w:t>PHONE:  (207) 287-3831 (VOI</w:t>
    </w:r>
    <w:r w:rsidR="006938C4">
      <w:rPr>
        <w:rFonts w:ascii="Times New Roman" w:hAnsi="Times New Roman"/>
        <w:color w:val="000080"/>
        <w:sz w:val="16"/>
      </w:rPr>
      <w:t xml:space="preserve">CE)   </w:t>
    </w:r>
    <w:r w:rsidR="006938C4">
      <w:rPr>
        <w:rFonts w:ascii="Times New Roman" w:hAnsi="Times New Roman"/>
        <w:color w:val="000080"/>
        <w:sz w:val="16"/>
      </w:rPr>
      <w:tab/>
      <w:t xml:space="preserve">                              </w:t>
    </w:r>
    <w:r w:rsidR="00707AE2">
      <w:rPr>
        <w:rFonts w:ascii="Times New Roman" w:hAnsi="Times New Roman"/>
        <w:color w:val="000080"/>
        <w:sz w:val="16"/>
      </w:rPr>
      <w:t>TTY users call</w:t>
    </w:r>
    <w:r w:rsidR="00CE38EE">
      <w:rPr>
        <w:rFonts w:ascii="Times New Roman" w:hAnsi="Times New Roman"/>
        <w:color w:val="000080"/>
        <w:sz w:val="16"/>
      </w:rPr>
      <w:t xml:space="preserve"> </w:t>
    </w:r>
    <w:r w:rsidR="00707AE2">
      <w:rPr>
        <w:rFonts w:ascii="Times New Roman" w:hAnsi="Times New Roman"/>
        <w:color w:val="000080"/>
        <w:sz w:val="16"/>
      </w:rPr>
      <w:t>Maine Relay 711</w:t>
    </w:r>
    <w:r>
      <w:rPr>
        <w:rFonts w:ascii="Times New Roman" w:hAnsi="Times New Roman"/>
        <w:color w:val="000080"/>
        <w:sz w:val="16"/>
      </w:rPr>
      <w:tab/>
    </w:r>
    <w:r>
      <w:rPr>
        <w:rFonts w:ascii="Times New Roman" w:hAnsi="Times New Roman"/>
        <w:color w:val="000080"/>
        <w:sz w:val="16"/>
      </w:rPr>
      <w:tab/>
    </w:r>
    <w:r w:rsidR="006938C4">
      <w:rPr>
        <w:rFonts w:ascii="Times New Roman" w:hAnsi="Times New Roman"/>
        <w:color w:val="000080"/>
        <w:sz w:val="16"/>
      </w:rPr>
      <w:tab/>
    </w:r>
    <w:r w:rsidRPr="006B25ED">
      <w:rPr>
        <w:rFonts w:ascii="Times New Roman" w:hAnsi="Times New Roman"/>
        <w:color w:val="000080"/>
        <w:sz w:val="16"/>
      </w:rPr>
      <w:t>FAX: (207) 287-1039</w:t>
    </w:r>
  </w:p>
  <w:p w:rsidR="00830F11" w:rsidRDefault="0083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EA4" w:rsidRDefault="00A67EA4">
      <w:r>
        <w:separator/>
      </w:r>
    </w:p>
  </w:footnote>
  <w:footnote w:type="continuationSeparator" w:id="0">
    <w:p w:rsidR="00A67EA4" w:rsidRDefault="00A67EA4">
      <w:r>
        <w:continuationSeparator/>
      </w:r>
    </w:p>
  </w:footnote>
  <w:footnote w:id="1">
    <w:p w:rsidR="005A0E9A" w:rsidRPr="00F57F32" w:rsidRDefault="005A0E9A" w:rsidP="005A0E9A">
      <w:pPr>
        <w:pStyle w:val="FootnoteText"/>
        <w:rPr>
          <w:rFonts w:ascii="Arial" w:hAnsi="Arial" w:cs="Arial"/>
          <w:sz w:val="24"/>
          <w:szCs w:val="24"/>
        </w:rPr>
      </w:pPr>
      <w:r w:rsidRPr="00F57F32">
        <w:rPr>
          <w:rStyle w:val="FootnoteReference"/>
          <w:rFonts w:ascii="Arial" w:hAnsi="Arial" w:cs="Arial"/>
          <w:sz w:val="24"/>
          <w:szCs w:val="24"/>
        </w:rPr>
        <w:footnoteRef/>
      </w:r>
      <w:r w:rsidRPr="00F57F32">
        <w:rPr>
          <w:rFonts w:ascii="Arial" w:hAnsi="Arial" w:cs="Arial"/>
          <w:sz w:val="24"/>
          <w:szCs w:val="24"/>
        </w:rPr>
        <w:t xml:space="preserve"> P.L. 2017, ch. 428.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F11" w:rsidRDefault="00830F1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B303D"/>
    <w:multiLevelType w:val="hybridMultilevel"/>
    <w:tmpl w:val="438EF20C"/>
    <w:lvl w:ilvl="0" w:tplc="9E5CA8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5882"/>
    <w:multiLevelType w:val="hybridMultilevel"/>
    <w:tmpl w:val="7EECB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4105256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C65A71"/>
    <w:multiLevelType w:val="hybridMultilevel"/>
    <w:tmpl w:val="C4DA8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5DC92495"/>
    <w:multiLevelType w:val="hybridMultilevel"/>
    <w:tmpl w:val="49EC4B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7" w15:restartNumberingAfterBreak="0">
    <w:nsid w:val="789A7E61"/>
    <w:multiLevelType w:val="hybridMultilevel"/>
    <w:tmpl w:val="780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AC"/>
    <w:rsid w:val="000256C5"/>
    <w:rsid w:val="00055C32"/>
    <w:rsid w:val="00092A9F"/>
    <w:rsid w:val="000B6C75"/>
    <w:rsid w:val="000D3DF2"/>
    <w:rsid w:val="000E5074"/>
    <w:rsid w:val="00114269"/>
    <w:rsid w:val="00122152"/>
    <w:rsid w:val="0015030F"/>
    <w:rsid w:val="00152843"/>
    <w:rsid w:val="001626D4"/>
    <w:rsid w:val="0016381E"/>
    <w:rsid w:val="0018522D"/>
    <w:rsid w:val="00187287"/>
    <w:rsid w:val="001E38E4"/>
    <w:rsid w:val="00210CCE"/>
    <w:rsid w:val="00232D1D"/>
    <w:rsid w:val="00247DB1"/>
    <w:rsid w:val="002502CC"/>
    <w:rsid w:val="00254B25"/>
    <w:rsid w:val="00255FFA"/>
    <w:rsid w:val="00267782"/>
    <w:rsid w:val="0027767C"/>
    <w:rsid w:val="00281080"/>
    <w:rsid w:val="00294BD7"/>
    <w:rsid w:val="002A18F8"/>
    <w:rsid w:val="002A49BD"/>
    <w:rsid w:val="002B4846"/>
    <w:rsid w:val="00307A2A"/>
    <w:rsid w:val="00342B21"/>
    <w:rsid w:val="00352DAE"/>
    <w:rsid w:val="003549DC"/>
    <w:rsid w:val="00362F09"/>
    <w:rsid w:val="003805EA"/>
    <w:rsid w:val="003C41FB"/>
    <w:rsid w:val="003E667C"/>
    <w:rsid w:val="003F7674"/>
    <w:rsid w:val="00405503"/>
    <w:rsid w:val="0040688E"/>
    <w:rsid w:val="00417D8C"/>
    <w:rsid w:val="004246F8"/>
    <w:rsid w:val="0042486F"/>
    <w:rsid w:val="00430450"/>
    <w:rsid w:val="00471DC4"/>
    <w:rsid w:val="004728C9"/>
    <w:rsid w:val="004966C7"/>
    <w:rsid w:val="004C2108"/>
    <w:rsid w:val="004D46EC"/>
    <w:rsid w:val="004E4D30"/>
    <w:rsid w:val="00507381"/>
    <w:rsid w:val="0053735A"/>
    <w:rsid w:val="005513CA"/>
    <w:rsid w:val="00552275"/>
    <w:rsid w:val="00562BCC"/>
    <w:rsid w:val="00566A29"/>
    <w:rsid w:val="0059320D"/>
    <w:rsid w:val="005A0E9A"/>
    <w:rsid w:val="005D75BF"/>
    <w:rsid w:val="005E1A12"/>
    <w:rsid w:val="005E49B3"/>
    <w:rsid w:val="005E569E"/>
    <w:rsid w:val="005F1A40"/>
    <w:rsid w:val="00604371"/>
    <w:rsid w:val="0061764E"/>
    <w:rsid w:val="00617EBB"/>
    <w:rsid w:val="00656F28"/>
    <w:rsid w:val="00657872"/>
    <w:rsid w:val="00657F97"/>
    <w:rsid w:val="00662E0E"/>
    <w:rsid w:val="00671998"/>
    <w:rsid w:val="006938C4"/>
    <w:rsid w:val="00694144"/>
    <w:rsid w:val="006B3E45"/>
    <w:rsid w:val="006B4170"/>
    <w:rsid w:val="006D4D09"/>
    <w:rsid w:val="006E3153"/>
    <w:rsid w:val="006F6192"/>
    <w:rsid w:val="00707AE2"/>
    <w:rsid w:val="00731540"/>
    <w:rsid w:val="0077513F"/>
    <w:rsid w:val="007A04EE"/>
    <w:rsid w:val="007B0A46"/>
    <w:rsid w:val="007D37A7"/>
    <w:rsid w:val="00830F11"/>
    <w:rsid w:val="00832E69"/>
    <w:rsid w:val="0085421F"/>
    <w:rsid w:val="00890DF8"/>
    <w:rsid w:val="008941E2"/>
    <w:rsid w:val="008D2376"/>
    <w:rsid w:val="008E44A2"/>
    <w:rsid w:val="008F6AB0"/>
    <w:rsid w:val="00902579"/>
    <w:rsid w:val="00913B1B"/>
    <w:rsid w:val="009540F4"/>
    <w:rsid w:val="0095461F"/>
    <w:rsid w:val="00981684"/>
    <w:rsid w:val="00986F19"/>
    <w:rsid w:val="009B1B1E"/>
    <w:rsid w:val="009B30F5"/>
    <w:rsid w:val="009B6EB1"/>
    <w:rsid w:val="009D1C43"/>
    <w:rsid w:val="009E6A2D"/>
    <w:rsid w:val="009F2916"/>
    <w:rsid w:val="00A06F8E"/>
    <w:rsid w:val="00A458E3"/>
    <w:rsid w:val="00A67EA4"/>
    <w:rsid w:val="00AC3825"/>
    <w:rsid w:val="00AD275F"/>
    <w:rsid w:val="00AE5492"/>
    <w:rsid w:val="00AF485F"/>
    <w:rsid w:val="00B041BA"/>
    <w:rsid w:val="00B267D1"/>
    <w:rsid w:val="00B35519"/>
    <w:rsid w:val="00B5187D"/>
    <w:rsid w:val="00B74792"/>
    <w:rsid w:val="00B92D70"/>
    <w:rsid w:val="00BA45F8"/>
    <w:rsid w:val="00BC7C03"/>
    <w:rsid w:val="00BE284D"/>
    <w:rsid w:val="00C167D6"/>
    <w:rsid w:val="00C40324"/>
    <w:rsid w:val="00C450CB"/>
    <w:rsid w:val="00C60949"/>
    <w:rsid w:val="00C66006"/>
    <w:rsid w:val="00C91878"/>
    <w:rsid w:val="00C96CE2"/>
    <w:rsid w:val="00CC2C29"/>
    <w:rsid w:val="00CE38EE"/>
    <w:rsid w:val="00CF407D"/>
    <w:rsid w:val="00D007BD"/>
    <w:rsid w:val="00D43EA7"/>
    <w:rsid w:val="00D93552"/>
    <w:rsid w:val="00D938D9"/>
    <w:rsid w:val="00D96259"/>
    <w:rsid w:val="00D96338"/>
    <w:rsid w:val="00DB0081"/>
    <w:rsid w:val="00DC2B9C"/>
    <w:rsid w:val="00DF36E9"/>
    <w:rsid w:val="00E101E6"/>
    <w:rsid w:val="00E136F2"/>
    <w:rsid w:val="00E20CDC"/>
    <w:rsid w:val="00E262BD"/>
    <w:rsid w:val="00E31978"/>
    <w:rsid w:val="00E62721"/>
    <w:rsid w:val="00E71B2A"/>
    <w:rsid w:val="00E71CAD"/>
    <w:rsid w:val="00E806D4"/>
    <w:rsid w:val="00E851B0"/>
    <w:rsid w:val="00E93517"/>
    <w:rsid w:val="00EA2025"/>
    <w:rsid w:val="00EA3237"/>
    <w:rsid w:val="00EC2FEA"/>
    <w:rsid w:val="00EC5F00"/>
    <w:rsid w:val="00ED0B50"/>
    <w:rsid w:val="00ED0DC6"/>
    <w:rsid w:val="00ED42AC"/>
    <w:rsid w:val="00EE7D20"/>
    <w:rsid w:val="00EF57BA"/>
    <w:rsid w:val="00EF7449"/>
    <w:rsid w:val="00F52085"/>
    <w:rsid w:val="00FA747F"/>
    <w:rsid w:val="00FB2158"/>
    <w:rsid w:val="00FC1C69"/>
    <w:rsid w:val="00FE0534"/>
    <w:rsid w:val="00FE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0464F46C-AF52-4A35-9ECB-775C5E87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D42AC"/>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TOC1">
    <w:name w:val="toc 1"/>
    <w:basedOn w:val="Normal"/>
    <w:next w:val="Normal"/>
    <w:semiHidden/>
    <w:rsid w:val="00EF7449"/>
    <w:pPr>
      <w:jc w:val="left"/>
    </w:pPr>
    <w:rPr>
      <w:spacing w:val="0"/>
      <w:sz w:val="24"/>
    </w:rPr>
  </w:style>
  <w:style w:type="paragraph" w:styleId="FootnoteText">
    <w:name w:val="footnote text"/>
    <w:basedOn w:val="Normal"/>
    <w:link w:val="FootnoteTextChar"/>
    <w:semiHidden/>
    <w:rsid w:val="008F6AB0"/>
    <w:pPr>
      <w:jc w:val="left"/>
    </w:pPr>
    <w:rPr>
      <w:rFonts w:ascii="Times New Roman" w:hAnsi="Times New Roman"/>
      <w:spacing w:val="0"/>
    </w:rPr>
  </w:style>
  <w:style w:type="character" w:styleId="FootnoteReference">
    <w:name w:val="footnote reference"/>
    <w:uiPriority w:val="99"/>
    <w:semiHidden/>
    <w:rsid w:val="008F6AB0"/>
    <w:rPr>
      <w:vertAlign w:val="superscript"/>
    </w:rPr>
  </w:style>
  <w:style w:type="character" w:customStyle="1" w:styleId="text1">
    <w:name w:val="text1"/>
    <w:rsid w:val="008F6AB0"/>
    <w:rPr>
      <w:rFonts w:ascii="Times New Roman" w:hAnsi="Times New Roman" w:cs="Times New Roman" w:hint="default"/>
      <w:b w:val="0"/>
      <w:bCs w:val="0"/>
      <w:sz w:val="24"/>
      <w:szCs w:val="24"/>
    </w:rPr>
  </w:style>
  <w:style w:type="character" w:styleId="Hyperlink">
    <w:name w:val="Hyperlink"/>
    <w:rsid w:val="00B35519"/>
    <w:rPr>
      <w:color w:val="0000FF"/>
      <w:u w:val="single"/>
    </w:rPr>
  </w:style>
  <w:style w:type="paragraph" w:styleId="ListParagraph">
    <w:name w:val="List Paragraph"/>
    <w:basedOn w:val="Normal"/>
    <w:uiPriority w:val="34"/>
    <w:qFormat/>
    <w:rsid w:val="005A0E9A"/>
    <w:pPr>
      <w:spacing w:after="200" w:line="276" w:lineRule="auto"/>
      <w:ind w:left="720"/>
      <w:contextualSpacing/>
      <w:jc w:val="left"/>
    </w:pPr>
    <w:rPr>
      <w:rFonts w:ascii="Calibri" w:eastAsia="Calibri" w:hAnsi="Calibri"/>
      <w:spacing w:val="0"/>
      <w:sz w:val="22"/>
      <w:szCs w:val="22"/>
    </w:rPr>
  </w:style>
  <w:style w:type="character" w:customStyle="1" w:styleId="FootnoteTextChar">
    <w:name w:val="Footnote Text Char"/>
    <w:link w:val="FootnoteText"/>
    <w:semiHidden/>
    <w:rsid w:val="005A0E9A"/>
  </w:style>
  <w:style w:type="paragraph" w:customStyle="1" w:styleId="Default">
    <w:name w:val="Default"/>
    <w:rsid w:val="005A0E9A"/>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aine911/laws-rules/rul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jacques@maine.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ine.gov/maine911/psap-training/Consolidation-Grant" TargetMode="External"/><Relationship Id="rId4" Type="http://schemas.openxmlformats.org/officeDocument/2006/relationships/webSettings" Target="webSettings.xml"/><Relationship Id="rId9" Type="http://schemas.openxmlformats.org/officeDocument/2006/relationships/hyperlink" Target="http://www.maine.gov/maine911/psap-training/Consolidation-Gra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5793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Professional Letter</vt:lpstr>
    </vt:vector>
  </TitlesOfParts>
  <Company>State of Maine</Company>
  <LinksUpToDate>false</LinksUpToDate>
  <CharactersWithSpaces>6796</CharactersWithSpaces>
  <SharedDoc>false</SharedDoc>
  <HLinks>
    <vt:vector size="24" baseType="variant">
      <vt:variant>
        <vt:i4>6488087</vt:i4>
      </vt:variant>
      <vt:variant>
        <vt:i4>9</vt:i4>
      </vt:variant>
      <vt:variant>
        <vt:i4>0</vt:i4>
      </vt:variant>
      <vt:variant>
        <vt:i4>5</vt:i4>
      </vt:variant>
      <vt:variant>
        <vt:lpwstr>mailto:maria.jacques@maine.gov</vt:lpwstr>
      </vt:variant>
      <vt:variant>
        <vt:lpwstr/>
      </vt:variant>
      <vt:variant>
        <vt:i4>2293876</vt:i4>
      </vt:variant>
      <vt:variant>
        <vt:i4>6</vt:i4>
      </vt:variant>
      <vt:variant>
        <vt:i4>0</vt:i4>
      </vt:variant>
      <vt:variant>
        <vt:i4>5</vt:i4>
      </vt:variant>
      <vt:variant>
        <vt:lpwstr>http://www.maine.gov/maine911/psap-training/Consolidation-Grant</vt:lpwstr>
      </vt:variant>
      <vt:variant>
        <vt:lpwstr/>
      </vt:variant>
      <vt:variant>
        <vt:i4>2293876</vt:i4>
      </vt:variant>
      <vt:variant>
        <vt:i4>3</vt:i4>
      </vt:variant>
      <vt:variant>
        <vt:i4>0</vt:i4>
      </vt:variant>
      <vt:variant>
        <vt:i4>5</vt:i4>
      </vt:variant>
      <vt:variant>
        <vt:lpwstr>http://www.maine.gov/maine911/psap-training/Consolidation-Grant</vt:lpwstr>
      </vt:variant>
      <vt:variant>
        <vt:lpwstr/>
      </vt:variant>
      <vt:variant>
        <vt:i4>3604526</vt:i4>
      </vt:variant>
      <vt:variant>
        <vt:i4>0</vt:i4>
      </vt:variant>
      <vt:variant>
        <vt:i4>0</vt:i4>
      </vt:variant>
      <vt:variant>
        <vt:i4>5</vt:i4>
      </vt:variant>
      <vt:variant>
        <vt:lpwstr>https://www.maine.gov/maine911/laws-rules/rules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Jacques, Maria</dc:creator>
  <cp:keywords/>
  <cp:lastModifiedBy>Coffin, Amie</cp:lastModifiedBy>
  <cp:revision>2</cp:revision>
  <cp:lastPrinted>2018-05-11T13:18:00Z</cp:lastPrinted>
  <dcterms:created xsi:type="dcterms:W3CDTF">2019-07-08T15:26:00Z</dcterms:created>
  <dcterms:modified xsi:type="dcterms:W3CDTF">2019-07-08T15:26:00Z</dcterms:modified>
  <cp:category>Letter</cp:category>
</cp:coreProperties>
</file>