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30" w:rsidRPr="00145C30" w:rsidRDefault="00145C30" w:rsidP="00145C30"/>
    <w:p w:rsidR="00D648CD" w:rsidRDefault="007E3C6C" w:rsidP="00D648CD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D7234A" wp14:editId="1171839C">
            <wp:simplePos x="0" y="0"/>
            <wp:positionH relativeFrom="margin">
              <wp:posOffset>4131945</wp:posOffset>
            </wp:positionH>
            <wp:positionV relativeFrom="margin">
              <wp:posOffset>813435</wp:posOffset>
            </wp:positionV>
            <wp:extent cx="2190750" cy="21907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R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3C6C" w:rsidRPr="007E3C6C" w:rsidRDefault="007E3C6C" w:rsidP="007E3C6C"/>
    <w:p w:rsidR="00D648CD" w:rsidRDefault="00D648CD" w:rsidP="00D648CD">
      <w:pPr>
        <w:pStyle w:val="Heading1"/>
      </w:pPr>
    </w:p>
    <w:p w:rsidR="00E364FD" w:rsidRDefault="00E364FD" w:rsidP="007B3611">
      <w:pPr>
        <w:pStyle w:val="Coverbyline"/>
        <w:rPr>
          <w:bCs/>
          <w:iCs w:val="0"/>
          <w:sz w:val="72"/>
          <w:szCs w:val="32"/>
        </w:rPr>
      </w:pPr>
    </w:p>
    <w:p w:rsidR="00145C30" w:rsidRDefault="00145C30" w:rsidP="007B3611">
      <w:pPr>
        <w:pStyle w:val="Coverbyline"/>
      </w:pPr>
    </w:p>
    <w:p w:rsidR="00145C30" w:rsidRDefault="00145C30" w:rsidP="007B3611">
      <w:pPr>
        <w:pStyle w:val="Coverbyline"/>
      </w:pPr>
    </w:p>
    <w:p w:rsidR="00D648CD" w:rsidRDefault="00D648CD" w:rsidP="007B3611">
      <w:pPr>
        <w:pStyle w:val="Coverbyline"/>
      </w:pPr>
      <w:r>
        <w:t>Report on</w:t>
      </w:r>
    </w:p>
    <w:p w:rsidR="00E364FD" w:rsidRDefault="00E364FD" w:rsidP="007B3611">
      <w:pPr>
        <w:pStyle w:val="Coverbyline"/>
      </w:pPr>
    </w:p>
    <w:tbl>
      <w:tblPr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005954"/>
        <w:tblCellMar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0760"/>
      </w:tblGrid>
      <w:tr w:rsidR="00D648CD" w:rsidTr="00725F90">
        <w:trPr>
          <w:trHeight w:val="771"/>
        </w:trPr>
        <w:tc>
          <w:tcPr>
            <w:tcW w:w="10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5954"/>
            <w:vAlign w:val="center"/>
          </w:tcPr>
          <w:p w:rsidR="00D648CD" w:rsidRPr="00E364FD" w:rsidRDefault="00E364FD" w:rsidP="007E3C6C">
            <w:pPr>
              <w:spacing w:before="240"/>
              <w:rPr>
                <w:rFonts w:ascii="Times New Roman" w:hAnsi="Times New Roman"/>
                <w:b/>
                <w:sz w:val="44"/>
                <w:szCs w:val="44"/>
              </w:rPr>
            </w:pPr>
            <w:r w:rsidRPr="00E364FD">
              <w:rPr>
                <w:rFonts w:ascii="Times New Roman" w:hAnsi="Times New Roman"/>
                <w:b/>
                <w:color w:val="FFFFFF" w:themeColor="background1"/>
                <w:sz w:val="44"/>
                <w:szCs w:val="44"/>
              </w:rPr>
              <w:t xml:space="preserve">INJURIES AND ILLNESSES </w:t>
            </w:r>
            <w:r w:rsidR="00A543D8">
              <w:rPr>
                <w:rFonts w:ascii="Times New Roman" w:hAnsi="Times New Roman"/>
                <w:b/>
                <w:color w:val="FFFFFF" w:themeColor="background1"/>
                <w:sz w:val="44"/>
                <w:szCs w:val="44"/>
              </w:rPr>
              <w:t>DUE TO</w:t>
            </w:r>
            <w:r>
              <w:rPr>
                <w:rFonts w:ascii="Times New Roman" w:hAnsi="Times New Roman"/>
                <w:b/>
                <w:color w:val="FFFFFF" w:themeColor="background1"/>
                <w:sz w:val="44"/>
                <w:szCs w:val="44"/>
              </w:rPr>
              <w:t xml:space="preserve"> WORKPLACE</w:t>
            </w:r>
            <w:r w:rsidRPr="00E364FD">
              <w:rPr>
                <w:rFonts w:ascii="Times New Roman" w:hAnsi="Times New Roman"/>
                <w:b/>
                <w:color w:val="FFFFFF" w:themeColor="background1"/>
                <w:sz w:val="44"/>
                <w:szCs w:val="44"/>
              </w:rPr>
              <w:t xml:space="preserve"> CHEMICALS AND </w:t>
            </w:r>
            <w:r w:rsidR="008323BD">
              <w:rPr>
                <w:rFonts w:ascii="Times New Roman" w:hAnsi="Times New Roman"/>
                <w:b/>
                <w:color w:val="FFFFFF" w:themeColor="background1"/>
                <w:sz w:val="44"/>
                <w:szCs w:val="44"/>
              </w:rPr>
              <w:t>RELATED HAZARDS</w:t>
            </w:r>
          </w:p>
        </w:tc>
      </w:tr>
    </w:tbl>
    <w:p w:rsidR="00D648CD" w:rsidRDefault="00DB2A42" w:rsidP="00E718E4">
      <w:pPr>
        <w:pStyle w:val="Heading3"/>
        <w:autoSpaceDE w:val="0"/>
      </w:pPr>
      <w:r>
        <w:t>February</w:t>
      </w:r>
      <w:r w:rsidR="00D6127D">
        <w:t xml:space="preserve"> 2015</w:t>
      </w:r>
      <w:bookmarkStart w:id="0" w:name="_GoBack"/>
      <w:bookmarkEnd w:id="0"/>
    </w:p>
    <w:p w:rsidR="00D648CD" w:rsidRDefault="00D648CD" w:rsidP="007B3611">
      <w:pPr>
        <w:pStyle w:val="Coverbyline"/>
      </w:pPr>
    </w:p>
    <w:p w:rsidR="00D648CD" w:rsidRDefault="00966547" w:rsidP="008C7B5A">
      <w:pPr>
        <w:pStyle w:val="Coverbyline"/>
      </w:pPr>
      <w:r>
        <w:t>Submitted b</w:t>
      </w:r>
      <w:r w:rsidR="00D648CD">
        <w:t>y</w:t>
      </w:r>
    </w:p>
    <w:p w:rsidR="00D648CD" w:rsidRDefault="00D648CD" w:rsidP="008C7B5A">
      <w:pPr>
        <w:pStyle w:val="Coverbyline"/>
      </w:pPr>
      <w:r>
        <w:t>Maine Department of Labor</w:t>
      </w:r>
    </w:p>
    <w:p w:rsidR="00E364FD" w:rsidRDefault="00D648CD" w:rsidP="00725F90">
      <w:pPr>
        <w:pStyle w:val="Coverbyline"/>
      </w:pPr>
      <w:r>
        <w:t xml:space="preserve">Bureau of </w:t>
      </w:r>
      <w:r w:rsidR="00E364FD">
        <w:t>Labor Standards</w:t>
      </w:r>
    </w:p>
    <w:p w:rsidR="00725F90" w:rsidRDefault="00725F90" w:rsidP="00725F90">
      <w:pPr>
        <w:pStyle w:val="Coverbyline"/>
      </w:pPr>
    </w:p>
    <w:p w:rsidR="00725F90" w:rsidRDefault="00725F90" w:rsidP="00725F90">
      <w:pPr>
        <w:pStyle w:val="Coverbyline"/>
        <w:rPr>
          <w:rFonts w:ascii="Tw Cen MT" w:hAnsi="Tw Cen MT" w:cstheme="minorHAnsi"/>
        </w:rPr>
      </w:pPr>
    </w:p>
    <w:p w:rsidR="00E364FD" w:rsidRPr="008F53BB" w:rsidRDefault="00E364FD" w:rsidP="00E364FD">
      <w:pPr>
        <w:pStyle w:val="DefaultText"/>
        <w:jc w:val="center"/>
        <w:rPr>
          <w:rFonts w:ascii="Tw Cen MT" w:hAnsi="Tw Cen MT" w:cstheme="minorHAnsi"/>
        </w:rPr>
      </w:pPr>
    </w:p>
    <w:p w:rsidR="00E364FD" w:rsidRPr="008F53BB" w:rsidRDefault="00E364FD" w:rsidP="00E364FD">
      <w:pPr>
        <w:pStyle w:val="DefaultText"/>
        <w:jc w:val="center"/>
        <w:rPr>
          <w:rFonts w:ascii="Tw Cen MT" w:hAnsi="Tw Cen MT" w:cstheme="minorHAnsi"/>
          <w:szCs w:val="24"/>
        </w:rPr>
      </w:pPr>
    </w:p>
    <w:p w:rsidR="00702115" w:rsidRDefault="00E364FD">
      <w:pPr>
        <w:spacing w:after="0"/>
      </w:pPr>
      <w:r w:rsidRPr="00FE3CFC">
        <w:br w:type="page"/>
      </w:r>
    </w:p>
    <w:p w:rsidR="00702115" w:rsidRDefault="00702115">
      <w:pPr>
        <w:spacing w:after="0"/>
      </w:pPr>
    </w:p>
    <w:p w:rsidR="00702115" w:rsidRDefault="00702115">
      <w:pPr>
        <w:spacing w:after="0"/>
      </w:pPr>
    </w:p>
    <w:p w:rsidR="00702115" w:rsidRDefault="00702115">
      <w:pPr>
        <w:spacing w:after="0"/>
      </w:pPr>
    </w:p>
    <w:p w:rsidR="00702115" w:rsidRDefault="00702115">
      <w:pPr>
        <w:spacing w:after="0"/>
      </w:pPr>
    </w:p>
    <w:p w:rsidR="00702115" w:rsidRDefault="00702115">
      <w:pPr>
        <w:spacing w:after="0"/>
      </w:pPr>
    </w:p>
    <w:p w:rsidR="00702115" w:rsidRDefault="00702115">
      <w:pPr>
        <w:spacing w:after="0"/>
      </w:pPr>
    </w:p>
    <w:p w:rsidR="003A4451" w:rsidRDefault="003A4451">
      <w:pPr>
        <w:spacing w:after="0"/>
      </w:pPr>
    </w:p>
    <w:p w:rsidR="003A4451" w:rsidRDefault="003A4451">
      <w:pPr>
        <w:spacing w:after="0"/>
      </w:pPr>
    </w:p>
    <w:p w:rsidR="003A4451" w:rsidRDefault="003A4451">
      <w:pPr>
        <w:spacing w:after="0"/>
      </w:pPr>
    </w:p>
    <w:p w:rsidR="00702115" w:rsidRDefault="00702115">
      <w:pPr>
        <w:spacing w:after="0"/>
      </w:pPr>
    </w:p>
    <w:p w:rsidR="00702115" w:rsidRDefault="00702115">
      <w:pPr>
        <w:spacing w:after="0"/>
      </w:pPr>
    </w:p>
    <w:p w:rsidR="00702115" w:rsidRDefault="00702115">
      <w:pPr>
        <w:spacing w:after="0"/>
      </w:pPr>
    </w:p>
    <w:p w:rsidR="00702115" w:rsidRDefault="003A4451" w:rsidP="003A4451">
      <w:pPr>
        <w:spacing w:after="0"/>
        <w:jc w:val="center"/>
      </w:pPr>
      <w:r>
        <w:rPr>
          <w:rFonts w:ascii="Tw Cen MT Condensed" w:hAnsi="Tw Cen MT Condensed"/>
          <w:noProof/>
          <w:sz w:val="28"/>
          <w:szCs w:val="28"/>
        </w:rPr>
        <w:drawing>
          <wp:inline distT="0" distB="0" distL="0" distR="0" wp14:anchorId="7C6F75CD" wp14:editId="5B07333B">
            <wp:extent cx="5200650" cy="3118191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_000004913699Mediu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6191" cy="314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115" w:rsidRDefault="00702115" w:rsidP="00025F09">
      <w:pPr>
        <w:spacing w:after="0"/>
        <w:jc w:val="center"/>
      </w:pPr>
    </w:p>
    <w:p w:rsidR="00702115" w:rsidRDefault="00D6127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47696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769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079" w:rsidRPr="00025F09" w:rsidRDefault="00014079">
                            <w:pPr>
                              <w:rPr>
                                <w:rFonts w:ascii="Tw Cen MT" w:hAnsi="Tw Cen MT"/>
                                <w:b/>
                              </w:rPr>
                            </w:pPr>
                            <w:proofErr w:type="gramStart"/>
                            <w:r w:rsidRPr="003663AC">
                              <w:rPr>
                                <w:rFonts w:ascii="Tw Cen MT" w:hAnsi="Tw Cen MT"/>
                                <w:b/>
                              </w:rPr>
                              <w:t>Figure 1.</w:t>
                            </w:r>
                            <w:proofErr w:type="gramEnd"/>
                            <w:r w:rsidRPr="003663AC">
                              <w:rPr>
                                <w:rFonts w:ascii="Tw Cen MT" w:hAnsi="Tw Cen MT"/>
                                <w:b/>
                              </w:rPr>
                              <w:t xml:space="preserve">  Hazardous Chemical Reagents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55.7pt;height:110.55pt;z-index:25167667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" stroked="f">
                <v:textbox style="mso-fit-shape-to-text:t">
                  <w:txbxContent>
                    <w:p w:rsidR="00014079" w:rsidRPr="00025F09" w:rsidRDefault="00014079">
                      <w:pPr>
                        <w:rPr>
                          <w:rFonts w:ascii="Tw Cen MT" w:hAnsi="Tw Cen MT"/>
                          <w:b/>
                        </w:rPr>
                      </w:pPr>
                      <w:proofErr w:type="gramStart"/>
                      <w:r w:rsidRPr="003663AC">
                        <w:rPr>
                          <w:rFonts w:ascii="Tw Cen MT" w:hAnsi="Tw Cen MT"/>
                          <w:b/>
                        </w:rPr>
                        <w:t>Figure 1.</w:t>
                      </w:r>
                      <w:proofErr w:type="gramEnd"/>
                      <w:r w:rsidRPr="003663AC">
                        <w:rPr>
                          <w:rFonts w:ascii="Tw Cen MT" w:hAnsi="Tw Cen MT"/>
                          <w:b/>
                        </w:rPr>
                        <w:t xml:space="preserve">  Hazardous Chemical Reagents</w:t>
                      </w:r>
                    </w:p>
                  </w:txbxContent>
                </v:textbox>
              </v:shape>
            </w:pict>
          </mc:Fallback>
        </mc:AlternateContent>
      </w:r>
    </w:p>
    <w:p w:rsidR="00702115" w:rsidRDefault="00A33D64" w:rsidP="00702115">
      <w:pPr>
        <w:spacing w:after="0"/>
        <w:jc w:val="center"/>
      </w:pPr>
      <w:r>
        <w:br w:type="page"/>
      </w:r>
    </w:p>
    <w:p w:rsidR="00C42340" w:rsidRDefault="00C42340" w:rsidP="00E364FD"/>
    <w:p w:rsidR="00A33D64" w:rsidRDefault="00523F83" w:rsidP="00543A07">
      <w:pPr>
        <w:jc w:val="center"/>
      </w:pPr>
      <w:r w:rsidRPr="00604C73">
        <w:rPr>
          <w:noProof/>
        </w:rPr>
        <w:drawing>
          <wp:inline distT="0" distB="0" distL="0" distR="0" wp14:anchorId="568BA553" wp14:editId="465239A5">
            <wp:extent cx="4800515" cy="4299783"/>
            <wp:effectExtent l="0" t="0" r="635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_000017653367X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5952" cy="431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F83" w:rsidRDefault="00523F83" w:rsidP="00523F8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7A3646" wp14:editId="7A80F245">
                <wp:simplePos x="0" y="0"/>
                <wp:positionH relativeFrom="column">
                  <wp:posOffset>1505585</wp:posOffset>
                </wp:positionH>
                <wp:positionV relativeFrom="paragraph">
                  <wp:posOffset>62865</wp:posOffset>
                </wp:positionV>
                <wp:extent cx="3321050" cy="25590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0" cy="2559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4079" w:rsidRPr="00611B1B" w:rsidRDefault="00014079" w:rsidP="00523F83">
                            <w:pPr>
                              <w:pStyle w:val="Caption"/>
                              <w:jc w:val="center"/>
                              <w:rPr>
                                <w:rFonts w:ascii="Tw Cen MT Condensed" w:hAnsi="Tw Cen MT Condensed"/>
                                <w:noProof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663AC">
                              <w:rPr>
                                <w:rFonts w:ascii="Tw Cen MT Condensed" w:hAnsi="Tw Cen MT Condensed"/>
                                <w:sz w:val="24"/>
                                <w:szCs w:val="24"/>
                              </w:rPr>
                              <w:t>Figure 2.</w:t>
                            </w:r>
                            <w:proofErr w:type="gramEnd"/>
                            <w:r w:rsidRPr="003663AC">
                              <w:rPr>
                                <w:rFonts w:ascii="Tw Cen MT Condensed" w:hAnsi="Tw Cen MT Condensed"/>
                                <w:sz w:val="24"/>
                                <w:szCs w:val="24"/>
                              </w:rPr>
                              <w:t xml:space="preserve">  Treating a serious chemical burn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118.55pt;margin-top:4.95pt;width:261.5pt;height:20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" stroked="f">
                <v:textbox inset="0,0,0,0">
                  <w:txbxContent>
                    <w:p w:rsidR="00014079" w:rsidRPr="00611B1B" w:rsidRDefault="00014079" w:rsidP="00523F83">
                      <w:pPr>
                        <w:pStyle w:val="Caption"/>
                        <w:jc w:val="center"/>
                        <w:rPr>
                          <w:rFonts w:ascii="Tw Cen MT Condensed" w:hAnsi="Tw Cen MT Condensed"/>
                          <w:noProof/>
                          <w:sz w:val="24"/>
                          <w:szCs w:val="24"/>
                        </w:rPr>
                      </w:pPr>
                      <w:proofErr w:type="gramStart"/>
                      <w:r w:rsidRPr="003663AC">
                        <w:rPr>
                          <w:rFonts w:ascii="Tw Cen MT Condensed" w:hAnsi="Tw Cen MT Condensed"/>
                          <w:sz w:val="24"/>
                          <w:szCs w:val="24"/>
                        </w:rPr>
                        <w:t>Figure 2.</w:t>
                      </w:r>
                      <w:proofErr w:type="gramEnd"/>
                      <w:r w:rsidRPr="003663AC">
                        <w:rPr>
                          <w:rFonts w:ascii="Tw Cen MT Condensed" w:hAnsi="Tw Cen MT Condensed"/>
                          <w:sz w:val="24"/>
                          <w:szCs w:val="24"/>
                        </w:rPr>
                        <w:t xml:space="preserve">  Treating a serious chemical burn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64FD" w:rsidRPr="00145C30" w:rsidRDefault="00E364FD" w:rsidP="00F74019">
      <w:pPr>
        <w:pStyle w:val="Heading2"/>
      </w:pPr>
      <w:r w:rsidRPr="00145C30">
        <w:t>INTRODUCTION</w:t>
      </w:r>
    </w:p>
    <w:p w:rsidR="00E364FD" w:rsidRPr="00611B1B" w:rsidRDefault="00E364FD" w:rsidP="00E364FD">
      <w:pPr>
        <w:rPr>
          <w:rFonts w:ascii="Tw Cen MT Condensed" w:hAnsi="Tw Cen MT Condensed"/>
          <w:sz w:val="28"/>
          <w:szCs w:val="28"/>
        </w:rPr>
      </w:pPr>
      <w:r w:rsidRPr="00611B1B">
        <w:rPr>
          <w:rFonts w:ascii="Tw Cen MT Condensed" w:hAnsi="Tw Cen MT Condensed"/>
          <w:sz w:val="28"/>
          <w:szCs w:val="28"/>
        </w:rPr>
        <w:t xml:space="preserve">This report </w:t>
      </w:r>
      <w:r w:rsidR="00496CED" w:rsidRPr="00611B1B">
        <w:rPr>
          <w:rFonts w:ascii="Tw Cen MT Condensed" w:hAnsi="Tw Cen MT Condensed"/>
          <w:sz w:val="28"/>
          <w:szCs w:val="28"/>
        </w:rPr>
        <w:t xml:space="preserve">was produced </w:t>
      </w:r>
      <w:r w:rsidRPr="00611B1B">
        <w:rPr>
          <w:rFonts w:ascii="Tw Cen MT Condensed" w:hAnsi="Tw Cen MT Condensed"/>
          <w:sz w:val="28"/>
          <w:szCs w:val="28"/>
        </w:rPr>
        <w:t>by the Maine Department of Labor, Bureau of Labor Standards (BLS)</w:t>
      </w:r>
      <w:r w:rsidR="00496CED" w:rsidRPr="00611B1B">
        <w:rPr>
          <w:rFonts w:ascii="Tw Cen MT Condensed" w:hAnsi="Tw Cen MT Condensed"/>
          <w:sz w:val="28"/>
          <w:szCs w:val="28"/>
        </w:rPr>
        <w:t>.  It</w:t>
      </w:r>
      <w:r w:rsidRPr="00611B1B">
        <w:rPr>
          <w:rFonts w:ascii="Tw Cen MT Condensed" w:hAnsi="Tw Cen MT Condensed"/>
          <w:sz w:val="28"/>
          <w:szCs w:val="28"/>
        </w:rPr>
        <w:t xml:space="preserve"> presents data from Maine’s 2012</w:t>
      </w:r>
      <w:r w:rsidR="003010A5">
        <w:rPr>
          <w:rFonts w:ascii="Tw Cen MT Condensed" w:hAnsi="Tw Cen MT Condensed"/>
          <w:sz w:val="28"/>
          <w:szCs w:val="28"/>
        </w:rPr>
        <w:t>–</w:t>
      </w:r>
      <w:r w:rsidRPr="00611B1B">
        <w:rPr>
          <w:rFonts w:ascii="Tw Cen MT Condensed" w:hAnsi="Tw Cen MT Condensed"/>
          <w:sz w:val="28"/>
          <w:szCs w:val="28"/>
        </w:rPr>
        <w:t>2013 Workers’ Compensation injury and illness claims</w:t>
      </w:r>
      <w:r w:rsidR="005E6AB7">
        <w:rPr>
          <w:rFonts w:ascii="Tw Cen MT Condensed" w:hAnsi="Tw Cen MT Condensed"/>
          <w:sz w:val="28"/>
          <w:szCs w:val="28"/>
          <w:vertAlign w:val="superscript"/>
        </w:rPr>
        <w:t>1</w:t>
      </w:r>
      <w:r w:rsidRPr="00611B1B">
        <w:rPr>
          <w:rFonts w:ascii="Tw Cen MT Condensed" w:hAnsi="Tw Cen MT Condensed"/>
          <w:sz w:val="28"/>
          <w:szCs w:val="28"/>
        </w:rPr>
        <w:t xml:space="preserve"> resulting from</w:t>
      </w:r>
      <w:r w:rsidR="00A81C5D">
        <w:rPr>
          <w:rFonts w:ascii="Tw Cen MT Condensed" w:hAnsi="Tw Cen MT Condensed"/>
          <w:sz w:val="28"/>
          <w:szCs w:val="28"/>
        </w:rPr>
        <w:t xml:space="preserve"> direct or indirect </w:t>
      </w:r>
      <w:r w:rsidRPr="00611B1B">
        <w:rPr>
          <w:rFonts w:ascii="Tw Cen MT Condensed" w:hAnsi="Tw Cen MT Condensed"/>
          <w:sz w:val="28"/>
          <w:szCs w:val="28"/>
        </w:rPr>
        <w:t>exposure to injurious chemicals</w:t>
      </w:r>
      <w:r w:rsidR="00A81C5D">
        <w:rPr>
          <w:rFonts w:ascii="Tw Cen MT Condensed" w:hAnsi="Tw Cen MT Condensed"/>
          <w:sz w:val="28"/>
          <w:szCs w:val="28"/>
        </w:rPr>
        <w:t xml:space="preserve"> or workplace environmental </w:t>
      </w:r>
      <w:r w:rsidR="00A81C5D" w:rsidRPr="00611B1B">
        <w:rPr>
          <w:rFonts w:ascii="Tw Cen MT Condensed" w:hAnsi="Tw Cen MT Condensed"/>
          <w:sz w:val="28"/>
          <w:szCs w:val="28"/>
        </w:rPr>
        <w:t>hazards</w:t>
      </w:r>
      <w:r w:rsidRPr="00611B1B">
        <w:rPr>
          <w:rFonts w:ascii="Tw Cen MT Condensed" w:hAnsi="Tw Cen MT Condensed"/>
          <w:sz w:val="28"/>
          <w:szCs w:val="28"/>
        </w:rPr>
        <w:t>, such as</w:t>
      </w:r>
      <w:r w:rsidR="00A81C5D">
        <w:rPr>
          <w:rFonts w:ascii="Tw Cen MT Condensed" w:hAnsi="Tw Cen MT Condensed"/>
          <w:sz w:val="28"/>
          <w:szCs w:val="28"/>
        </w:rPr>
        <w:t xml:space="preserve"> poor indoor air quality resulting from micro</w:t>
      </w:r>
      <w:r w:rsidR="008323BD">
        <w:rPr>
          <w:rFonts w:ascii="Tw Cen MT Condensed" w:hAnsi="Tw Cen MT Condensed"/>
          <w:sz w:val="28"/>
          <w:szCs w:val="28"/>
        </w:rPr>
        <w:t xml:space="preserve">biological </w:t>
      </w:r>
      <w:r w:rsidR="00A81C5D">
        <w:rPr>
          <w:rFonts w:ascii="Tw Cen MT Condensed" w:hAnsi="Tw Cen MT Condensed"/>
          <w:sz w:val="28"/>
          <w:szCs w:val="28"/>
        </w:rPr>
        <w:t>(</w:t>
      </w:r>
      <w:r w:rsidR="00A81C5D" w:rsidRPr="00611B1B">
        <w:rPr>
          <w:rFonts w:ascii="Tw Cen MT Condensed" w:hAnsi="Tw Cen MT Condensed"/>
          <w:sz w:val="28"/>
          <w:szCs w:val="28"/>
        </w:rPr>
        <w:t>mold</w:t>
      </w:r>
      <w:r w:rsidR="00A81C5D">
        <w:rPr>
          <w:rFonts w:ascii="Tw Cen MT Condensed" w:hAnsi="Tw Cen MT Condensed"/>
          <w:sz w:val="28"/>
          <w:szCs w:val="28"/>
        </w:rPr>
        <w:t xml:space="preserve"> and</w:t>
      </w:r>
      <w:r w:rsidR="00A81C5D" w:rsidRPr="00611B1B">
        <w:rPr>
          <w:rFonts w:ascii="Tw Cen MT Condensed" w:hAnsi="Tw Cen MT Condensed"/>
          <w:sz w:val="28"/>
          <w:szCs w:val="28"/>
        </w:rPr>
        <w:t xml:space="preserve"> fungus</w:t>
      </w:r>
      <w:r w:rsidR="00A81C5D">
        <w:rPr>
          <w:rFonts w:ascii="Tw Cen MT Condensed" w:hAnsi="Tw Cen MT Condensed"/>
          <w:sz w:val="28"/>
          <w:szCs w:val="28"/>
        </w:rPr>
        <w:t xml:space="preserve">) </w:t>
      </w:r>
      <w:r w:rsidR="003010A5">
        <w:rPr>
          <w:rFonts w:ascii="Tw Cen MT Condensed" w:hAnsi="Tw Cen MT Condensed"/>
          <w:sz w:val="28"/>
          <w:szCs w:val="28"/>
        </w:rPr>
        <w:t>growth.</w:t>
      </w:r>
      <w:r w:rsidR="003010A5">
        <w:rPr>
          <w:rFonts w:ascii="Tw Cen MT Condensed" w:hAnsi="Tw Cen MT Condensed"/>
          <w:sz w:val="28"/>
          <w:szCs w:val="28"/>
          <w:vertAlign w:val="superscript"/>
        </w:rPr>
        <w:t>2</w:t>
      </w:r>
      <w:r w:rsidR="003010A5">
        <w:rPr>
          <w:rFonts w:ascii="Tw Cen MT Condensed" w:hAnsi="Tw Cen MT Condensed"/>
          <w:sz w:val="28"/>
          <w:szCs w:val="28"/>
        </w:rPr>
        <w:t xml:space="preserve"> </w:t>
      </w:r>
      <w:r w:rsidR="003010A5" w:rsidRPr="00611B1B">
        <w:rPr>
          <w:rFonts w:ascii="Tw Cen MT Condensed" w:hAnsi="Tw Cen MT Condensed"/>
          <w:sz w:val="28"/>
          <w:szCs w:val="28"/>
        </w:rPr>
        <w:t>These</w:t>
      </w:r>
      <w:r w:rsidR="00A81C5D">
        <w:rPr>
          <w:rFonts w:ascii="Tw Cen MT Condensed" w:hAnsi="Tw Cen MT Condensed"/>
          <w:sz w:val="28"/>
          <w:szCs w:val="28"/>
        </w:rPr>
        <w:t xml:space="preserve"> exposures present</w:t>
      </w:r>
      <w:r w:rsidRPr="00611B1B">
        <w:rPr>
          <w:rFonts w:ascii="Tw Cen MT Condensed" w:hAnsi="Tw Cen MT Condensed"/>
          <w:sz w:val="28"/>
          <w:szCs w:val="28"/>
        </w:rPr>
        <w:t xml:space="preserve"> </w:t>
      </w:r>
      <w:r w:rsidR="00A81C5D">
        <w:rPr>
          <w:rFonts w:ascii="Tw Cen MT Condensed" w:hAnsi="Tw Cen MT Condensed"/>
          <w:sz w:val="28"/>
          <w:szCs w:val="28"/>
        </w:rPr>
        <w:t xml:space="preserve">occupational health and </w:t>
      </w:r>
      <w:r w:rsidRPr="00611B1B">
        <w:rPr>
          <w:rFonts w:ascii="Tw Cen MT Condensed" w:hAnsi="Tw Cen MT Condensed"/>
          <w:sz w:val="28"/>
          <w:szCs w:val="28"/>
        </w:rPr>
        <w:t>safety hazards to workers</w:t>
      </w:r>
      <w:r w:rsidR="008323BD">
        <w:rPr>
          <w:rFonts w:ascii="Tw Cen MT Condensed" w:hAnsi="Tw Cen MT Condensed"/>
          <w:sz w:val="28"/>
          <w:szCs w:val="28"/>
        </w:rPr>
        <w:t xml:space="preserve"> that can result in acute injuries as well as</w:t>
      </w:r>
      <w:r w:rsidRPr="00611B1B">
        <w:rPr>
          <w:rFonts w:ascii="Tw Cen MT Condensed" w:hAnsi="Tw Cen MT Condensed"/>
          <w:sz w:val="28"/>
          <w:szCs w:val="28"/>
        </w:rPr>
        <w:t xml:space="preserve"> </w:t>
      </w:r>
      <w:r w:rsidR="00A81C5D">
        <w:rPr>
          <w:rFonts w:ascii="Tw Cen MT Condensed" w:hAnsi="Tw Cen MT Condensed"/>
          <w:sz w:val="28"/>
          <w:szCs w:val="28"/>
        </w:rPr>
        <w:t xml:space="preserve">acute or chronic </w:t>
      </w:r>
      <w:r w:rsidRPr="00611B1B">
        <w:rPr>
          <w:rFonts w:ascii="Tw Cen MT Condensed" w:hAnsi="Tw Cen MT Condensed"/>
          <w:sz w:val="28"/>
          <w:szCs w:val="28"/>
        </w:rPr>
        <w:t>respiratory, allergenic</w:t>
      </w:r>
      <w:r w:rsidR="004D1542">
        <w:rPr>
          <w:rFonts w:ascii="Tw Cen MT Condensed" w:hAnsi="Tw Cen MT Condensed"/>
          <w:sz w:val="28"/>
          <w:szCs w:val="28"/>
        </w:rPr>
        <w:t>,</w:t>
      </w:r>
      <w:r w:rsidRPr="00611B1B">
        <w:rPr>
          <w:rFonts w:ascii="Tw Cen MT Condensed" w:hAnsi="Tw Cen MT Condensed"/>
          <w:sz w:val="28"/>
          <w:szCs w:val="28"/>
        </w:rPr>
        <w:t xml:space="preserve"> and other types of illnesses. </w:t>
      </w:r>
    </w:p>
    <w:p w:rsidR="00A33D64" w:rsidRDefault="00E364FD" w:rsidP="00496CED">
      <w:pPr>
        <w:rPr>
          <w:rFonts w:ascii="Tw Cen MT Condensed" w:hAnsi="Tw Cen MT Condensed"/>
          <w:sz w:val="28"/>
          <w:szCs w:val="28"/>
        </w:rPr>
      </w:pPr>
      <w:r w:rsidRPr="00611B1B">
        <w:rPr>
          <w:rFonts w:ascii="Tw Cen MT Condensed" w:hAnsi="Tw Cen MT Condensed"/>
          <w:sz w:val="28"/>
          <w:szCs w:val="28"/>
        </w:rPr>
        <w:t xml:space="preserve">In order to assess the status of </w:t>
      </w:r>
      <w:r w:rsidR="00A81C5D">
        <w:rPr>
          <w:rFonts w:ascii="Tw Cen MT Condensed" w:hAnsi="Tw Cen MT Condensed"/>
          <w:sz w:val="28"/>
          <w:szCs w:val="28"/>
        </w:rPr>
        <w:t>such</w:t>
      </w:r>
      <w:r w:rsidRPr="00611B1B">
        <w:rPr>
          <w:rFonts w:ascii="Tw Cen MT Condensed" w:hAnsi="Tw Cen MT Condensed"/>
          <w:sz w:val="28"/>
          <w:szCs w:val="28"/>
        </w:rPr>
        <w:t xml:space="preserve"> injuries and illnesses affecting Maine workers</w:t>
      </w:r>
      <w:r w:rsidR="00D059E0" w:rsidRPr="00611B1B">
        <w:rPr>
          <w:rFonts w:ascii="Tw Cen MT Condensed" w:hAnsi="Tw Cen MT Condensed"/>
          <w:sz w:val="28"/>
          <w:szCs w:val="28"/>
        </w:rPr>
        <w:t>,</w:t>
      </w:r>
      <w:r w:rsidRPr="00611B1B">
        <w:rPr>
          <w:rFonts w:ascii="Tw Cen MT Condensed" w:hAnsi="Tw Cen MT Condensed"/>
          <w:sz w:val="28"/>
          <w:szCs w:val="28"/>
        </w:rPr>
        <w:t xml:space="preserve"> the Research and Statistics Unit (R&amp;S) of BLS conducted this study in collaboration w</w:t>
      </w:r>
      <w:r w:rsidR="00176419">
        <w:rPr>
          <w:rFonts w:ascii="Tw Cen MT Condensed" w:hAnsi="Tw Cen MT Condensed"/>
          <w:sz w:val="28"/>
          <w:szCs w:val="28"/>
        </w:rPr>
        <w:t>ith the Workplace S</w:t>
      </w:r>
      <w:r w:rsidRPr="00611B1B">
        <w:rPr>
          <w:rFonts w:ascii="Tw Cen MT Condensed" w:hAnsi="Tw Cen MT Condensed"/>
          <w:sz w:val="28"/>
          <w:szCs w:val="28"/>
        </w:rPr>
        <w:t>afety</w:t>
      </w:r>
      <w:r w:rsidR="00176419">
        <w:rPr>
          <w:rFonts w:ascii="Tw Cen MT Condensed" w:hAnsi="Tw Cen MT Condensed"/>
          <w:sz w:val="28"/>
          <w:szCs w:val="28"/>
        </w:rPr>
        <w:t xml:space="preserve"> and H</w:t>
      </w:r>
      <w:r w:rsidR="00A81C5D">
        <w:rPr>
          <w:rFonts w:ascii="Tw Cen MT Condensed" w:hAnsi="Tw Cen MT Condensed"/>
          <w:sz w:val="28"/>
          <w:szCs w:val="28"/>
        </w:rPr>
        <w:t>ealth</w:t>
      </w:r>
      <w:r w:rsidR="00176419">
        <w:rPr>
          <w:rFonts w:ascii="Tw Cen MT Condensed" w:hAnsi="Tw Cen MT Condensed"/>
          <w:sz w:val="28"/>
          <w:szCs w:val="28"/>
        </w:rPr>
        <w:t xml:space="preserve"> D</w:t>
      </w:r>
      <w:r w:rsidRPr="00611B1B">
        <w:rPr>
          <w:rFonts w:ascii="Tw Cen MT Condensed" w:hAnsi="Tw Cen MT Condensed"/>
          <w:sz w:val="28"/>
          <w:szCs w:val="28"/>
        </w:rPr>
        <w:t>ivision of BLS.  The objective of the study w</w:t>
      </w:r>
      <w:r w:rsidR="00A543D8" w:rsidRPr="00611B1B">
        <w:rPr>
          <w:rFonts w:ascii="Tw Cen MT Condensed" w:hAnsi="Tw Cen MT Condensed"/>
          <w:sz w:val="28"/>
          <w:szCs w:val="28"/>
        </w:rPr>
        <w:t>as</w:t>
      </w:r>
      <w:r w:rsidRPr="00611B1B">
        <w:rPr>
          <w:rFonts w:ascii="Tw Cen MT Condensed" w:hAnsi="Tw Cen MT Condensed"/>
          <w:sz w:val="28"/>
          <w:szCs w:val="28"/>
        </w:rPr>
        <w:t xml:space="preserve"> to</w:t>
      </w:r>
      <w:r w:rsidR="00A543D8" w:rsidRPr="00611B1B">
        <w:rPr>
          <w:rFonts w:ascii="Tw Cen MT Condensed" w:hAnsi="Tw Cen MT Condensed"/>
          <w:sz w:val="28"/>
          <w:szCs w:val="28"/>
        </w:rPr>
        <w:t xml:space="preserve"> i</w:t>
      </w:r>
      <w:r w:rsidRPr="00611B1B">
        <w:rPr>
          <w:rFonts w:ascii="Tw Cen MT Condensed" w:hAnsi="Tw Cen MT Condensed"/>
          <w:sz w:val="28"/>
          <w:szCs w:val="28"/>
        </w:rPr>
        <w:t>dentify the nature</w:t>
      </w:r>
      <w:r w:rsidR="00A81C5D">
        <w:rPr>
          <w:rFonts w:ascii="Tw Cen MT Condensed" w:hAnsi="Tw Cen MT Condensed"/>
          <w:sz w:val="28"/>
          <w:szCs w:val="28"/>
        </w:rPr>
        <w:t xml:space="preserve"> and extent</w:t>
      </w:r>
      <w:r w:rsidRPr="00611B1B">
        <w:rPr>
          <w:rFonts w:ascii="Tw Cen MT Condensed" w:hAnsi="Tw Cen MT Condensed"/>
          <w:sz w:val="28"/>
          <w:szCs w:val="28"/>
        </w:rPr>
        <w:t xml:space="preserve"> </w:t>
      </w:r>
      <w:r w:rsidR="00A81C5D">
        <w:rPr>
          <w:rFonts w:ascii="Tw Cen MT Condensed" w:hAnsi="Tw Cen MT Condensed"/>
          <w:sz w:val="28"/>
          <w:szCs w:val="28"/>
        </w:rPr>
        <w:t>these exposures</w:t>
      </w:r>
      <w:r w:rsidR="00A543D8" w:rsidRPr="00611B1B">
        <w:rPr>
          <w:rFonts w:ascii="Tw Cen MT Condensed" w:hAnsi="Tw Cen MT Condensed"/>
          <w:sz w:val="28"/>
          <w:szCs w:val="28"/>
        </w:rPr>
        <w:t xml:space="preserve"> so that </w:t>
      </w:r>
      <w:r w:rsidR="00176419">
        <w:rPr>
          <w:rFonts w:ascii="Tw Cen MT Condensed" w:hAnsi="Tw Cen MT Condensed"/>
          <w:sz w:val="28"/>
          <w:szCs w:val="28"/>
        </w:rPr>
        <w:t>BLS staff</w:t>
      </w:r>
      <w:r w:rsidR="00A81C5D">
        <w:rPr>
          <w:rFonts w:ascii="Tw Cen MT Condensed" w:hAnsi="Tw Cen MT Condensed"/>
          <w:sz w:val="28"/>
          <w:szCs w:val="28"/>
        </w:rPr>
        <w:t xml:space="preserve"> and other health and safety professionals </w:t>
      </w:r>
      <w:r w:rsidR="00A543D8" w:rsidRPr="00611B1B">
        <w:rPr>
          <w:rFonts w:ascii="Tw Cen MT Condensed" w:hAnsi="Tw Cen MT Condensed"/>
          <w:sz w:val="28"/>
          <w:szCs w:val="28"/>
        </w:rPr>
        <w:t>can d</w:t>
      </w:r>
      <w:r w:rsidRPr="00611B1B">
        <w:rPr>
          <w:rFonts w:ascii="Tw Cen MT Condensed" w:hAnsi="Tw Cen MT Condensed"/>
          <w:sz w:val="28"/>
          <w:szCs w:val="28"/>
        </w:rPr>
        <w:t>etermine how best to</w:t>
      </w:r>
      <w:r w:rsidR="00E40109">
        <w:rPr>
          <w:rFonts w:ascii="Tw Cen MT Condensed" w:hAnsi="Tw Cen MT Condensed"/>
          <w:sz w:val="28"/>
          <w:szCs w:val="28"/>
        </w:rPr>
        <w:t xml:space="preserve"> </w:t>
      </w:r>
      <w:r w:rsidR="00A81C5D">
        <w:rPr>
          <w:rFonts w:ascii="Tw Cen MT Condensed" w:hAnsi="Tw Cen MT Condensed"/>
          <w:sz w:val="28"/>
          <w:szCs w:val="28"/>
        </w:rPr>
        <w:t>approach</w:t>
      </w:r>
      <w:r w:rsidRPr="00611B1B">
        <w:rPr>
          <w:rFonts w:ascii="Tw Cen MT Condensed" w:hAnsi="Tw Cen MT Condensed"/>
          <w:sz w:val="28"/>
          <w:szCs w:val="28"/>
        </w:rPr>
        <w:t xml:space="preserve"> them in order to improve workplace conditions for Maine workers.</w:t>
      </w:r>
    </w:p>
    <w:p w:rsidR="00A33D64" w:rsidRDefault="00A33D64">
      <w:pPr>
        <w:spacing w:after="0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br w:type="page"/>
      </w:r>
    </w:p>
    <w:p w:rsidR="00E364FD" w:rsidRPr="001D653C" w:rsidRDefault="00E364FD" w:rsidP="00F74019">
      <w:pPr>
        <w:pStyle w:val="Heading2"/>
        <w:rPr>
          <w:szCs w:val="36"/>
        </w:rPr>
      </w:pPr>
      <w:r w:rsidRPr="001D653C">
        <w:rPr>
          <w:szCs w:val="36"/>
        </w:rPr>
        <w:lastRenderedPageBreak/>
        <w:t>METHODOLOGY</w:t>
      </w:r>
    </w:p>
    <w:p w:rsidR="004A61CA" w:rsidRDefault="00E364FD" w:rsidP="00E364FD">
      <w:pPr>
        <w:rPr>
          <w:rFonts w:ascii="Tw Cen MT Condensed" w:hAnsi="Tw Cen MT Condensed"/>
          <w:sz w:val="28"/>
          <w:szCs w:val="28"/>
        </w:rPr>
      </w:pPr>
      <w:r w:rsidRPr="00611B1B">
        <w:rPr>
          <w:rFonts w:ascii="Tw Cen MT Condensed" w:hAnsi="Tw Cen MT Condensed"/>
          <w:sz w:val="28"/>
          <w:szCs w:val="28"/>
        </w:rPr>
        <w:t xml:space="preserve">R&amp;S extracted data </w:t>
      </w:r>
      <w:r w:rsidR="004A61CA">
        <w:rPr>
          <w:rFonts w:ascii="Tw Cen MT Condensed" w:hAnsi="Tw Cen MT Condensed"/>
          <w:sz w:val="28"/>
          <w:szCs w:val="28"/>
        </w:rPr>
        <w:t>from the</w:t>
      </w:r>
      <w:r w:rsidR="004D1542">
        <w:rPr>
          <w:rFonts w:ascii="Tw Cen MT Condensed" w:hAnsi="Tw Cen MT Condensed"/>
          <w:sz w:val="28"/>
          <w:szCs w:val="28"/>
        </w:rPr>
        <w:t xml:space="preserve"> W</w:t>
      </w:r>
      <w:r w:rsidR="004A61CA">
        <w:rPr>
          <w:rFonts w:ascii="Tw Cen MT Condensed" w:hAnsi="Tw Cen MT Condensed"/>
          <w:sz w:val="28"/>
          <w:szCs w:val="28"/>
        </w:rPr>
        <w:t>orkers</w:t>
      </w:r>
      <w:r w:rsidR="004D1542">
        <w:rPr>
          <w:rFonts w:ascii="Tw Cen MT Condensed" w:hAnsi="Tw Cen MT Condensed"/>
          <w:sz w:val="28"/>
          <w:szCs w:val="28"/>
        </w:rPr>
        <w:t>’ C</w:t>
      </w:r>
      <w:r w:rsidR="00182E5D" w:rsidRPr="00611B1B">
        <w:rPr>
          <w:rFonts w:ascii="Tw Cen MT Condensed" w:hAnsi="Tw Cen MT Condensed"/>
          <w:sz w:val="28"/>
          <w:szCs w:val="28"/>
        </w:rPr>
        <w:t xml:space="preserve">ompensation claims database </w:t>
      </w:r>
      <w:r w:rsidRPr="00611B1B">
        <w:rPr>
          <w:rFonts w:ascii="Tw Cen MT Condensed" w:hAnsi="Tw Cen MT Condensed"/>
          <w:sz w:val="28"/>
          <w:szCs w:val="28"/>
        </w:rPr>
        <w:t>for</w:t>
      </w:r>
      <w:r w:rsidR="004A61CA">
        <w:rPr>
          <w:rFonts w:ascii="Tw Cen MT Condensed" w:hAnsi="Tw Cen MT Condensed"/>
          <w:sz w:val="28"/>
          <w:szCs w:val="28"/>
        </w:rPr>
        <w:t xml:space="preserve"> </w:t>
      </w:r>
      <w:r w:rsidRPr="00611B1B">
        <w:rPr>
          <w:rFonts w:ascii="Tw Cen MT Condensed" w:hAnsi="Tw Cen MT Condensed"/>
          <w:sz w:val="28"/>
          <w:szCs w:val="28"/>
        </w:rPr>
        <w:t xml:space="preserve">injuries and illnesses </w:t>
      </w:r>
      <w:r w:rsidR="00182E5D" w:rsidRPr="00611B1B">
        <w:rPr>
          <w:rFonts w:ascii="Tw Cen MT Condensed" w:hAnsi="Tw Cen MT Condensed"/>
          <w:sz w:val="28"/>
          <w:szCs w:val="28"/>
        </w:rPr>
        <w:t>that occurred during</w:t>
      </w:r>
      <w:r w:rsidRPr="00611B1B">
        <w:rPr>
          <w:rFonts w:ascii="Tw Cen MT Condensed" w:hAnsi="Tw Cen MT Condensed"/>
          <w:sz w:val="28"/>
          <w:szCs w:val="28"/>
        </w:rPr>
        <w:t xml:space="preserve"> 2012</w:t>
      </w:r>
      <w:r w:rsidR="00182E5D" w:rsidRPr="00611B1B">
        <w:rPr>
          <w:rFonts w:ascii="Tw Cen MT Condensed" w:hAnsi="Tw Cen MT Condensed"/>
          <w:sz w:val="28"/>
          <w:szCs w:val="28"/>
        </w:rPr>
        <w:t xml:space="preserve"> and </w:t>
      </w:r>
      <w:r w:rsidRPr="00611B1B">
        <w:rPr>
          <w:rFonts w:ascii="Tw Cen MT Condensed" w:hAnsi="Tw Cen MT Condensed"/>
          <w:sz w:val="28"/>
          <w:szCs w:val="28"/>
        </w:rPr>
        <w:t>2013</w:t>
      </w:r>
      <w:r w:rsidR="00182E5D" w:rsidRPr="00611B1B">
        <w:rPr>
          <w:rFonts w:ascii="Tw Cen MT Condensed" w:hAnsi="Tw Cen MT Condensed"/>
          <w:sz w:val="28"/>
          <w:szCs w:val="28"/>
        </w:rPr>
        <w:t>.  These</w:t>
      </w:r>
      <w:r w:rsidR="00A33D64">
        <w:rPr>
          <w:rFonts w:ascii="Tw Cen MT Condensed" w:hAnsi="Tw Cen MT Condensed"/>
          <w:sz w:val="28"/>
          <w:szCs w:val="28"/>
        </w:rPr>
        <w:t xml:space="preserve"> are limited to 406 </w:t>
      </w:r>
      <w:r w:rsidR="007E3C6C">
        <w:rPr>
          <w:rFonts w:ascii="Tw Cen MT Condensed" w:hAnsi="Tw Cen MT Condensed"/>
          <w:sz w:val="28"/>
          <w:szCs w:val="28"/>
        </w:rPr>
        <w:t>incidents</w:t>
      </w:r>
      <w:r w:rsidR="007C0734">
        <w:rPr>
          <w:rFonts w:ascii="Tw Cen MT Condensed" w:hAnsi="Tw Cen MT Condensed"/>
          <w:sz w:val="28"/>
          <w:szCs w:val="28"/>
        </w:rPr>
        <w:t>, which</w:t>
      </w:r>
      <w:r w:rsidR="00A33D64">
        <w:rPr>
          <w:rFonts w:ascii="Tw Cen MT Condensed" w:hAnsi="Tw Cen MT Condensed"/>
          <w:sz w:val="28"/>
          <w:szCs w:val="28"/>
        </w:rPr>
        <w:t xml:space="preserve"> </w:t>
      </w:r>
      <w:r w:rsidR="007C0734">
        <w:rPr>
          <w:rFonts w:ascii="Tw Cen MT Condensed" w:hAnsi="Tw Cen MT Condensed"/>
          <w:sz w:val="28"/>
          <w:szCs w:val="28"/>
        </w:rPr>
        <w:t>comprise</w:t>
      </w:r>
      <w:r w:rsidR="004A61CA">
        <w:rPr>
          <w:rFonts w:ascii="Tw Cen MT Condensed" w:hAnsi="Tw Cen MT Condensed"/>
          <w:sz w:val="28"/>
          <w:szCs w:val="28"/>
        </w:rPr>
        <w:t xml:space="preserve"> the more serious (lost-time)</w:t>
      </w:r>
      <w:r w:rsidR="004A61CA" w:rsidRPr="00611B1B">
        <w:rPr>
          <w:rFonts w:ascii="Tw Cen MT Condensed" w:hAnsi="Tw Cen MT Condensed"/>
          <w:sz w:val="28"/>
          <w:szCs w:val="28"/>
        </w:rPr>
        <w:t xml:space="preserve"> </w:t>
      </w:r>
      <w:r w:rsidRPr="00611B1B">
        <w:rPr>
          <w:rFonts w:ascii="Tw Cen MT Condensed" w:hAnsi="Tw Cen MT Condensed"/>
          <w:sz w:val="28"/>
          <w:szCs w:val="28"/>
        </w:rPr>
        <w:t xml:space="preserve">injuries or illnesses that resulted </w:t>
      </w:r>
      <w:r w:rsidR="00D059E0" w:rsidRPr="00611B1B">
        <w:rPr>
          <w:rFonts w:ascii="Tw Cen MT Condensed" w:hAnsi="Tw Cen MT Condensed"/>
          <w:sz w:val="28"/>
          <w:szCs w:val="28"/>
        </w:rPr>
        <w:t>from</w:t>
      </w:r>
      <w:r w:rsidR="004A61CA">
        <w:rPr>
          <w:rFonts w:ascii="Tw Cen MT Condensed" w:hAnsi="Tw Cen MT Condensed"/>
          <w:sz w:val="28"/>
          <w:szCs w:val="28"/>
        </w:rPr>
        <w:t xml:space="preserve"> worker exposure to hazardous chemicals or adverse environmental/microbiological conditions</w:t>
      </w:r>
      <w:r w:rsidRPr="00611B1B">
        <w:rPr>
          <w:rFonts w:ascii="Tw Cen MT Condensed" w:hAnsi="Tw Cen MT Condensed"/>
          <w:sz w:val="28"/>
          <w:szCs w:val="28"/>
        </w:rPr>
        <w:t xml:space="preserve">. </w:t>
      </w:r>
      <w:r w:rsidR="00323F66">
        <w:rPr>
          <w:rFonts w:ascii="Tw Cen MT Condensed" w:hAnsi="Tw Cen MT Condensed"/>
          <w:sz w:val="28"/>
          <w:szCs w:val="28"/>
        </w:rPr>
        <w:t xml:space="preserve"> </w:t>
      </w:r>
      <w:r w:rsidR="00A33D64">
        <w:rPr>
          <w:rFonts w:ascii="Tw Cen MT Condensed" w:hAnsi="Tw Cen MT Condensed"/>
          <w:sz w:val="28"/>
          <w:szCs w:val="28"/>
        </w:rPr>
        <w:t>N</w:t>
      </w:r>
      <w:r w:rsidR="004A61CA">
        <w:rPr>
          <w:rFonts w:ascii="Tw Cen MT Condensed" w:hAnsi="Tw Cen MT Condensed"/>
          <w:sz w:val="28"/>
          <w:szCs w:val="28"/>
        </w:rPr>
        <w:t xml:space="preserve">on-lost time injuries </w:t>
      </w:r>
      <w:r w:rsidR="00323F66">
        <w:rPr>
          <w:rFonts w:ascii="Tw Cen MT Condensed" w:hAnsi="Tw Cen MT Condensed"/>
          <w:sz w:val="28"/>
          <w:szCs w:val="28"/>
        </w:rPr>
        <w:t>are</w:t>
      </w:r>
      <w:r w:rsidR="004A61CA">
        <w:rPr>
          <w:rFonts w:ascii="Tw Cen MT Condensed" w:hAnsi="Tw Cen MT Condensed"/>
          <w:sz w:val="28"/>
          <w:szCs w:val="28"/>
        </w:rPr>
        <w:t xml:space="preserve"> not included in the study as the</w:t>
      </w:r>
      <w:r w:rsidR="007C0734">
        <w:rPr>
          <w:rFonts w:ascii="Tw Cen MT Condensed" w:hAnsi="Tw Cen MT Condensed"/>
          <w:sz w:val="28"/>
          <w:szCs w:val="28"/>
        </w:rPr>
        <w:t>ir</w:t>
      </w:r>
      <w:r w:rsidR="004A61CA">
        <w:rPr>
          <w:rFonts w:ascii="Tw Cen MT Condensed" w:hAnsi="Tw Cen MT Condensed"/>
          <w:sz w:val="28"/>
          <w:szCs w:val="28"/>
        </w:rPr>
        <w:t xml:space="preserve"> data </w:t>
      </w:r>
      <w:r w:rsidR="007C0734">
        <w:rPr>
          <w:rFonts w:ascii="Tw Cen MT Condensed" w:hAnsi="Tw Cen MT Condensed"/>
          <w:sz w:val="28"/>
          <w:szCs w:val="28"/>
        </w:rPr>
        <w:t xml:space="preserve">are </w:t>
      </w:r>
      <w:r w:rsidR="00323F66">
        <w:rPr>
          <w:rFonts w:ascii="Tw Cen MT Condensed" w:hAnsi="Tw Cen MT Condensed"/>
          <w:sz w:val="28"/>
          <w:szCs w:val="28"/>
        </w:rPr>
        <w:t>for</w:t>
      </w:r>
      <w:r w:rsidR="007C0734">
        <w:rPr>
          <w:rFonts w:ascii="Tw Cen MT Condensed" w:hAnsi="Tw Cen MT Condensed"/>
          <w:sz w:val="28"/>
          <w:szCs w:val="28"/>
        </w:rPr>
        <w:t xml:space="preserve"> some cases less complete </w:t>
      </w:r>
      <w:r w:rsidR="00323F66">
        <w:rPr>
          <w:rFonts w:ascii="Tw Cen MT Condensed" w:hAnsi="Tw Cen MT Condensed"/>
          <w:sz w:val="28"/>
          <w:szCs w:val="28"/>
        </w:rPr>
        <w:t xml:space="preserve">because of </w:t>
      </w:r>
      <w:r w:rsidR="007C0734">
        <w:rPr>
          <w:rFonts w:ascii="Tw Cen MT Condensed" w:hAnsi="Tw Cen MT Condensed"/>
          <w:sz w:val="28"/>
          <w:szCs w:val="28"/>
        </w:rPr>
        <w:t>limited need for</w:t>
      </w:r>
      <w:r w:rsidR="00323F66">
        <w:rPr>
          <w:rFonts w:ascii="Tw Cen MT Condensed" w:hAnsi="Tw Cen MT Condensed"/>
          <w:sz w:val="28"/>
          <w:szCs w:val="28"/>
        </w:rPr>
        <w:t xml:space="preserve"> injury </w:t>
      </w:r>
      <w:r w:rsidR="007C0734">
        <w:rPr>
          <w:rFonts w:ascii="Tw Cen MT Condensed" w:hAnsi="Tw Cen MT Condensed"/>
          <w:sz w:val="28"/>
          <w:szCs w:val="28"/>
        </w:rPr>
        <w:t>detail and</w:t>
      </w:r>
      <w:r w:rsidR="009B4B32">
        <w:rPr>
          <w:rFonts w:ascii="Tw Cen MT Condensed" w:hAnsi="Tw Cen MT Condensed"/>
          <w:sz w:val="28"/>
          <w:szCs w:val="28"/>
        </w:rPr>
        <w:t xml:space="preserve"> </w:t>
      </w:r>
      <w:r w:rsidR="007C0734">
        <w:rPr>
          <w:rFonts w:ascii="Tw Cen MT Condensed" w:hAnsi="Tw Cen MT Condensed"/>
          <w:sz w:val="28"/>
          <w:szCs w:val="28"/>
        </w:rPr>
        <w:t xml:space="preserve">administrative </w:t>
      </w:r>
      <w:r w:rsidR="009B4B32">
        <w:rPr>
          <w:rFonts w:ascii="Tw Cen MT Condensed" w:hAnsi="Tw Cen MT Condensed"/>
          <w:sz w:val="28"/>
          <w:szCs w:val="28"/>
        </w:rPr>
        <w:t>follow-</w:t>
      </w:r>
      <w:r w:rsidR="004A61CA">
        <w:rPr>
          <w:rFonts w:ascii="Tw Cen MT Condensed" w:hAnsi="Tw Cen MT Condensed"/>
          <w:sz w:val="28"/>
          <w:szCs w:val="28"/>
        </w:rPr>
        <w:t xml:space="preserve">up on </w:t>
      </w:r>
      <w:r w:rsidR="007C0734">
        <w:rPr>
          <w:rFonts w:ascii="Tw Cen MT Condensed" w:hAnsi="Tw Cen MT Condensed"/>
          <w:sz w:val="28"/>
          <w:szCs w:val="28"/>
        </w:rPr>
        <w:t>those kinds of injuries</w:t>
      </w:r>
      <w:r w:rsidR="009B4B32">
        <w:rPr>
          <w:rFonts w:ascii="Tw Cen MT Condensed" w:hAnsi="Tw Cen MT Condensed"/>
          <w:sz w:val="28"/>
          <w:szCs w:val="28"/>
        </w:rPr>
        <w:t xml:space="preserve"> and </w:t>
      </w:r>
      <w:r w:rsidR="004A61CA">
        <w:rPr>
          <w:rFonts w:ascii="Tw Cen MT Condensed" w:hAnsi="Tw Cen MT Condensed"/>
          <w:sz w:val="28"/>
          <w:szCs w:val="28"/>
        </w:rPr>
        <w:t>outcomes.</w:t>
      </w:r>
    </w:p>
    <w:p w:rsidR="00523F83" w:rsidRDefault="00E364FD" w:rsidP="00E364FD">
      <w:pPr>
        <w:rPr>
          <w:rFonts w:ascii="Tw Cen MT Condensed" w:hAnsi="Tw Cen MT Condensed"/>
          <w:sz w:val="28"/>
          <w:szCs w:val="28"/>
        </w:rPr>
      </w:pPr>
      <w:r w:rsidRPr="00611B1B">
        <w:rPr>
          <w:rFonts w:ascii="Tw Cen MT Condensed" w:hAnsi="Tw Cen MT Condensed"/>
          <w:sz w:val="28"/>
          <w:szCs w:val="28"/>
        </w:rPr>
        <w:t xml:space="preserve">R&amp;S </w:t>
      </w:r>
      <w:r w:rsidR="00E027C0" w:rsidRPr="00611B1B">
        <w:rPr>
          <w:rFonts w:ascii="Tw Cen MT Condensed" w:hAnsi="Tw Cen MT Condensed"/>
          <w:sz w:val="28"/>
          <w:szCs w:val="28"/>
        </w:rPr>
        <w:t>tabulated and</w:t>
      </w:r>
      <w:r w:rsidRPr="00611B1B">
        <w:rPr>
          <w:rFonts w:ascii="Tw Cen MT Condensed" w:hAnsi="Tw Cen MT Condensed"/>
          <w:sz w:val="28"/>
          <w:szCs w:val="28"/>
        </w:rPr>
        <w:t xml:space="preserve"> analyzed </w:t>
      </w:r>
      <w:r w:rsidR="00182E5D" w:rsidRPr="00611B1B">
        <w:rPr>
          <w:rFonts w:ascii="Tw Cen MT Condensed" w:hAnsi="Tw Cen MT Condensed"/>
          <w:sz w:val="28"/>
          <w:szCs w:val="28"/>
        </w:rPr>
        <w:t xml:space="preserve">the </w:t>
      </w:r>
      <w:r w:rsidRPr="00611B1B">
        <w:rPr>
          <w:rFonts w:ascii="Tw Cen MT Condensed" w:hAnsi="Tw Cen MT Condensed"/>
          <w:sz w:val="28"/>
          <w:szCs w:val="28"/>
        </w:rPr>
        <w:t xml:space="preserve">coded elements </w:t>
      </w:r>
      <w:r w:rsidR="00E027C0" w:rsidRPr="00611B1B">
        <w:rPr>
          <w:rFonts w:ascii="Tw Cen MT Condensed" w:hAnsi="Tw Cen MT Condensed"/>
          <w:sz w:val="28"/>
          <w:szCs w:val="28"/>
        </w:rPr>
        <w:t xml:space="preserve">(as discussed below) </w:t>
      </w:r>
      <w:r w:rsidR="00182E5D" w:rsidRPr="00611B1B">
        <w:rPr>
          <w:rFonts w:ascii="Tw Cen MT Condensed" w:hAnsi="Tw Cen MT Condensed"/>
          <w:sz w:val="28"/>
          <w:szCs w:val="28"/>
        </w:rPr>
        <w:t>and</w:t>
      </w:r>
      <w:r w:rsidRPr="00611B1B">
        <w:rPr>
          <w:rFonts w:ascii="Tw Cen MT Condensed" w:hAnsi="Tw Cen MT Condensed"/>
          <w:sz w:val="28"/>
          <w:szCs w:val="28"/>
        </w:rPr>
        <w:t xml:space="preserve"> </w:t>
      </w:r>
      <w:r w:rsidR="00D059E0" w:rsidRPr="00611B1B">
        <w:rPr>
          <w:rFonts w:ascii="Tw Cen MT Condensed" w:hAnsi="Tw Cen MT Condensed"/>
          <w:sz w:val="28"/>
          <w:szCs w:val="28"/>
        </w:rPr>
        <w:t xml:space="preserve">also </w:t>
      </w:r>
      <w:r w:rsidRPr="00611B1B">
        <w:rPr>
          <w:rFonts w:ascii="Tw Cen MT Condensed" w:hAnsi="Tw Cen MT Condensed"/>
          <w:sz w:val="28"/>
          <w:szCs w:val="28"/>
        </w:rPr>
        <w:t xml:space="preserve">reviewed any descriptive narratives </w:t>
      </w:r>
      <w:r w:rsidR="00E027C0" w:rsidRPr="00611B1B">
        <w:rPr>
          <w:rFonts w:ascii="Tw Cen MT Condensed" w:hAnsi="Tw Cen MT Condensed"/>
          <w:sz w:val="28"/>
          <w:szCs w:val="28"/>
        </w:rPr>
        <w:t>in each</w:t>
      </w:r>
      <w:r w:rsidR="004A61CA">
        <w:rPr>
          <w:rFonts w:ascii="Tw Cen MT Condensed" w:hAnsi="Tw Cen MT Condensed"/>
          <w:sz w:val="28"/>
          <w:szCs w:val="28"/>
        </w:rPr>
        <w:t xml:space="preserve"> claim</w:t>
      </w:r>
      <w:r w:rsidR="00E027C0" w:rsidRPr="00611B1B">
        <w:rPr>
          <w:rFonts w:ascii="Tw Cen MT Condensed" w:hAnsi="Tw Cen MT Condensed"/>
          <w:sz w:val="28"/>
          <w:szCs w:val="28"/>
        </w:rPr>
        <w:t xml:space="preserve"> to </w:t>
      </w:r>
      <w:r w:rsidRPr="00611B1B">
        <w:rPr>
          <w:rFonts w:ascii="Tw Cen MT Condensed" w:hAnsi="Tw Cen MT Condensed"/>
          <w:sz w:val="28"/>
          <w:szCs w:val="28"/>
        </w:rPr>
        <w:t>clarify the coded data.  R&amp;S</w:t>
      </w:r>
      <w:r w:rsidR="00C827AA" w:rsidRPr="00611B1B">
        <w:rPr>
          <w:rFonts w:ascii="Tw Cen MT Condensed" w:hAnsi="Tw Cen MT Condensed"/>
          <w:sz w:val="28"/>
          <w:szCs w:val="28"/>
        </w:rPr>
        <w:t xml:space="preserve"> </w:t>
      </w:r>
      <w:r w:rsidR="00725F90">
        <w:rPr>
          <w:rFonts w:ascii="Tw Cen MT Condensed" w:hAnsi="Tw Cen MT Condensed"/>
          <w:sz w:val="28"/>
          <w:szCs w:val="28"/>
        </w:rPr>
        <w:t xml:space="preserve">also </w:t>
      </w:r>
      <w:r w:rsidR="00D059E0" w:rsidRPr="00611B1B">
        <w:rPr>
          <w:rFonts w:ascii="Tw Cen MT Condensed" w:hAnsi="Tw Cen MT Condensed"/>
          <w:sz w:val="28"/>
          <w:szCs w:val="28"/>
        </w:rPr>
        <w:t>analyzed data</w:t>
      </w:r>
      <w:r w:rsidRPr="00611B1B">
        <w:rPr>
          <w:rFonts w:ascii="Tw Cen MT Condensed" w:hAnsi="Tw Cen MT Condensed"/>
          <w:sz w:val="28"/>
          <w:szCs w:val="28"/>
        </w:rPr>
        <w:t xml:space="preserve"> values and trends specific to </w:t>
      </w:r>
      <w:r w:rsidR="00D059E0" w:rsidRPr="00611B1B">
        <w:rPr>
          <w:rFonts w:ascii="Tw Cen MT Condensed" w:hAnsi="Tw Cen MT Condensed"/>
          <w:sz w:val="28"/>
          <w:szCs w:val="28"/>
        </w:rPr>
        <w:t xml:space="preserve">public and private </w:t>
      </w:r>
      <w:r w:rsidR="00E6589C" w:rsidRPr="00611B1B">
        <w:rPr>
          <w:rFonts w:ascii="Tw Cen MT Condensed" w:hAnsi="Tw Cen MT Condensed"/>
          <w:sz w:val="28"/>
          <w:szCs w:val="28"/>
        </w:rPr>
        <w:t>employers’</w:t>
      </w:r>
      <w:r w:rsidR="00D059E0" w:rsidRPr="00611B1B">
        <w:rPr>
          <w:rFonts w:ascii="Tw Cen MT Condensed" w:hAnsi="Tw Cen MT Condensed"/>
          <w:sz w:val="28"/>
          <w:szCs w:val="28"/>
        </w:rPr>
        <w:t xml:space="preserve"> workplaces</w:t>
      </w:r>
      <w:r w:rsidR="00E6589C" w:rsidRPr="00611B1B">
        <w:rPr>
          <w:rFonts w:ascii="Tw Cen MT Condensed" w:hAnsi="Tw Cen MT Condensed"/>
          <w:sz w:val="28"/>
          <w:szCs w:val="28"/>
        </w:rPr>
        <w:t xml:space="preserve">, </w:t>
      </w:r>
      <w:r w:rsidRPr="00611B1B">
        <w:rPr>
          <w:rFonts w:ascii="Tw Cen MT Condensed" w:hAnsi="Tw Cen MT Condensed"/>
          <w:sz w:val="28"/>
          <w:szCs w:val="28"/>
        </w:rPr>
        <w:t>worker occupations, and employer industries.</w:t>
      </w:r>
      <w:r w:rsidR="00E027C0" w:rsidRPr="00611B1B">
        <w:rPr>
          <w:rFonts w:ascii="Tw Cen MT Condensed" w:hAnsi="Tw Cen MT Condensed"/>
          <w:sz w:val="28"/>
          <w:szCs w:val="28"/>
        </w:rPr>
        <w:t xml:space="preserve">  </w:t>
      </w:r>
    </w:p>
    <w:p w:rsidR="00E3041E" w:rsidRDefault="007C0734" w:rsidP="00E364FD">
      <w:pPr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 xml:space="preserve">Finally, R&amp;S tabulated and analyzed cost data </w:t>
      </w:r>
      <w:r w:rsidR="00323F66">
        <w:rPr>
          <w:rFonts w:ascii="Tw Cen MT Condensed" w:hAnsi="Tw Cen MT Condensed"/>
          <w:sz w:val="28"/>
          <w:szCs w:val="28"/>
        </w:rPr>
        <w:t>related</w:t>
      </w:r>
      <w:r>
        <w:rPr>
          <w:rFonts w:ascii="Tw Cen MT Condensed" w:hAnsi="Tw Cen MT Condensed"/>
          <w:sz w:val="28"/>
          <w:szCs w:val="28"/>
        </w:rPr>
        <w:t xml:space="preserve"> to the 2012</w:t>
      </w:r>
      <w:r w:rsidR="003010A5">
        <w:rPr>
          <w:rFonts w:ascii="Tw Cen MT Condensed" w:hAnsi="Tw Cen MT Condensed"/>
          <w:sz w:val="28"/>
          <w:szCs w:val="28"/>
        </w:rPr>
        <w:t>–</w:t>
      </w:r>
      <w:r>
        <w:rPr>
          <w:rFonts w:ascii="Tw Cen MT Condensed" w:hAnsi="Tw Cen MT Condensed"/>
          <w:sz w:val="28"/>
          <w:szCs w:val="28"/>
        </w:rPr>
        <w:t>2013 claims for both private</w:t>
      </w:r>
      <w:r w:rsidR="004D1542">
        <w:rPr>
          <w:rFonts w:ascii="Tw Cen MT Condensed" w:hAnsi="Tw Cen MT Condensed"/>
          <w:sz w:val="28"/>
          <w:szCs w:val="28"/>
        </w:rPr>
        <w:t>-</w:t>
      </w:r>
      <w:r>
        <w:rPr>
          <w:rFonts w:ascii="Tw Cen MT Condensed" w:hAnsi="Tw Cen MT Condensed"/>
          <w:sz w:val="28"/>
          <w:szCs w:val="28"/>
        </w:rPr>
        <w:t xml:space="preserve"> and public</w:t>
      </w:r>
      <w:r w:rsidR="004D1542">
        <w:rPr>
          <w:rFonts w:ascii="Tw Cen MT Condensed" w:hAnsi="Tw Cen MT Condensed"/>
          <w:sz w:val="28"/>
          <w:szCs w:val="28"/>
        </w:rPr>
        <w:t>-</w:t>
      </w:r>
      <w:r>
        <w:rPr>
          <w:rFonts w:ascii="Tw Cen MT Condensed" w:hAnsi="Tw Cen MT Condensed"/>
          <w:sz w:val="28"/>
          <w:szCs w:val="28"/>
        </w:rPr>
        <w:t xml:space="preserve"> sector industries.  Reporting of the cost analysis is </w:t>
      </w:r>
      <w:r w:rsidR="00323F66">
        <w:rPr>
          <w:rFonts w:ascii="Tw Cen MT Condensed" w:hAnsi="Tw Cen MT Condensed"/>
          <w:sz w:val="28"/>
          <w:szCs w:val="28"/>
        </w:rPr>
        <w:t xml:space="preserve">limited </w:t>
      </w:r>
      <w:r>
        <w:rPr>
          <w:rFonts w:ascii="Tw Cen MT Condensed" w:hAnsi="Tw Cen MT Condensed"/>
          <w:sz w:val="28"/>
          <w:szCs w:val="28"/>
        </w:rPr>
        <w:t>to aggregates of 10 or more incidents in order to protect the privacy of affected workers and employers.</w:t>
      </w:r>
    </w:p>
    <w:p w:rsidR="00176419" w:rsidRDefault="00BD4D26" w:rsidP="00E364FD">
      <w:pPr>
        <w:rPr>
          <w:rFonts w:ascii="Tw Cen MT Condensed" w:hAnsi="Tw Cen MT Condensed"/>
          <w:sz w:val="28"/>
          <w:szCs w:val="28"/>
        </w:rPr>
      </w:pPr>
      <w:r w:rsidRPr="00BD4D26">
        <w:rPr>
          <w:rFonts w:ascii="Tw Cen MT Condensed" w:hAnsi="Tw Cen MT Condensed"/>
          <w:sz w:val="28"/>
          <w:szCs w:val="28"/>
          <w:u w:val="single"/>
        </w:rPr>
        <w:t>Note</w:t>
      </w:r>
      <w:r>
        <w:rPr>
          <w:rFonts w:ascii="Tw Cen MT Condensed" w:hAnsi="Tw Cen MT Condensed"/>
          <w:sz w:val="28"/>
          <w:szCs w:val="28"/>
        </w:rPr>
        <w:t>:  N</w:t>
      </w:r>
      <w:r w:rsidR="00176419">
        <w:rPr>
          <w:rFonts w:ascii="Tw Cen MT Condensed" w:hAnsi="Tw Cen MT Condensed"/>
          <w:sz w:val="28"/>
          <w:szCs w:val="28"/>
        </w:rPr>
        <w:t xml:space="preserve">ot all cases involving smoke inhalation </w:t>
      </w:r>
      <w:r w:rsidR="00313CA8">
        <w:rPr>
          <w:rFonts w:ascii="Tw Cen MT Condensed" w:hAnsi="Tw Cen MT Condensed"/>
          <w:sz w:val="28"/>
          <w:szCs w:val="28"/>
        </w:rPr>
        <w:t xml:space="preserve">are </w:t>
      </w:r>
      <w:r w:rsidR="00CF2E92">
        <w:rPr>
          <w:rFonts w:ascii="Tw Cen MT Condensed" w:hAnsi="Tw Cen MT Condensed"/>
          <w:sz w:val="28"/>
          <w:szCs w:val="28"/>
        </w:rPr>
        <w:t xml:space="preserve">included in </w:t>
      </w:r>
      <w:r w:rsidR="00313CA8">
        <w:rPr>
          <w:rFonts w:ascii="Tw Cen MT Condensed" w:hAnsi="Tw Cen MT Condensed"/>
          <w:sz w:val="28"/>
          <w:szCs w:val="28"/>
        </w:rPr>
        <w:t>this report</w:t>
      </w:r>
      <w:r w:rsidR="00176419">
        <w:rPr>
          <w:rFonts w:ascii="Tw Cen MT Condensed" w:hAnsi="Tw Cen MT Condensed"/>
          <w:sz w:val="28"/>
          <w:szCs w:val="28"/>
        </w:rPr>
        <w:t xml:space="preserve">.  </w:t>
      </w:r>
      <w:r>
        <w:rPr>
          <w:rFonts w:ascii="Tw Cen MT Condensed" w:hAnsi="Tw Cen MT Condensed"/>
          <w:sz w:val="28"/>
          <w:szCs w:val="28"/>
        </w:rPr>
        <w:t>I</w:t>
      </w:r>
      <w:r w:rsidR="00CF2E92">
        <w:rPr>
          <w:rFonts w:ascii="Tw Cen MT Condensed" w:hAnsi="Tw Cen MT Condensed"/>
          <w:sz w:val="28"/>
          <w:szCs w:val="28"/>
        </w:rPr>
        <w:t xml:space="preserve">njuries and illnesses from </w:t>
      </w:r>
      <w:r w:rsidR="00176419">
        <w:rPr>
          <w:rFonts w:ascii="Tw Cen MT Condensed" w:hAnsi="Tw Cen MT Condensed"/>
          <w:sz w:val="28"/>
          <w:szCs w:val="28"/>
        </w:rPr>
        <w:t>poor indoor air quality caused by incidental smoke from external sources, such as cigarettes or compromised ventilation systems</w:t>
      </w:r>
      <w:r>
        <w:rPr>
          <w:rFonts w:ascii="Tw Cen MT Condensed" w:hAnsi="Tw Cen MT Condensed"/>
          <w:sz w:val="28"/>
          <w:szCs w:val="28"/>
        </w:rPr>
        <w:t xml:space="preserve"> are included</w:t>
      </w:r>
      <w:r w:rsidR="00176419">
        <w:rPr>
          <w:rFonts w:ascii="Tw Cen MT Condensed" w:hAnsi="Tw Cen MT Condensed"/>
          <w:sz w:val="28"/>
          <w:szCs w:val="28"/>
        </w:rPr>
        <w:t>, but</w:t>
      </w:r>
      <w:r w:rsidR="00313CA8">
        <w:rPr>
          <w:rFonts w:ascii="Tw Cen MT Condensed" w:hAnsi="Tw Cen MT Condensed"/>
          <w:sz w:val="28"/>
          <w:szCs w:val="28"/>
        </w:rPr>
        <w:t xml:space="preserve"> smoke-related</w:t>
      </w:r>
      <w:r w:rsidR="00176419">
        <w:rPr>
          <w:rFonts w:ascii="Tw Cen MT Condensed" w:hAnsi="Tw Cen MT Condensed"/>
          <w:sz w:val="28"/>
          <w:szCs w:val="28"/>
        </w:rPr>
        <w:t xml:space="preserve"> </w:t>
      </w:r>
      <w:r>
        <w:rPr>
          <w:rFonts w:ascii="Tw Cen MT Condensed" w:hAnsi="Tw Cen MT Condensed"/>
          <w:sz w:val="28"/>
          <w:szCs w:val="28"/>
        </w:rPr>
        <w:t>injuries or illnesses</w:t>
      </w:r>
      <w:r w:rsidR="00CF2E92">
        <w:rPr>
          <w:rFonts w:ascii="Tw Cen MT Condensed" w:hAnsi="Tw Cen MT Condensed"/>
          <w:sz w:val="28"/>
          <w:szCs w:val="28"/>
        </w:rPr>
        <w:t xml:space="preserve"> from</w:t>
      </w:r>
      <w:r w:rsidR="00313CA8">
        <w:rPr>
          <w:rFonts w:ascii="Tw Cen MT Condensed" w:hAnsi="Tw Cen MT Condensed"/>
          <w:sz w:val="28"/>
          <w:szCs w:val="28"/>
        </w:rPr>
        <w:t xml:space="preserve"> firefighting</w:t>
      </w:r>
      <w:r w:rsidR="00176419">
        <w:rPr>
          <w:rFonts w:ascii="Tw Cen MT Condensed" w:hAnsi="Tw Cen MT Condensed"/>
          <w:sz w:val="28"/>
          <w:szCs w:val="28"/>
        </w:rPr>
        <w:t xml:space="preserve"> or responding to</w:t>
      </w:r>
      <w:r>
        <w:rPr>
          <w:rFonts w:ascii="Tw Cen MT Condensed" w:hAnsi="Tw Cen MT Condensed"/>
          <w:sz w:val="28"/>
          <w:szCs w:val="28"/>
        </w:rPr>
        <w:t xml:space="preserve"> incipient</w:t>
      </w:r>
      <w:r w:rsidR="00176419">
        <w:rPr>
          <w:rFonts w:ascii="Tw Cen MT Condensed" w:hAnsi="Tw Cen MT Condensed"/>
          <w:sz w:val="28"/>
          <w:szCs w:val="28"/>
        </w:rPr>
        <w:t xml:space="preserve"> fires</w:t>
      </w:r>
      <w:r w:rsidR="00313CA8">
        <w:rPr>
          <w:rFonts w:ascii="Tw Cen MT Condensed" w:hAnsi="Tw Cen MT Condensed"/>
          <w:sz w:val="28"/>
          <w:szCs w:val="28"/>
        </w:rPr>
        <w:t xml:space="preserve"> are not</w:t>
      </w:r>
      <w:r>
        <w:rPr>
          <w:rFonts w:ascii="Tw Cen MT Condensed" w:hAnsi="Tw Cen MT Condensed"/>
          <w:sz w:val="28"/>
          <w:szCs w:val="28"/>
        </w:rPr>
        <w:t xml:space="preserve">. </w:t>
      </w:r>
      <w:r w:rsidR="00313CA8">
        <w:rPr>
          <w:rFonts w:ascii="Tw Cen MT Condensed" w:hAnsi="Tw Cen MT Condensed"/>
          <w:sz w:val="28"/>
          <w:szCs w:val="28"/>
        </w:rPr>
        <w:t xml:space="preserve"> S</w:t>
      </w:r>
      <w:r>
        <w:rPr>
          <w:rFonts w:ascii="Tw Cen MT Condensed" w:hAnsi="Tw Cen MT Condensed"/>
          <w:sz w:val="28"/>
          <w:szCs w:val="28"/>
        </w:rPr>
        <w:t>moke in fire-response</w:t>
      </w:r>
      <w:r w:rsidR="00313CA8">
        <w:rPr>
          <w:rFonts w:ascii="Tw Cen MT Condensed" w:hAnsi="Tw Cen MT Condensed"/>
          <w:sz w:val="28"/>
          <w:szCs w:val="28"/>
        </w:rPr>
        <w:t xml:space="preserve"> setting</w:t>
      </w:r>
      <w:r>
        <w:rPr>
          <w:rFonts w:ascii="Tw Cen MT Condensed" w:hAnsi="Tw Cen MT Condensed"/>
          <w:sz w:val="28"/>
          <w:szCs w:val="28"/>
        </w:rPr>
        <w:t xml:space="preserve"> is</w:t>
      </w:r>
      <w:r w:rsidR="00CF2E92">
        <w:rPr>
          <w:rFonts w:ascii="Tw Cen MT Condensed" w:hAnsi="Tw Cen MT Condensed"/>
          <w:sz w:val="28"/>
          <w:szCs w:val="28"/>
        </w:rPr>
        <w:t xml:space="preserve"> </w:t>
      </w:r>
      <w:r w:rsidR="00313CA8">
        <w:rPr>
          <w:rFonts w:ascii="Tw Cen MT Condensed" w:hAnsi="Tw Cen MT Condensed"/>
          <w:sz w:val="28"/>
          <w:szCs w:val="28"/>
        </w:rPr>
        <w:t xml:space="preserve">not </w:t>
      </w:r>
      <w:r w:rsidR="00CF2E92">
        <w:rPr>
          <w:rFonts w:ascii="Tw Cen MT Condensed" w:hAnsi="Tw Cen MT Condensed"/>
          <w:sz w:val="28"/>
          <w:szCs w:val="28"/>
        </w:rPr>
        <w:t xml:space="preserve">typically </w:t>
      </w:r>
      <w:r>
        <w:rPr>
          <w:rFonts w:ascii="Tw Cen MT Condensed" w:hAnsi="Tw Cen MT Condensed"/>
          <w:sz w:val="28"/>
          <w:szCs w:val="28"/>
        </w:rPr>
        <w:t xml:space="preserve">regarded as a </w:t>
      </w:r>
      <w:r w:rsidR="003C0CC1">
        <w:rPr>
          <w:rFonts w:ascii="Tw Cen MT Condensed" w:hAnsi="Tw Cen MT Condensed"/>
          <w:sz w:val="28"/>
          <w:szCs w:val="28"/>
        </w:rPr>
        <w:t>“</w:t>
      </w:r>
      <w:r w:rsidR="00DB65EF">
        <w:rPr>
          <w:rFonts w:ascii="Tw Cen MT Condensed" w:hAnsi="Tw Cen MT Condensed"/>
          <w:sz w:val="28"/>
          <w:szCs w:val="28"/>
        </w:rPr>
        <w:t>workplace chemical” source</w:t>
      </w:r>
      <w:r w:rsidR="004D1542">
        <w:rPr>
          <w:rFonts w:ascii="Tw Cen MT Condensed" w:hAnsi="Tw Cen MT Condensed"/>
          <w:sz w:val="28"/>
          <w:szCs w:val="28"/>
        </w:rPr>
        <w:t>,</w:t>
      </w:r>
      <w:r w:rsidR="003C0CC1">
        <w:rPr>
          <w:rFonts w:ascii="Tw Cen MT Condensed" w:hAnsi="Tw Cen MT Condensed"/>
          <w:sz w:val="28"/>
          <w:szCs w:val="28"/>
        </w:rPr>
        <w:t xml:space="preserve"> and</w:t>
      </w:r>
      <w:r w:rsidR="004D1542">
        <w:rPr>
          <w:rFonts w:ascii="Tw Cen MT Condensed" w:hAnsi="Tw Cen MT Condensed"/>
          <w:sz w:val="28"/>
          <w:szCs w:val="28"/>
        </w:rPr>
        <w:t>,</w:t>
      </w:r>
      <w:r w:rsidR="00313CA8">
        <w:rPr>
          <w:rFonts w:ascii="Tw Cen MT Condensed" w:hAnsi="Tw Cen MT Condensed"/>
          <w:sz w:val="28"/>
          <w:szCs w:val="28"/>
        </w:rPr>
        <w:t xml:space="preserve"> since</w:t>
      </w:r>
      <w:r w:rsidR="00CF2E92">
        <w:rPr>
          <w:rFonts w:ascii="Tw Cen MT Condensed" w:hAnsi="Tw Cen MT Condensed"/>
          <w:sz w:val="28"/>
          <w:szCs w:val="28"/>
        </w:rPr>
        <w:t xml:space="preserve"> th</w:t>
      </w:r>
      <w:r>
        <w:rPr>
          <w:rFonts w:ascii="Tw Cen MT Condensed" w:hAnsi="Tw Cen MT Condensed"/>
          <w:sz w:val="28"/>
          <w:szCs w:val="28"/>
        </w:rPr>
        <w:t>o</w:t>
      </w:r>
      <w:r w:rsidR="00CF2E92">
        <w:rPr>
          <w:rFonts w:ascii="Tw Cen MT Condensed" w:hAnsi="Tw Cen MT Condensed"/>
          <w:sz w:val="28"/>
          <w:szCs w:val="28"/>
        </w:rPr>
        <w:t xml:space="preserve">se </w:t>
      </w:r>
      <w:r w:rsidR="003C0CC1">
        <w:rPr>
          <w:rFonts w:ascii="Tw Cen MT Condensed" w:hAnsi="Tw Cen MT Condensed"/>
          <w:sz w:val="28"/>
          <w:szCs w:val="28"/>
        </w:rPr>
        <w:t>cases</w:t>
      </w:r>
      <w:r w:rsidR="00CF2E92">
        <w:rPr>
          <w:rFonts w:ascii="Tw Cen MT Condensed" w:hAnsi="Tw Cen MT Condensed"/>
          <w:sz w:val="28"/>
          <w:szCs w:val="28"/>
        </w:rPr>
        <w:t xml:space="preserve"> are</w:t>
      </w:r>
      <w:r w:rsidR="003C0CC1">
        <w:rPr>
          <w:rFonts w:ascii="Tw Cen MT Condensed" w:hAnsi="Tw Cen MT Condensed"/>
          <w:sz w:val="28"/>
          <w:szCs w:val="28"/>
        </w:rPr>
        <w:t xml:space="preserve"> more</w:t>
      </w:r>
      <w:r w:rsidR="00CF2E92">
        <w:rPr>
          <w:rFonts w:ascii="Tw Cen MT Condensed" w:hAnsi="Tw Cen MT Condensed"/>
          <w:sz w:val="28"/>
          <w:szCs w:val="28"/>
        </w:rPr>
        <w:t xml:space="preserve"> appropriately grouped and studied with other firefighting</w:t>
      </w:r>
      <w:r w:rsidR="003C0CC1">
        <w:rPr>
          <w:rFonts w:ascii="Tw Cen MT Condensed" w:hAnsi="Tw Cen MT Condensed"/>
          <w:sz w:val="28"/>
          <w:szCs w:val="28"/>
        </w:rPr>
        <w:t>-related</w:t>
      </w:r>
      <w:r w:rsidR="00CF2E92">
        <w:rPr>
          <w:rFonts w:ascii="Tw Cen MT Condensed" w:hAnsi="Tw Cen MT Condensed"/>
          <w:sz w:val="28"/>
          <w:szCs w:val="28"/>
        </w:rPr>
        <w:t xml:space="preserve"> injuries and illnesses</w:t>
      </w:r>
      <w:r w:rsidR="00313CA8">
        <w:rPr>
          <w:rFonts w:ascii="Tw Cen MT Condensed" w:hAnsi="Tw Cen MT Condensed"/>
          <w:sz w:val="28"/>
          <w:szCs w:val="28"/>
        </w:rPr>
        <w:t>, they are not included in this report</w:t>
      </w:r>
      <w:r w:rsidR="00CF2E92">
        <w:rPr>
          <w:rFonts w:ascii="Tw Cen MT Condensed" w:hAnsi="Tw Cen MT Condensed"/>
          <w:sz w:val="28"/>
          <w:szCs w:val="28"/>
        </w:rPr>
        <w:t>.</w:t>
      </w:r>
      <w:r w:rsidR="00313CA8">
        <w:rPr>
          <w:rFonts w:ascii="Tw Cen MT Condensed" w:hAnsi="Tw Cen MT Condensed"/>
          <w:sz w:val="28"/>
          <w:szCs w:val="28"/>
        </w:rPr>
        <w:t xml:space="preserve"> </w:t>
      </w:r>
      <w:r w:rsidR="00313CA8" w:rsidRPr="00313CA8">
        <w:rPr>
          <w:rFonts w:ascii="Tw Cen MT Condensed" w:hAnsi="Tw Cen MT Condensed"/>
          <w:sz w:val="28"/>
          <w:szCs w:val="28"/>
        </w:rPr>
        <w:t xml:space="preserve"> </w:t>
      </w:r>
      <w:r w:rsidR="00313CA8">
        <w:rPr>
          <w:rFonts w:ascii="Tw Cen MT Condensed" w:hAnsi="Tw Cen MT Condensed"/>
          <w:sz w:val="28"/>
          <w:szCs w:val="28"/>
        </w:rPr>
        <w:t xml:space="preserve">There were 18 such fire-response incidents in 2012 and 2013. </w:t>
      </w:r>
    </w:p>
    <w:p w:rsidR="00E364FD" w:rsidRPr="00145C30" w:rsidRDefault="00E364FD" w:rsidP="00F74019">
      <w:pPr>
        <w:pStyle w:val="Heading2"/>
      </w:pPr>
      <w:r w:rsidRPr="00145C30">
        <w:t>CODING OF CLAIMS</w:t>
      </w:r>
    </w:p>
    <w:p w:rsidR="00E364FD" w:rsidRPr="00611B1B" w:rsidRDefault="00A543D8" w:rsidP="00E364FD">
      <w:pPr>
        <w:rPr>
          <w:rFonts w:ascii="Tw Cen MT Condensed" w:hAnsi="Tw Cen MT Condensed"/>
          <w:sz w:val="28"/>
          <w:szCs w:val="28"/>
        </w:rPr>
      </w:pPr>
      <w:r w:rsidRPr="00611B1B">
        <w:rPr>
          <w:rFonts w:ascii="Tw Cen MT Condensed" w:hAnsi="Tw Cen MT Condensed"/>
          <w:sz w:val="28"/>
          <w:szCs w:val="28"/>
        </w:rPr>
        <w:t xml:space="preserve">When </w:t>
      </w:r>
      <w:r w:rsidR="004D1542">
        <w:rPr>
          <w:rFonts w:ascii="Tw Cen MT Condensed" w:hAnsi="Tw Cen MT Condensed"/>
          <w:sz w:val="28"/>
          <w:szCs w:val="28"/>
        </w:rPr>
        <w:t>W</w:t>
      </w:r>
      <w:r w:rsidRPr="00611B1B">
        <w:rPr>
          <w:rFonts w:ascii="Tw Cen MT Condensed" w:hAnsi="Tw Cen MT Condensed"/>
          <w:sz w:val="28"/>
          <w:szCs w:val="28"/>
        </w:rPr>
        <w:t>orkers</w:t>
      </w:r>
      <w:r w:rsidR="004D1542">
        <w:rPr>
          <w:rFonts w:ascii="Tw Cen MT Condensed" w:hAnsi="Tw Cen MT Condensed"/>
          <w:sz w:val="28"/>
          <w:szCs w:val="28"/>
        </w:rPr>
        <w:t>’ C</w:t>
      </w:r>
      <w:r w:rsidRPr="00611B1B">
        <w:rPr>
          <w:rFonts w:ascii="Tw Cen MT Condensed" w:hAnsi="Tw Cen MT Condensed"/>
          <w:sz w:val="28"/>
          <w:szCs w:val="28"/>
        </w:rPr>
        <w:t>ompensation reports are filed</w:t>
      </w:r>
      <w:r w:rsidR="004D1542">
        <w:rPr>
          <w:rFonts w:ascii="Tw Cen MT Condensed" w:hAnsi="Tw Cen MT Condensed"/>
          <w:sz w:val="28"/>
          <w:szCs w:val="28"/>
        </w:rPr>
        <w:t xml:space="preserve">, </w:t>
      </w:r>
      <w:r w:rsidRPr="00611B1B">
        <w:rPr>
          <w:rFonts w:ascii="Tw Cen MT Condensed" w:hAnsi="Tw Cen MT Condensed"/>
          <w:sz w:val="28"/>
          <w:szCs w:val="28"/>
        </w:rPr>
        <w:t xml:space="preserve">much of </w:t>
      </w:r>
      <w:r w:rsidR="00F61633" w:rsidRPr="00611B1B">
        <w:rPr>
          <w:rFonts w:ascii="Tw Cen MT Condensed" w:hAnsi="Tw Cen MT Condensed"/>
          <w:sz w:val="28"/>
          <w:szCs w:val="28"/>
        </w:rPr>
        <w:t>th</w:t>
      </w:r>
      <w:r w:rsidR="00F61633">
        <w:rPr>
          <w:rFonts w:ascii="Tw Cen MT Condensed" w:hAnsi="Tw Cen MT Condensed"/>
          <w:sz w:val="28"/>
          <w:szCs w:val="28"/>
        </w:rPr>
        <w:t>eir</w:t>
      </w:r>
      <w:r w:rsidRPr="00611B1B">
        <w:rPr>
          <w:rFonts w:ascii="Tw Cen MT Condensed" w:hAnsi="Tw Cen MT Condensed"/>
          <w:sz w:val="28"/>
          <w:szCs w:val="28"/>
        </w:rPr>
        <w:t xml:space="preserve"> information</w:t>
      </w:r>
      <w:r w:rsidR="004A61CA">
        <w:rPr>
          <w:rFonts w:ascii="Tw Cen MT Condensed" w:hAnsi="Tw Cen MT Condensed"/>
          <w:sz w:val="28"/>
          <w:szCs w:val="28"/>
        </w:rPr>
        <w:t xml:space="preserve"> is further “coded” into a data</w:t>
      </w:r>
      <w:r w:rsidRPr="00611B1B">
        <w:rPr>
          <w:rFonts w:ascii="Tw Cen MT Condensed" w:hAnsi="Tw Cen MT Condensed"/>
          <w:sz w:val="28"/>
          <w:szCs w:val="28"/>
        </w:rPr>
        <w:t xml:space="preserve">base so that </w:t>
      </w:r>
      <w:r w:rsidR="00725F90">
        <w:rPr>
          <w:rFonts w:ascii="Tw Cen MT Condensed" w:hAnsi="Tw Cen MT Condensed"/>
          <w:sz w:val="28"/>
          <w:szCs w:val="28"/>
        </w:rPr>
        <w:t xml:space="preserve">state </w:t>
      </w:r>
      <w:r w:rsidRPr="00611B1B">
        <w:rPr>
          <w:rFonts w:ascii="Tw Cen MT Condensed" w:hAnsi="Tw Cen MT Condensed"/>
          <w:sz w:val="28"/>
          <w:szCs w:val="28"/>
        </w:rPr>
        <w:t xml:space="preserve">agencies can better </w:t>
      </w:r>
      <w:r w:rsidR="009B4B32" w:rsidRPr="00611B1B">
        <w:rPr>
          <w:rFonts w:ascii="Tw Cen MT Condensed" w:hAnsi="Tw Cen MT Condensed"/>
          <w:sz w:val="28"/>
          <w:szCs w:val="28"/>
        </w:rPr>
        <w:t>retrieve</w:t>
      </w:r>
      <w:r w:rsidR="004C18E7">
        <w:rPr>
          <w:rFonts w:ascii="Tw Cen MT Condensed" w:hAnsi="Tw Cen MT Condensed"/>
          <w:sz w:val="28"/>
          <w:szCs w:val="28"/>
        </w:rPr>
        <w:t>, analyze</w:t>
      </w:r>
      <w:r w:rsidR="004D1542">
        <w:rPr>
          <w:rFonts w:ascii="Tw Cen MT Condensed" w:hAnsi="Tw Cen MT Condensed"/>
          <w:sz w:val="28"/>
          <w:szCs w:val="28"/>
        </w:rPr>
        <w:t>,</w:t>
      </w:r>
      <w:r w:rsidR="009B4B32" w:rsidRPr="00611B1B">
        <w:rPr>
          <w:rFonts w:ascii="Tw Cen MT Condensed" w:hAnsi="Tw Cen MT Condensed"/>
          <w:sz w:val="28"/>
          <w:szCs w:val="28"/>
        </w:rPr>
        <w:t xml:space="preserve"> </w:t>
      </w:r>
      <w:r w:rsidR="009B4B32">
        <w:rPr>
          <w:rFonts w:ascii="Tw Cen MT Condensed" w:hAnsi="Tw Cen MT Condensed"/>
          <w:sz w:val="28"/>
          <w:szCs w:val="28"/>
        </w:rPr>
        <w:t xml:space="preserve">and </w:t>
      </w:r>
      <w:r w:rsidRPr="00611B1B">
        <w:rPr>
          <w:rFonts w:ascii="Tw Cen MT Condensed" w:hAnsi="Tw Cen MT Condensed"/>
          <w:sz w:val="28"/>
          <w:szCs w:val="28"/>
        </w:rPr>
        <w:t>manage the information.  This study is made possible by the retrieval of the coded data as</w:t>
      </w:r>
      <w:r w:rsidR="00E40109">
        <w:rPr>
          <w:rFonts w:ascii="Tw Cen MT Condensed" w:hAnsi="Tw Cen MT Condensed"/>
          <w:sz w:val="28"/>
          <w:szCs w:val="28"/>
        </w:rPr>
        <w:t xml:space="preserve"> they relate</w:t>
      </w:r>
      <w:r w:rsidRPr="00611B1B">
        <w:rPr>
          <w:rFonts w:ascii="Tw Cen MT Condensed" w:hAnsi="Tw Cen MT Condensed"/>
          <w:sz w:val="28"/>
          <w:szCs w:val="28"/>
        </w:rPr>
        <w:t xml:space="preserve"> to injuries and illnesses from </w:t>
      </w:r>
      <w:r w:rsidR="009B4B32">
        <w:rPr>
          <w:rFonts w:ascii="Tw Cen MT Condensed" w:hAnsi="Tw Cen MT Condensed"/>
          <w:sz w:val="28"/>
          <w:szCs w:val="28"/>
        </w:rPr>
        <w:t>exposures as explained above</w:t>
      </w:r>
      <w:r w:rsidRPr="00611B1B">
        <w:rPr>
          <w:rFonts w:ascii="Tw Cen MT Condensed" w:hAnsi="Tw Cen MT Condensed"/>
          <w:sz w:val="28"/>
          <w:szCs w:val="28"/>
        </w:rPr>
        <w:t xml:space="preserve">.  </w:t>
      </w:r>
      <w:r w:rsidR="00E364FD" w:rsidRPr="00611B1B">
        <w:rPr>
          <w:rFonts w:ascii="Tw Cen MT Condensed" w:hAnsi="Tw Cen MT Condensed"/>
          <w:sz w:val="28"/>
          <w:szCs w:val="28"/>
        </w:rPr>
        <w:t xml:space="preserve">  </w:t>
      </w:r>
      <w:r w:rsidR="004C18E7">
        <w:rPr>
          <w:rFonts w:ascii="Tw Cen MT Condensed" w:hAnsi="Tw Cen MT Condensed"/>
          <w:sz w:val="28"/>
          <w:szCs w:val="28"/>
        </w:rPr>
        <w:t xml:space="preserve">The </w:t>
      </w:r>
      <w:r w:rsidR="004C18E7" w:rsidRPr="00611B1B">
        <w:rPr>
          <w:rFonts w:ascii="Tw Cen MT Condensed" w:hAnsi="Tw Cen MT Condensed"/>
          <w:sz w:val="28"/>
          <w:szCs w:val="28"/>
        </w:rPr>
        <w:t>descriptions</w:t>
      </w:r>
      <w:r w:rsidR="004C18E7">
        <w:rPr>
          <w:rFonts w:ascii="Tw Cen MT Condensed" w:hAnsi="Tw Cen MT Condensed"/>
          <w:sz w:val="28"/>
          <w:szCs w:val="28"/>
        </w:rPr>
        <w:t xml:space="preserve"> of</w:t>
      </w:r>
      <w:r w:rsidR="004C18E7" w:rsidRPr="00611B1B">
        <w:rPr>
          <w:rFonts w:ascii="Tw Cen MT Condensed" w:hAnsi="Tw Cen MT Condensed"/>
          <w:sz w:val="28"/>
          <w:szCs w:val="28"/>
        </w:rPr>
        <w:t xml:space="preserve"> </w:t>
      </w:r>
      <w:r w:rsidR="004C18E7" w:rsidRPr="00725F90">
        <w:rPr>
          <w:rFonts w:ascii="Tw Cen MT Condensed" w:hAnsi="Tw Cen MT Condensed"/>
          <w:b/>
          <w:i/>
          <w:sz w:val="28"/>
          <w:szCs w:val="28"/>
        </w:rPr>
        <w:t>data elements</w:t>
      </w:r>
      <w:r w:rsidR="004C18E7" w:rsidRPr="00611B1B">
        <w:rPr>
          <w:rFonts w:ascii="Tw Cen MT Condensed" w:hAnsi="Tw Cen MT Condensed"/>
          <w:sz w:val="28"/>
          <w:szCs w:val="28"/>
        </w:rPr>
        <w:t xml:space="preserve"> </w:t>
      </w:r>
      <w:r w:rsidR="004C18E7">
        <w:rPr>
          <w:rFonts w:ascii="Tw Cen MT Condensed" w:hAnsi="Tw Cen MT Condensed"/>
          <w:sz w:val="28"/>
          <w:szCs w:val="28"/>
        </w:rPr>
        <w:t>below explain</w:t>
      </w:r>
      <w:r w:rsidR="00E364FD" w:rsidRPr="00611B1B">
        <w:rPr>
          <w:rFonts w:ascii="Tw Cen MT Condensed" w:hAnsi="Tw Cen MT Condensed"/>
          <w:sz w:val="28"/>
          <w:szCs w:val="28"/>
        </w:rPr>
        <w:t xml:space="preserve"> </w:t>
      </w:r>
      <w:r w:rsidR="00E40109">
        <w:rPr>
          <w:rFonts w:ascii="Tw Cen MT Condensed" w:hAnsi="Tw Cen MT Condensed"/>
          <w:sz w:val="28"/>
          <w:szCs w:val="28"/>
        </w:rPr>
        <w:t>how workers’ c</w:t>
      </w:r>
      <w:r w:rsidR="00E364FD" w:rsidRPr="00611B1B">
        <w:rPr>
          <w:rFonts w:ascii="Tw Cen MT Condensed" w:hAnsi="Tw Cen MT Condensed"/>
          <w:sz w:val="28"/>
          <w:szCs w:val="28"/>
        </w:rPr>
        <w:t>ompensation injury and illness claims are categorized</w:t>
      </w:r>
      <w:r w:rsidRPr="00611B1B">
        <w:rPr>
          <w:rFonts w:ascii="Tw Cen MT Condensed" w:hAnsi="Tw Cen MT Condensed"/>
          <w:sz w:val="28"/>
          <w:szCs w:val="28"/>
        </w:rPr>
        <w:t xml:space="preserve"> and coded</w:t>
      </w:r>
      <w:r w:rsidR="004C18E7">
        <w:rPr>
          <w:rFonts w:ascii="Tw Cen MT Condensed" w:hAnsi="Tw Cen MT Condensed"/>
          <w:sz w:val="28"/>
          <w:szCs w:val="28"/>
        </w:rPr>
        <w:t>.</w:t>
      </w:r>
    </w:p>
    <w:p w:rsidR="002871E6" w:rsidRPr="00611B1B" w:rsidRDefault="00A543D8" w:rsidP="00A33D64">
      <w:pPr>
        <w:pStyle w:val="ListParagraph"/>
        <w:numPr>
          <w:ilvl w:val="0"/>
          <w:numId w:val="15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 w:rsidRPr="00604C73">
        <w:rPr>
          <w:rFonts w:ascii="Tw Cen MT Condensed" w:hAnsi="Tw Cen MT Condensed"/>
          <w:b/>
          <w:i/>
          <w:sz w:val="28"/>
          <w:szCs w:val="28"/>
        </w:rPr>
        <w:t>“</w:t>
      </w:r>
      <w:r w:rsidR="00E364FD" w:rsidRPr="00604C73">
        <w:rPr>
          <w:rFonts w:ascii="Tw Cen MT Condensed" w:hAnsi="Tw Cen MT Condensed"/>
          <w:b/>
          <w:i/>
          <w:sz w:val="28"/>
          <w:szCs w:val="28"/>
        </w:rPr>
        <w:t>Nature</w:t>
      </w:r>
      <w:r w:rsidRPr="00604C73">
        <w:rPr>
          <w:rFonts w:ascii="Tw Cen MT Condensed" w:hAnsi="Tw Cen MT Condensed"/>
          <w:b/>
          <w:i/>
          <w:sz w:val="28"/>
          <w:szCs w:val="28"/>
        </w:rPr>
        <w:t>”</w:t>
      </w:r>
      <w:r w:rsidR="00E364FD" w:rsidRPr="00611B1B">
        <w:rPr>
          <w:rFonts w:ascii="Tw Cen MT Condensed" w:hAnsi="Tw Cen MT Condensed"/>
          <w:sz w:val="28"/>
          <w:szCs w:val="28"/>
        </w:rPr>
        <w:t xml:space="preserve"> data identif</w:t>
      </w:r>
      <w:r w:rsidRPr="00611B1B">
        <w:rPr>
          <w:rFonts w:ascii="Tw Cen MT Condensed" w:hAnsi="Tw Cen MT Condensed"/>
          <w:sz w:val="28"/>
          <w:szCs w:val="28"/>
        </w:rPr>
        <w:t>y</w:t>
      </w:r>
      <w:r w:rsidR="00E364FD" w:rsidRPr="00611B1B">
        <w:rPr>
          <w:rFonts w:ascii="Tw Cen MT Condensed" w:hAnsi="Tw Cen MT Condensed"/>
          <w:sz w:val="28"/>
          <w:szCs w:val="28"/>
        </w:rPr>
        <w:t xml:space="preserve"> the actual </w:t>
      </w:r>
      <w:r w:rsidRPr="00611B1B">
        <w:rPr>
          <w:rFonts w:ascii="Tw Cen MT Condensed" w:hAnsi="Tw Cen MT Condensed"/>
          <w:sz w:val="28"/>
          <w:szCs w:val="28"/>
        </w:rPr>
        <w:t xml:space="preserve">nature of the </w:t>
      </w:r>
      <w:r w:rsidR="004D1542">
        <w:rPr>
          <w:rFonts w:ascii="Tw Cen MT Condensed" w:hAnsi="Tw Cen MT Condensed"/>
          <w:sz w:val="28"/>
          <w:szCs w:val="28"/>
        </w:rPr>
        <w:t>injury or illness (</w:t>
      </w:r>
      <w:r w:rsidR="00E364FD" w:rsidRPr="00611B1B">
        <w:rPr>
          <w:rFonts w:ascii="Tw Cen MT Condensed" w:hAnsi="Tw Cen MT Condensed"/>
          <w:sz w:val="28"/>
          <w:szCs w:val="28"/>
        </w:rPr>
        <w:t>e.g.,</w:t>
      </w:r>
      <w:r w:rsidR="009B4B32">
        <w:rPr>
          <w:rFonts w:ascii="Tw Cen MT Condensed" w:hAnsi="Tw Cen MT Condensed"/>
          <w:sz w:val="28"/>
          <w:szCs w:val="28"/>
        </w:rPr>
        <w:t xml:space="preserve"> chemical burn</w:t>
      </w:r>
      <w:r w:rsidR="00E364FD" w:rsidRPr="00611B1B">
        <w:rPr>
          <w:rFonts w:ascii="Tw Cen MT Condensed" w:hAnsi="Tw Cen MT Condensed"/>
          <w:sz w:val="28"/>
          <w:szCs w:val="28"/>
        </w:rPr>
        <w:t xml:space="preserve">, respiratory system symptoms, </w:t>
      </w:r>
      <w:r w:rsidR="009B4B32">
        <w:rPr>
          <w:rFonts w:ascii="Tw Cen MT Condensed" w:hAnsi="Tw Cen MT Condensed"/>
          <w:sz w:val="28"/>
          <w:szCs w:val="28"/>
        </w:rPr>
        <w:t>infection</w:t>
      </w:r>
      <w:r w:rsidR="004D1542">
        <w:rPr>
          <w:rFonts w:ascii="Tw Cen MT Condensed" w:hAnsi="Tw Cen MT Condensed"/>
          <w:sz w:val="28"/>
          <w:szCs w:val="28"/>
        </w:rPr>
        <w:t>)</w:t>
      </w:r>
    </w:p>
    <w:p w:rsidR="002871E6" w:rsidRPr="00611B1B" w:rsidRDefault="002871E6" w:rsidP="00A33D64">
      <w:pPr>
        <w:spacing w:after="0"/>
        <w:ind w:left="720"/>
        <w:rPr>
          <w:rFonts w:ascii="Tw Cen MT Condensed" w:hAnsi="Tw Cen MT Condensed"/>
          <w:b/>
          <w:sz w:val="28"/>
          <w:szCs w:val="28"/>
        </w:rPr>
      </w:pPr>
    </w:p>
    <w:p w:rsidR="002871E6" w:rsidRPr="00611B1B" w:rsidRDefault="00A543D8" w:rsidP="00A33D64">
      <w:pPr>
        <w:pStyle w:val="ListParagraph"/>
        <w:numPr>
          <w:ilvl w:val="0"/>
          <w:numId w:val="15"/>
        </w:numPr>
        <w:spacing w:after="0" w:line="240" w:lineRule="auto"/>
        <w:rPr>
          <w:rFonts w:ascii="Tw Cen MT Condensed" w:hAnsi="Tw Cen MT Condensed" w:cs="Times New Roman"/>
          <w:sz w:val="28"/>
          <w:szCs w:val="28"/>
        </w:rPr>
      </w:pPr>
      <w:r w:rsidRPr="00604C73">
        <w:rPr>
          <w:rFonts w:ascii="Tw Cen MT Condensed" w:hAnsi="Tw Cen MT Condensed"/>
          <w:b/>
          <w:i/>
          <w:sz w:val="28"/>
          <w:szCs w:val="28"/>
        </w:rPr>
        <w:t>“</w:t>
      </w:r>
      <w:r w:rsidR="00E364FD" w:rsidRPr="00604C73">
        <w:rPr>
          <w:rFonts w:ascii="Tw Cen MT Condensed" w:hAnsi="Tw Cen MT Condensed"/>
          <w:b/>
          <w:i/>
          <w:sz w:val="28"/>
          <w:szCs w:val="28"/>
        </w:rPr>
        <w:t>Source</w:t>
      </w:r>
      <w:r w:rsidRPr="00604C73">
        <w:rPr>
          <w:rFonts w:ascii="Tw Cen MT Condensed" w:hAnsi="Tw Cen MT Condensed"/>
          <w:b/>
          <w:i/>
          <w:sz w:val="28"/>
          <w:szCs w:val="28"/>
        </w:rPr>
        <w:t>”</w:t>
      </w:r>
      <w:r w:rsidR="00E364FD" w:rsidRPr="00611B1B">
        <w:rPr>
          <w:rFonts w:ascii="Tw Cen MT Condensed" w:hAnsi="Tw Cen MT Condensed"/>
          <w:sz w:val="28"/>
          <w:szCs w:val="28"/>
        </w:rPr>
        <w:t xml:space="preserve"> data identif</w:t>
      </w:r>
      <w:r w:rsidRPr="00611B1B">
        <w:rPr>
          <w:rFonts w:ascii="Tw Cen MT Condensed" w:hAnsi="Tw Cen MT Condensed"/>
          <w:sz w:val="28"/>
          <w:szCs w:val="28"/>
        </w:rPr>
        <w:t>y</w:t>
      </w:r>
      <w:r w:rsidR="00E364FD" w:rsidRPr="00611B1B">
        <w:rPr>
          <w:rFonts w:ascii="Tw Cen MT Condensed" w:hAnsi="Tw Cen MT Condensed"/>
          <w:sz w:val="28"/>
          <w:szCs w:val="28"/>
        </w:rPr>
        <w:t xml:space="preserve"> the </w:t>
      </w:r>
      <w:r w:rsidR="004D1542">
        <w:rPr>
          <w:rFonts w:ascii="Tw Cen MT Condensed" w:hAnsi="Tw Cen MT Condensed"/>
          <w:sz w:val="28"/>
          <w:szCs w:val="28"/>
        </w:rPr>
        <w:t>cause of the injury or illness (</w:t>
      </w:r>
      <w:r w:rsidR="00E364FD" w:rsidRPr="00611B1B">
        <w:rPr>
          <w:rFonts w:ascii="Tw Cen MT Condensed" w:hAnsi="Tw Cen MT Condensed"/>
          <w:sz w:val="28"/>
          <w:szCs w:val="28"/>
        </w:rPr>
        <w:t xml:space="preserve">e.g., </w:t>
      </w:r>
      <w:r w:rsidR="009B4B32">
        <w:rPr>
          <w:rFonts w:ascii="Tw Cen MT Condensed" w:hAnsi="Tw Cen MT Condensed"/>
          <w:sz w:val="28"/>
          <w:szCs w:val="28"/>
        </w:rPr>
        <w:t>a caustic cleaner</w:t>
      </w:r>
      <w:r w:rsidR="004D1542">
        <w:rPr>
          <w:rFonts w:ascii="Tw Cen MT Condensed" w:hAnsi="Tw Cen MT Condensed"/>
          <w:sz w:val="28"/>
          <w:szCs w:val="28"/>
        </w:rPr>
        <w:t xml:space="preserve"> or</w:t>
      </w:r>
      <w:r w:rsidR="00E364FD" w:rsidRPr="00611B1B">
        <w:rPr>
          <w:rFonts w:ascii="Tw Cen MT Condensed" w:hAnsi="Tw Cen MT Condensed"/>
          <w:sz w:val="28"/>
          <w:szCs w:val="28"/>
        </w:rPr>
        <w:t xml:space="preserve"> carbon monoxide emissions in the case of exposure to vehicle fumes</w:t>
      </w:r>
      <w:r w:rsidR="004D1542">
        <w:rPr>
          <w:rFonts w:ascii="Tw Cen MT Condensed" w:hAnsi="Tw Cen MT Condensed" w:cs="Times New Roman"/>
          <w:sz w:val="28"/>
          <w:szCs w:val="28"/>
        </w:rPr>
        <w:t>)</w:t>
      </w:r>
    </w:p>
    <w:p w:rsidR="002871E6" w:rsidRPr="00611B1B" w:rsidRDefault="002871E6" w:rsidP="00A33D64">
      <w:pPr>
        <w:pStyle w:val="ListParagraph"/>
        <w:spacing w:line="240" w:lineRule="auto"/>
        <w:rPr>
          <w:rFonts w:ascii="Tw Cen MT Condensed" w:hAnsi="Tw Cen MT Condensed" w:cs="Times New Roman"/>
          <w:sz w:val="28"/>
          <w:szCs w:val="28"/>
        </w:rPr>
      </w:pPr>
    </w:p>
    <w:p w:rsidR="002871E6" w:rsidRPr="00984377" w:rsidRDefault="00E364FD" w:rsidP="00A33D64">
      <w:pPr>
        <w:pStyle w:val="ListParagraph"/>
        <w:numPr>
          <w:ilvl w:val="0"/>
          <w:numId w:val="15"/>
        </w:numPr>
        <w:spacing w:after="0" w:line="240" w:lineRule="auto"/>
        <w:rPr>
          <w:rFonts w:ascii="Tw Cen MT Condensed" w:hAnsi="Tw Cen MT Condensed" w:cs="Times New Roman"/>
          <w:b/>
          <w:sz w:val="28"/>
          <w:szCs w:val="28"/>
        </w:rPr>
      </w:pPr>
      <w:r w:rsidRPr="00984377">
        <w:rPr>
          <w:rFonts w:ascii="Tw Cen MT Condensed" w:hAnsi="Tw Cen MT Condensed" w:cs="Times New Roman"/>
          <w:sz w:val="28"/>
          <w:szCs w:val="28"/>
        </w:rPr>
        <w:t xml:space="preserve">A </w:t>
      </w:r>
      <w:r w:rsidR="00A543D8" w:rsidRPr="00984377">
        <w:rPr>
          <w:rFonts w:ascii="Tw Cen MT Condensed" w:hAnsi="Tw Cen MT Condensed" w:cs="Times New Roman"/>
          <w:i/>
          <w:sz w:val="28"/>
          <w:szCs w:val="28"/>
        </w:rPr>
        <w:t>“</w:t>
      </w:r>
      <w:r w:rsidRPr="00984377">
        <w:rPr>
          <w:rFonts w:ascii="Tw Cen MT Condensed" w:hAnsi="Tw Cen MT Condensed" w:cs="Times New Roman"/>
          <w:b/>
          <w:i/>
          <w:sz w:val="28"/>
          <w:szCs w:val="28"/>
        </w:rPr>
        <w:t>Secondary Source</w:t>
      </w:r>
      <w:r w:rsidR="00A543D8" w:rsidRPr="00984377">
        <w:rPr>
          <w:rFonts w:ascii="Tw Cen MT Condensed" w:hAnsi="Tw Cen MT Condensed" w:cs="Times New Roman"/>
          <w:b/>
          <w:i/>
          <w:sz w:val="28"/>
          <w:szCs w:val="28"/>
        </w:rPr>
        <w:t>”</w:t>
      </w:r>
      <w:r w:rsidRPr="00984377">
        <w:rPr>
          <w:rFonts w:ascii="Tw Cen MT Condensed" w:hAnsi="Tw Cen MT Condensed" w:cs="Times New Roman"/>
          <w:sz w:val="28"/>
          <w:szCs w:val="28"/>
        </w:rPr>
        <w:t xml:space="preserve"> may also be </w:t>
      </w:r>
      <w:r w:rsidR="00984377">
        <w:rPr>
          <w:rFonts w:ascii="Tw Cen MT Condensed" w:hAnsi="Tw Cen MT Condensed" w:cs="Times New Roman"/>
          <w:sz w:val="28"/>
          <w:szCs w:val="28"/>
        </w:rPr>
        <w:t>provided</w:t>
      </w:r>
      <w:r w:rsidRPr="00984377">
        <w:rPr>
          <w:rFonts w:ascii="Tw Cen MT Condensed" w:hAnsi="Tw Cen MT Condensed" w:cs="Times New Roman"/>
          <w:sz w:val="28"/>
          <w:szCs w:val="28"/>
        </w:rPr>
        <w:t xml:space="preserve"> to identify</w:t>
      </w:r>
      <w:r w:rsidR="00984377">
        <w:rPr>
          <w:rFonts w:ascii="Tw Cen MT Condensed" w:hAnsi="Tw Cen MT Condensed" w:cs="Times New Roman"/>
          <w:sz w:val="28"/>
          <w:szCs w:val="28"/>
        </w:rPr>
        <w:t xml:space="preserve"> an</w:t>
      </w:r>
      <w:r w:rsidRPr="00984377">
        <w:rPr>
          <w:rFonts w:ascii="Tw Cen MT Condensed" w:hAnsi="Tw Cen MT Condensed" w:cs="Times New Roman"/>
          <w:sz w:val="28"/>
          <w:szCs w:val="28"/>
        </w:rPr>
        <w:t xml:space="preserve"> additi</w:t>
      </w:r>
      <w:r w:rsidR="00984377" w:rsidRPr="00984377">
        <w:rPr>
          <w:rFonts w:ascii="Tw Cen MT Condensed" w:hAnsi="Tw Cen MT Condensed" w:cs="Times New Roman"/>
          <w:sz w:val="28"/>
          <w:szCs w:val="28"/>
        </w:rPr>
        <w:t xml:space="preserve">onal </w:t>
      </w:r>
      <w:r w:rsidR="00984377">
        <w:rPr>
          <w:rFonts w:ascii="Tw Cen MT Condensed" w:hAnsi="Tw Cen MT Condensed" w:cs="Times New Roman"/>
          <w:sz w:val="28"/>
          <w:szCs w:val="28"/>
        </w:rPr>
        <w:t>cause</w:t>
      </w:r>
      <w:r w:rsidR="00984377" w:rsidRPr="00984377">
        <w:rPr>
          <w:rFonts w:ascii="Tw Cen MT Condensed" w:hAnsi="Tw Cen MT Condensed" w:cs="Times New Roman"/>
          <w:sz w:val="28"/>
          <w:szCs w:val="28"/>
        </w:rPr>
        <w:t xml:space="preserve">, such as the </w:t>
      </w:r>
      <w:r w:rsidR="00984377">
        <w:rPr>
          <w:rFonts w:ascii="Tw Cen MT Condensed" w:hAnsi="Tw Cen MT Condensed" w:cs="Times New Roman"/>
          <w:sz w:val="28"/>
          <w:szCs w:val="28"/>
        </w:rPr>
        <w:t>accident</w:t>
      </w:r>
      <w:r w:rsidR="00984377" w:rsidRPr="00984377">
        <w:rPr>
          <w:rFonts w:ascii="Tw Cen MT Condensed" w:hAnsi="Tw Cen MT Condensed" w:cs="Times New Roman"/>
          <w:sz w:val="28"/>
          <w:szCs w:val="28"/>
        </w:rPr>
        <w:t xml:space="preserve"> </w:t>
      </w:r>
      <w:r w:rsidR="00984377">
        <w:rPr>
          <w:rFonts w:ascii="Tw Cen MT Condensed" w:hAnsi="Tw Cen MT Condensed" w:cs="Times New Roman"/>
          <w:sz w:val="28"/>
          <w:szCs w:val="28"/>
        </w:rPr>
        <w:t xml:space="preserve">or event </w:t>
      </w:r>
      <w:r w:rsidR="00984377" w:rsidRPr="00984377">
        <w:rPr>
          <w:rFonts w:ascii="Tw Cen MT Condensed" w:hAnsi="Tw Cen MT Condensed" w:cs="Times New Roman"/>
          <w:sz w:val="28"/>
          <w:szCs w:val="28"/>
        </w:rPr>
        <w:t xml:space="preserve">that </w:t>
      </w:r>
      <w:r w:rsidR="00984377">
        <w:rPr>
          <w:rFonts w:ascii="Tw Cen MT Condensed" w:hAnsi="Tw Cen MT Condensed" w:cs="Times New Roman"/>
          <w:sz w:val="28"/>
          <w:szCs w:val="28"/>
        </w:rPr>
        <w:t xml:space="preserve">directly </w:t>
      </w:r>
      <w:r w:rsidR="00984377" w:rsidRPr="00984377">
        <w:rPr>
          <w:rFonts w:ascii="Tw Cen MT Condensed" w:hAnsi="Tw Cen MT Condensed" w:cs="Times New Roman"/>
          <w:sz w:val="28"/>
          <w:szCs w:val="28"/>
        </w:rPr>
        <w:t xml:space="preserve">led to release of </w:t>
      </w:r>
      <w:r w:rsidR="00984377">
        <w:rPr>
          <w:rFonts w:ascii="Tw Cen MT Condensed" w:hAnsi="Tw Cen MT Condensed" w:cs="Times New Roman"/>
          <w:sz w:val="28"/>
          <w:szCs w:val="28"/>
        </w:rPr>
        <w:t>the</w:t>
      </w:r>
      <w:r w:rsidR="00984377" w:rsidRPr="00984377">
        <w:rPr>
          <w:rFonts w:ascii="Tw Cen MT Condensed" w:hAnsi="Tw Cen MT Condensed" w:cs="Times New Roman"/>
          <w:sz w:val="28"/>
          <w:szCs w:val="28"/>
        </w:rPr>
        <w:t xml:space="preserve"> chemical </w:t>
      </w:r>
      <w:r w:rsidR="004D1542">
        <w:rPr>
          <w:rFonts w:ascii="Tw Cen MT Condensed" w:hAnsi="Tw Cen MT Condensed" w:cs="Times New Roman"/>
          <w:sz w:val="28"/>
          <w:szCs w:val="28"/>
        </w:rPr>
        <w:t>causing</w:t>
      </w:r>
      <w:r w:rsidR="00984377">
        <w:rPr>
          <w:rFonts w:ascii="Tw Cen MT Condensed" w:hAnsi="Tw Cen MT Condensed" w:cs="Times New Roman"/>
          <w:sz w:val="28"/>
          <w:szCs w:val="28"/>
        </w:rPr>
        <w:t xml:space="preserve"> the worker’s injury or illness</w:t>
      </w:r>
      <w:r w:rsidR="00984377" w:rsidRPr="00984377">
        <w:rPr>
          <w:rFonts w:ascii="Tw Cen MT Condensed" w:hAnsi="Tw Cen MT Condensed" w:cs="Times New Roman"/>
          <w:sz w:val="28"/>
          <w:szCs w:val="28"/>
        </w:rPr>
        <w:t>.</w:t>
      </w:r>
    </w:p>
    <w:p w:rsidR="00984377" w:rsidRPr="00984377" w:rsidRDefault="00984377" w:rsidP="00A33D64">
      <w:pPr>
        <w:spacing w:after="0"/>
        <w:rPr>
          <w:rFonts w:ascii="Tw Cen MT Condensed" w:hAnsi="Tw Cen MT Condensed"/>
          <w:b/>
          <w:sz w:val="28"/>
          <w:szCs w:val="28"/>
        </w:rPr>
      </w:pPr>
    </w:p>
    <w:p w:rsidR="002871E6" w:rsidRPr="00611B1B" w:rsidRDefault="00A543D8" w:rsidP="00A33D64">
      <w:pPr>
        <w:pStyle w:val="ListParagraph"/>
        <w:numPr>
          <w:ilvl w:val="0"/>
          <w:numId w:val="15"/>
        </w:numPr>
        <w:spacing w:after="0" w:line="240" w:lineRule="auto"/>
        <w:rPr>
          <w:rFonts w:ascii="Tw Cen MT Condensed" w:hAnsi="Tw Cen MT Condensed" w:cs="Times New Roman"/>
          <w:sz w:val="28"/>
          <w:szCs w:val="28"/>
        </w:rPr>
      </w:pPr>
      <w:r w:rsidRPr="00604C73">
        <w:rPr>
          <w:rFonts w:ascii="Tw Cen MT Condensed" w:hAnsi="Tw Cen MT Condensed" w:cs="Times New Roman"/>
          <w:b/>
          <w:i/>
          <w:sz w:val="28"/>
          <w:szCs w:val="28"/>
        </w:rPr>
        <w:t>“</w:t>
      </w:r>
      <w:r w:rsidR="00E364FD" w:rsidRPr="00604C73">
        <w:rPr>
          <w:rFonts w:ascii="Tw Cen MT Condensed" w:hAnsi="Tw Cen MT Condensed" w:cs="Times New Roman"/>
          <w:b/>
          <w:i/>
          <w:sz w:val="28"/>
          <w:szCs w:val="28"/>
        </w:rPr>
        <w:t>Event</w:t>
      </w:r>
      <w:r w:rsidRPr="00604C73">
        <w:rPr>
          <w:rFonts w:ascii="Tw Cen MT Condensed" w:hAnsi="Tw Cen MT Condensed" w:cs="Times New Roman"/>
          <w:b/>
          <w:i/>
          <w:sz w:val="28"/>
          <w:szCs w:val="28"/>
        </w:rPr>
        <w:t>”</w:t>
      </w:r>
      <w:r w:rsidR="00E364FD" w:rsidRPr="00611B1B">
        <w:rPr>
          <w:rFonts w:ascii="Tw Cen MT Condensed" w:hAnsi="Tw Cen MT Condensed" w:cs="Times New Roman"/>
          <w:sz w:val="28"/>
          <w:szCs w:val="28"/>
        </w:rPr>
        <w:t xml:space="preserve"> data identif</w:t>
      </w:r>
      <w:r w:rsidRPr="00611B1B">
        <w:rPr>
          <w:rFonts w:ascii="Tw Cen MT Condensed" w:hAnsi="Tw Cen MT Condensed" w:cs="Times New Roman"/>
          <w:sz w:val="28"/>
          <w:szCs w:val="28"/>
        </w:rPr>
        <w:t>y</w:t>
      </w:r>
      <w:r w:rsidR="00E364FD" w:rsidRPr="00611B1B">
        <w:rPr>
          <w:rFonts w:ascii="Tw Cen MT Condensed" w:hAnsi="Tw Cen MT Condensed" w:cs="Times New Roman"/>
          <w:sz w:val="28"/>
          <w:szCs w:val="28"/>
        </w:rPr>
        <w:t xml:space="preserve"> the circumstances bringing about </w:t>
      </w:r>
      <w:r w:rsidR="004D1542">
        <w:rPr>
          <w:rFonts w:ascii="Tw Cen MT Condensed" w:hAnsi="Tw Cen MT Condensed" w:cs="Times New Roman"/>
          <w:sz w:val="28"/>
          <w:szCs w:val="28"/>
        </w:rPr>
        <w:t>the injury or illness incident (</w:t>
      </w:r>
      <w:r w:rsidR="00E364FD" w:rsidRPr="00611B1B">
        <w:rPr>
          <w:rFonts w:ascii="Tw Cen MT Condensed" w:hAnsi="Tw Cen MT Condensed" w:cs="Times New Roman"/>
          <w:sz w:val="28"/>
          <w:szCs w:val="28"/>
        </w:rPr>
        <w:t xml:space="preserve">e.g., a motor vehicle accident, inhalation of a harmful substance, </w:t>
      </w:r>
      <w:r w:rsidR="00984377">
        <w:rPr>
          <w:rFonts w:ascii="Tw Cen MT Condensed" w:hAnsi="Tw Cen MT Condensed" w:cs="Times New Roman"/>
          <w:sz w:val="28"/>
          <w:szCs w:val="28"/>
        </w:rPr>
        <w:t>contact exposure to</w:t>
      </w:r>
      <w:r w:rsidR="00116F46">
        <w:rPr>
          <w:rFonts w:ascii="Tw Cen MT Condensed" w:hAnsi="Tw Cen MT Condensed" w:cs="Times New Roman"/>
          <w:sz w:val="28"/>
          <w:szCs w:val="28"/>
        </w:rPr>
        <w:t xml:space="preserve"> a</w:t>
      </w:r>
      <w:r w:rsidR="00984377">
        <w:rPr>
          <w:rFonts w:ascii="Tw Cen MT Condensed" w:hAnsi="Tw Cen MT Condensed" w:cs="Times New Roman"/>
          <w:sz w:val="28"/>
          <w:szCs w:val="28"/>
        </w:rPr>
        <w:t xml:space="preserve"> </w:t>
      </w:r>
      <w:r w:rsidR="00116F46">
        <w:rPr>
          <w:rFonts w:ascii="Tw Cen MT Condensed" w:hAnsi="Tw Cen MT Condensed" w:cs="Times New Roman"/>
          <w:sz w:val="28"/>
          <w:szCs w:val="28"/>
        </w:rPr>
        <w:t>harmful</w:t>
      </w:r>
      <w:r w:rsidR="00984377">
        <w:rPr>
          <w:rFonts w:ascii="Tw Cen MT Condensed" w:hAnsi="Tw Cen MT Condensed" w:cs="Times New Roman"/>
          <w:sz w:val="28"/>
          <w:szCs w:val="28"/>
        </w:rPr>
        <w:t xml:space="preserve"> </w:t>
      </w:r>
      <w:r w:rsidR="00116F46">
        <w:rPr>
          <w:rFonts w:ascii="Tw Cen MT Condensed" w:hAnsi="Tw Cen MT Condensed" w:cs="Times New Roman"/>
          <w:sz w:val="28"/>
          <w:szCs w:val="28"/>
        </w:rPr>
        <w:t>chemical</w:t>
      </w:r>
      <w:r w:rsidR="004D1542">
        <w:rPr>
          <w:rFonts w:ascii="Tw Cen MT Condensed" w:hAnsi="Tw Cen MT Condensed" w:cs="Times New Roman"/>
          <w:sz w:val="28"/>
          <w:szCs w:val="28"/>
        </w:rPr>
        <w:t>)</w:t>
      </w:r>
      <w:r w:rsidR="00E364FD" w:rsidRPr="00611B1B">
        <w:rPr>
          <w:rFonts w:ascii="Tw Cen MT Condensed" w:hAnsi="Tw Cen MT Condensed" w:cs="Times New Roman"/>
          <w:sz w:val="28"/>
          <w:szCs w:val="28"/>
        </w:rPr>
        <w:t xml:space="preserve"> </w:t>
      </w:r>
    </w:p>
    <w:p w:rsidR="002871E6" w:rsidRPr="00611B1B" w:rsidRDefault="002871E6" w:rsidP="00A33D64">
      <w:pPr>
        <w:pStyle w:val="ListParagraph"/>
        <w:spacing w:line="240" w:lineRule="auto"/>
        <w:rPr>
          <w:rFonts w:ascii="Tw Cen MT Condensed" w:hAnsi="Tw Cen MT Condensed" w:cs="Times New Roman"/>
          <w:b/>
          <w:sz w:val="28"/>
          <w:szCs w:val="28"/>
        </w:rPr>
      </w:pPr>
    </w:p>
    <w:p w:rsidR="002871E6" w:rsidRPr="004C18E7" w:rsidRDefault="00A543D8" w:rsidP="00A33D64">
      <w:pPr>
        <w:pStyle w:val="ListParagraph"/>
        <w:numPr>
          <w:ilvl w:val="0"/>
          <w:numId w:val="15"/>
        </w:numPr>
        <w:spacing w:after="0" w:line="240" w:lineRule="auto"/>
        <w:rPr>
          <w:rFonts w:ascii="Tw Cen MT Condensed" w:hAnsi="Tw Cen MT Condensed" w:cs="Times New Roman"/>
          <w:b/>
          <w:sz w:val="28"/>
          <w:szCs w:val="28"/>
        </w:rPr>
      </w:pPr>
      <w:r w:rsidRPr="004C18E7">
        <w:rPr>
          <w:rFonts w:ascii="Tw Cen MT Condensed" w:hAnsi="Tw Cen MT Condensed" w:cs="Times New Roman"/>
          <w:b/>
          <w:i/>
          <w:sz w:val="28"/>
          <w:szCs w:val="28"/>
        </w:rPr>
        <w:t>“</w:t>
      </w:r>
      <w:r w:rsidR="00E364FD" w:rsidRPr="004C18E7">
        <w:rPr>
          <w:rFonts w:ascii="Tw Cen MT Condensed" w:hAnsi="Tw Cen MT Condensed" w:cs="Times New Roman"/>
          <w:b/>
          <w:i/>
          <w:sz w:val="28"/>
          <w:szCs w:val="28"/>
        </w:rPr>
        <w:t>Part(s) of the Body</w:t>
      </w:r>
      <w:r w:rsidRPr="004C18E7">
        <w:rPr>
          <w:rFonts w:ascii="Tw Cen MT Condensed" w:hAnsi="Tw Cen MT Condensed" w:cs="Times New Roman"/>
          <w:b/>
          <w:i/>
          <w:sz w:val="28"/>
          <w:szCs w:val="28"/>
        </w:rPr>
        <w:t>”</w:t>
      </w:r>
      <w:r w:rsidR="00E364FD" w:rsidRPr="004C18E7">
        <w:rPr>
          <w:rFonts w:ascii="Tw Cen MT Condensed" w:hAnsi="Tw Cen MT Condensed" w:cs="Times New Roman"/>
          <w:sz w:val="28"/>
          <w:szCs w:val="28"/>
        </w:rPr>
        <w:t xml:space="preserve"> data identif</w:t>
      </w:r>
      <w:r w:rsidRPr="004C18E7">
        <w:rPr>
          <w:rFonts w:ascii="Tw Cen MT Condensed" w:hAnsi="Tw Cen MT Condensed" w:cs="Times New Roman"/>
          <w:sz w:val="28"/>
          <w:szCs w:val="28"/>
        </w:rPr>
        <w:t>y</w:t>
      </w:r>
      <w:r w:rsidR="00E364FD" w:rsidRPr="004C18E7">
        <w:rPr>
          <w:rFonts w:ascii="Tw Cen MT Condensed" w:hAnsi="Tw Cen MT Condensed" w:cs="Times New Roman"/>
          <w:sz w:val="28"/>
          <w:szCs w:val="28"/>
        </w:rPr>
        <w:t xml:space="preserve"> what body part(s) are injure</w:t>
      </w:r>
      <w:r w:rsidR="00116F46" w:rsidRPr="004C18E7">
        <w:rPr>
          <w:rFonts w:ascii="Tw Cen MT Condensed" w:hAnsi="Tw Cen MT Condensed" w:cs="Times New Roman"/>
          <w:sz w:val="28"/>
          <w:szCs w:val="28"/>
        </w:rPr>
        <w:t>d or affected by illness</w:t>
      </w:r>
      <w:r w:rsidR="004D1542">
        <w:rPr>
          <w:rFonts w:ascii="Tw Cen MT Condensed" w:hAnsi="Tw Cen MT Condensed" w:cs="Times New Roman"/>
          <w:sz w:val="28"/>
          <w:szCs w:val="28"/>
        </w:rPr>
        <w:t xml:space="preserve"> (</w:t>
      </w:r>
      <w:r w:rsidR="00116F46" w:rsidRPr="004C18E7">
        <w:rPr>
          <w:rFonts w:ascii="Tw Cen MT Condensed" w:hAnsi="Tw Cen MT Condensed" w:cs="Times New Roman"/>
          <w:sz w:val="28"/>
          <w:szCs w:val="28"/>
        </w:rPr>
        <w:t>e.g., upper and lower limbs, the eyes, body systems</w:t>
      </w:r>
      <w:r w:rsidR="004D1542">
        <w:rPr>
          <w:rFonts w:ascii="Tw Cen MT Condensed" w:hAnsi="Tw Cen MT Condensed" w:cs="Times New Roman"/>
          <w:sz w:val="28"/>
          <w:szCs w:val="28"/>
        </w:rPr>
        <w:t>)</w:t>
      </w:r>
    </w:p>
    <w:p w:rsidR="004C18E7" w:rsidRPr="004C18E7" w:rsidRDefault="004C18E7" w:rsidP="004C18E7">
      <w:pPr>
        <w:spacing w:after="0"/>
        <w:rPr>
          <w:rFonts w:ascii="Tw Cen MT Condensed" w:hAnsi="Tw Cen MT Condensed"/>
          <w:b/>
          <w:sz w:val="28"/>
          <w:szCs w:val="28"/>
        </w:rPr>
      </w:pPr>
    </w:p>
    <w:p w:rsidR="004D1542" w:rsidRDefault="00A543D8" w:rsidP="004D1542">
      <w:pPr>
        <w:pStyle w:val="ListParagraph"/>
        <w:numPr>
          <w:ilvl w:val="0"/>
          <w:numId w:val="15"/>
        </w:numPr>
        <w:spacing w:after="0" w:line="240" w:lineRule="auto"/>
        <w:rPr>
          <w:rFonts w:ascii="Tw Cen MT Condensed" w:hAnsi="Tw Cen MT Condensed" w:cs="Times New Roman"/>
          <w:sz w:val="28"/>
          <w:szCs w:val="28"/>
        </w:rPr>
      </w:pPr>
      <w:r w:rsidRPr="00604C73">
        <w:rPr>
          <w:rFonts w:ascii="Tw Cen MT Condensed" w:hAnsi="Tw Cen MT Condensed" w:cs="Times New Roman"/>
          <w:b/>
          <w:i/>
          <w:sz w:val="28"/>
          <w:szCs w:val="28"/>
        </w:rPr>
        <w:lastRenderedPageBreak/>
        <w:t>“</w:t>
      </w:r>
      <w:r w:rsidR="00E364FD" w:rsidRPr="00604C73">
        <w:rPr>
          <w:rFonts w:ascii="Tw Cen MT Condensed" w:hAnsi="Tw Cen MT Condensed" w:cs="Times New Roman"/>
          <w:b/>
          <w:i/>
          <w:sz w:val="28"/>
          <w:szCs w:val="28"/>
        </w:rPr>
        <w:t>Occupation</w:t>
      </w:r>
      <w:r w:rsidRPr="00604C73">
        <w:rPr>
          <w:rFonts w:ascii="Tw Cen MT Condensed" w:hAnsi="Tw Cen MT Condensed" w:cs="Times New Roman"/>
          <w:b/>
          <w:i/>
          <w:sz w:val="28"/>
          <w:szCs w:val="28"/>
        </w:rPr>
        <w:t>”</w:t>
      </w:r>
      <w:r w:rsidR="00E364FD" w:rsidRPr="00611B1B">
        <w:rPr>
          <w:rFonts w:ascii="Tw Cen MT Condensed" w:hAnsi="Tw Cen MT Condensed" w:cs="Times New Roman"/>
          <w:b/>
          <w:sz w:val="28"/>
          <w:szCs w:val="28"/>
        </w:rPr>
        <w:t xml:space="preserve"> </w:t>
      </w:r>
      <w:r w:rsidR="00E364FD" w:rsidRPr="00611B1B">
        <w:rPr>
          <w:rFonts w:ascii="Tw Cen MT Condensed" w:hAnsi="Tw Cen MT Condensed" w:cs="Times New Roman"/>
          <w:sz w:val="28"/>
          <w:szCs w:val="28"/>
        </w:rPr>
        <w:t>data identif</w:t>
      </w:r>
      <w:r w:rsidRPr="00611B1B">
        <w:rPr>
          <w:rFonts w:ascii="Tw Cen MT Condensed" w:hAnsi="Tw Cen MT Condensed" w:cs="Times New Roman"/>
          <w:sz w:val="28"/>
          <w:szCs w:val="28"/>
        </w:rPr>
        <w:t>y</w:t>
      </w:r>
      <w:r w:rsidR="00267746" w:rsidRPr="00611B1B">
        <w:rPr>
          <w:rFonts w:ascii="Tw Cen MT Condensed" w:hAnsi="Tw Cen MT Condensed" w:cs="Times New Roman"/>
          <w:sz w:val="28"/>
          <w:szCs w:val="28"/>
        </w:rPr>
        <w:t xml:space="preserve"> </w:t>
      </w:r>
      <w:r w:rsidR="00E364FD" w:rsidRPr="00611B1B">
        <w:rPr>
          <w:rFonts w:ascii="Tw Cen MT Condensed" w:hAnsi="Tw Cen MT Condensed" w:cs="Times New Roman"/>
          <w:sz w:val="28"/>
          <w:szCs w:val="28"/>
        </w:rPr>
        <w:t>the occupation/profession of the affected worker.   Occupations are coded using the federal Standard Occupation Coding (SOC) classification system</w:t>
      </w:r>
      <w:r w:rsidR="004D1542">
        <w:rPr>
          <w:rFonts w:ascii="Tw Cen MT Condensed" w:hAnsi="Tw Cen MT Condensed" w:cs="Times New Roman"/>
          <w:sz w:val="28"/>
          <w:szCs w:val="28"/>
        </w:rPr>
        <w:t>.</w:t>
      </w:r>
      <w:r w:rsidR="005E6AB7">
        <w:rPr>
          <w:rFonts w:ascii="Tw Cen MT Condensed" w:hAnsi="Tw Cen MT Condensed" w:cs="Times New Roman"/>
          <w:sz w:val="28"/>
          <w:szCs w:val="28"/>
          <w:vertAlign w:val="superscript"/>
        </w:rPr>
        <w:t>3</w:t>
      </w:r>
    </w:p>
    <w:p w:rsidR="002871E6" w:rsidRPr="004D1542" w:rsidRDefault="004D1542" w:rsidP="004D1542">
      <w:pPr>
        <w:spacing w:after="0"/>
        <w:rPr>
          <w:rFonts w:ascii="Tw Cen MT Condensed" w:hAnsi="Tw Cen MT Condensed"/>
          <w:sz w:val="28"/>
          <w:szCs w:val="28"/>
        </w:rPr>
      </w:pPr>
      <w:r w:rsidRPr="004D1542">
        <w:rPr>
          <w:rFonts w:ascii="Tw Cen MT Condensed" w:hAnsi="Tw Cen MT Condensed"/>
          <w:sz w:val="28"/>
          <w:szCs w:val="28"/>
        </w:rPr>
        <w:t xml:space="preserve"> </w:t>
      </w:r>
    </w:p>
    <w:p w:rsidR="003A4451" w:rsidRDefault="00A543D8" w:rsidP="00B936FF">
      <w:pPr>
        <w:pStyle w:val="ListParagraph"/>
        <w:numPr>
          <w:ilvl w:val="0"/>
          <w:numId w:val="15"/>
        </w:numPr>
        <w:spacing w:line="240" w:lineRule="auto"/>
        <w:rPr>
          <w:rFonts w:ascii="Tw Cen MT Condensed" w:hAnsi="Tw Cen MT Condensed" w:cs="Times New Roman"/>
          <w:sz w:val="28"/>
          <w:szCs w:val="28"/>
        </w:rPr>
      </w:pPr>
      <w:r w:rsidRPr="00604C73">
        <w:rPr>
          <w:rFonts w:ascii="Tw Cen MT Condensed" w:hAnsi="Tw Cen MT Condensed" w:cs="Times New Roman"/>
          <w:b/>
          <w:i/>
          <w:sz w:val="28"/>
          <w:szCs w:val="28"/>
        </w:rPr>
        <w:t>“</w:t>
      </w:r>
      <w:r w:rsidR="00E364FD" w:rsidRPr="00604C73">
        <w:rPr>
          <w:rFonts w:ascii="Tw Cen MT Condensed" w:hAnsi="Tw Cen MT Condensed" w:cs="Times New Roman"/>
          <w:b/>
          <w:i/>
          <w:sz w:val="28"/>
          <w:szCs w:val="28"/>
        </w:rPr>
        <w:t>Industry</w:t>
      </w:r>
      <w:r w:rsidRPr="00604C73">
        <w:rPr>
          <w:rFonts w:ascii="Tw Cen MT Condensed" w:hAnsi="Tw Cen MT Condensed" w:cs="Times New Roman"/>
          <w:b/>
          <w:i/>
          <w:sz w:val="28"/>
          <w:szCs w:val="28"/>
        </w:rPr>
        <w:t>”</w:t>
      </w:r>
      <w:r w:rsidR="00E364FD" w:rsidRPr="00611B1B">
        <w:rPr>
          <w:rFonts w:ascii="Tw Cen MT Condensed" w:hAnsi="Tw Cen MT Condensed" w:cs="Times New Roman"/>
          <w:b/>
          <w:sz w:val="28"/>
          <w:szCs w:val="28"/>
        </w:rPr>
        <w:t xml:space="preserve"> </w:t>
      </w:r>
      <w:r w:rsidR="00E364FD" w:rsidRPr="00611B1B">
        <w:rPr>
          <w:rFonts w:ascii="Tw Cen MT Condensed" w:hAnsi="Tw Cen MT Condensed" w:cs="Times New Roman"/>
          <w:sz w:val="28"/>
          <w:szCs w:val="28"/>
        </w:rPr>
        <w:t>data identif</w:t>
      </w:r>
      <w:r w:rsidRPr="00611B1B">
        <w:rPr>
          <w:rFonts w:ascii="Tw Cen MT Condensed" w:hAnsi="Tw Cen MT Condensed" w:cs="Times New Roman"/>
          <w:sz w:val="28"/>
          <w:szCs w:val="28"/>
        </w:rPr>
        <w:t>y</w:t>
      </w:r>
      <w:r w:rsidR="00E364FD" w:rsidRPr="00611B1B">
        <w:rPr>
          <w:rFonts w:ascii="Tw Cen MT Condensed" w:hAnsi="Tw Cen MT Condensed" w:cs="Times New Roman"/>
          <w:sz w:val="28"/>
          <w:szCs w:val="28"/>
        </w:rPr>
        <w:t xml:space="preserve"> the assigned federal classification of the employer industry.  The federal classification system used is the North American Industry Classification System (NAICS</w:t>
      </w:r>
      <w:r w:rsidR="00543A07" w:rsidRPr="00611B1B">
        <w:rPr>
          <w:rFonts w:ascii="Tw Cen MT Condensed" w:hAnsi="Tw Cen MT Condensed" w:cs="Times New Roman"/>
          <w:sz w:val="28"/>
          <w:szCs w:val="28"/>
        </w:rPr>
        <w:t>)</w:t>
      </w:r>
      <w:r w:rsidR="004D1542">
        <w:rPr>
          <w:rFonts w:ascii="Tw Cen MT Condensed" w:hAnsi="Tw Cen MT Condensed" w:cs="Times New Roman"/>
          <w:sz w:val="28"/>
          <w:szCs w:val="28"/>
        </w:rPr>
        <w:t>.</w:t>
      </w:r>
      <w:r w:rsidR="00543A07">
        <w:rPr>
          <w:rFonts w:ascii="Tw Cen MT Condensed" w:hAnsi="Tw Cen MT Condensed" w:cs="Times New Roman"/>
          <w:sz w:val="28"/>
          <w:szCs w:val="28"/>
          <w:vertAlign w:val="superscript"/>
        </w:rPr>
        <w:t xml:space="preserve"> 4</w:t>
      </w:r>
    </w:p>
    <w:p w:rsidR="003A4451" w:rsidRPr="003A4451" w:rsidRDefault="00313CA8" w:rsidP="003A4451">
      <w:pPr>
        <w:pStyle w:val="ListParagraph"/>
        <w:rPr>
          <w:rFonts w:ascii="Tw Cen MT Condensed" w:hAnsi="Tw Cen MT Condensed" w:cs="Times New Roman"/>
          <w:sz w:val="28"/>
          <w:szCs w:val="28"/>
        </w:rPr>
      </w:pPr>
      <w:r w:rsidRPr="00611B1B">
        <w:rPr>
          <w:rFonts w:ascii="Tw Cen MT Condensed" w:hAnsi="Tw Cen MT Condensed"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0A8064E0" wp14:editId="7AAAA62F">
            <wp:simplePos x="0" y="0"/>
            <wp:positionH relativeFrom="margin">
              <wp:posOffset>1925955</wp:posOffset>
            </wp:positionH>
            <wp:positionV relativeFrom="margin">
              <wp:posOffset>1129030</wp:posOffset>
            </wp:positionV>
            <wp:extent cx="3155950" cy="1447800"/>
            <wp:effectExtent l="0" t="0" r="635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_000020808183XXXLarg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9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5EF1" w:rsidRPr="003A4451" w:rsidRDefault="00E364FD" w:rsidP="003A4451">
      <w:pPr>
        <w:rPr>
          <w:rFonts w:ascii="Tw Cen MT Condensed" w:hAnsi="Tw Cen MT Condensed"/>
          <w:sz w:val="28"/>
          <w:szCs w:val="28"/>
        </w:rPr>
      </w:pPr>
      <w:r w:rsidRPr="003A4451">
        <w:rPr>
          <w:rFonts w:ascii="Tw Cen MT Condensed" w:hAnsi="Tw Cen MT Condensed"/>
          <w:sz w:val="28"/>
          <w:szCs w:val="28"/>
        </w:rPr>
        <w:br/>
      </w:r>
    </w:p>
    <w:p w:rsidR="003A4451" w:rsidRPr="003A4451" w:rsidRDefault="003A4451" w:rsidP="003A4451">
      <w:pPr>
        <w:pStyle w:val="ListParagraph"/>
        <w:rPr>
          <w:rFonts w:ascii="Tw Cen MT Condensed" w:hAnsi="Tw Cen MT Condensed" w:cs="Times New Roman"/>
          <w:sz w:val="28"/>
          <w:szCs w:val="28"/>
        </w:rPr>
      </w:pPr>
    </w:p>
    <w:p w:rsidR="003A4451" w:rsidRDefault="003A4451" w:rsidP="003A4451">
      <w:pPr>
        <w:rPr>
          <w:rFonts w:ascii="Tw Cen MT Condensed" w:hAnsi="Tw Cen MT Condensed"/>
          <w:sz w:val="28"/>
          <w:szCs w:val="28"/>
        </w:rPr>
      </w:pPr>
    </w:p>
    <w:p w:rsidR="003A4451" w:rsidRDefault="00313CA8" w:rsidP="003A4451">
      <w:pPr>
        <w:rPr>
          <w:rFonts w:ascii="Tw Cen MT Condensed" w:hAnsi="Tw Cen MT Condensed"/>
          <w:sz w:val="28"/>
          <w:szCs w:val="28"/>
        </w:rPr>
      </w:pPr>
      <w:r w:rsidRPr="00025F09">
        <w:rPr>
          <w:rFonts w:ascii="Tw Cen MT Condensed" w:hAnsi="Tw Cen MT Condens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8A9555" wp14:editId="6D8FDC48">
                <wp:simplePos x="0" y="0"/>
                <wp:positionH relativeFrom="column">
                  <wp:posOffset>1276903</wp:posOffset>
                </wp:positionH>
                <wp:positionV relativeFrom="paragraph">
                  <wp:posOffset>249555</wp:posOffset>
                </wp:positionV>
                <wp:extent cx="4336026" cy="385794"/>
                <wp:effectExtent l="0" t="0" r="762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6026" cy="385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079" w:rsidRPr="003663AC" w:rsidRDefault="00014079">
                            <w:pPr>
                              <w:rPr>
                                <w:rFonts w:ascii="Tw Cen MT Condensed" w:hAnsi="Tw Cen MT Condensed"/>
                                <w:b/>
                              </w:rPr>
                            </w:pPr>
                            <w:proofErr w:type="gramStart"/>
                            <w:r w:rsidRPr="003663AC">
                              <w:rPr>
                                <w:rFonts w:ascii="Tw Cen MT Condensed" w:hAnsi="Tw Cen MT Condensed"/>
                                <w:b/>
                              </w:rPr>
                              <w:t>Figure 3.</w:t>
                            </w:r>
                            <w:proofErr w:type="gramEnd"/>
                            <w:r w:rsidRPr="003663AC">
                              <w:rPr>
                                <w:rFonts w:ascii="Tw Cen MT Condensed" w:hAnsi="Tw Cen MT Condensed"/>
                                <w:b/>
                              </w:rPr>
                              <w:t xml:space="preserve">   Even common cleaning agents can be chemical workplace hazards.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0.55pt;margin-top:19.65pt;width:341.4pt;height:30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" stroked="f">
                <v:textbox>
                  <w:txbxContent>
                    <w:p w:rsidR="00014079" w:rsidRPr="003663AC" w:rsidRDefault="00014079">
                      <w:pPr>
                        <w:rPr>
                          <w:rFonts w:ascii="Tw Cen MT Condensed" w:hAnsi="Tw Cen MT Condensed"/>
                          <w:b/>
                        </w:rPr>
                      </w:pPr>
                      <w:proofErr w:type="gramStart"/>
                      <w:r w:rsidRPr="003663AC">
                        <w:rPr>
                          <w:rFonts w:ascii="Tw Cen MT Condensed" w:hAnsi="Tw Cen MT Condensed"/>
                          <w:b/>
                        </w:rPr>
                        <w:t>Figure 3.</w:t>
                      </w:r>
                      <w:proofErr w:type="gramEnd"/>
                      <w:r w:rsidRPr="003663AC">
                        <w:rPr>
                          <w:rFonts w:ascii="Tw Cen MT Condensed" w:hAnsi="Tw Cen MT Condensed"/>
                          <w:b/>
                        </w:rPr>
                        <w:t xml:space="preserve">   Even common cleaning agents can be chemical workplace hazards.</w:t>
                      </w:r>
                    </w:p>
                  </w:txbxContent>
                </v:textbox>
              </v:shape>
            </w:pict>
          </mc:Fallback>
        </mc:AlternateContent>
      </w:r>
    </w:p>
    <w:p w:rsidR="003A4451" w:rsidRDefault="003A4451" w:rsidP="003A4451">
      <w:pPr>
        <w:rPr>
          <w:rFonts w:ascii="Tw Cen MT Condensed" w:hAnsi="Tw Cen MT Condensed"/>
          <w:sz w:val="28"/>
          <w:szCs w:val="28"/>
        </w:rPr>
      </w:pPr>
    </w:p>
    <w:p w:rsidR="00E364FD" w:rsidRPr="00145C30" w:rsidRDefault="004D1542" w:rsidP="00F74019">
      <w:pPr>
        <w:pStyle w:val="Heading2"/>
      </w:pPr>
      <w:r>
        <w:t>A</w:t>
      </w:r>
      <w:r w:rsidR="00E364FD" w:rsidRPr="00145C30">
        <w:t>NALYSES OF DATA ELEMENTS</w:t>
      </w:r>
    </w:p>
    <w:p w:rsidR="00D8368A" w:rsidRDefault="004C18E7" w:rsidP="00E364FD">
      <w:pPr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 xml:space="preserve">Tables </w:t>
      </w:r>
      <w:r w:rsidR="005E5D73" w:rsidRPr="00611B1B">
        <w:rPr>
          <w:rFonts w:ascii="Tw Cen MT Condensed" w:hAnsi="Tw Cen MT Condensed"/>
          <w:sz w:val="28"/>
          <w:szCs w:val="28"/>
        </w:rPr>
        <w:t>I</w:t>
      </w:r>
      <w:r w:rsidR="00E364FD" w:rsidRPr="00611B1B">
        <w:rPr>
          <w:rFonts w:ascii="Tw Cen MT Condensed" w:hAnsi="Tw Cen MT Condensed"/>
          <w:sz w:val="28"/>
          <w:szCs w:val="28"/>
        </w:rPr>
        <w:t xml:space="preserve"> through V</w:t>
      </w:r>
      <w:r w:rsidR="0078377E" w:rsidRPr="00611B1B">
        <w:rPr>
          <w:rFonts w:ascii="Tw Cen MT Condensed" w:hAnsi="Tw Cen MT Condensed"/>
          <w:sz w:val="28"/>
          <w:szCs w:val="28"/>
        </w:rPr>
        <w:t xml:space="preserve"> present</w:t>
      </w:r>
      <w:r w:rsidR="00E364FD" w:rsidRPr="00611B1B">
        <w:rPr>
          <w:rFonts w:ascii="Tw Cen MT Condensed" w:hAnsi="Tw Cen MT Condensed"/>
          <w:sz w:val="28"/>
          <w:szCs w:val="28"/>
        </w:rPr>
        <w:t xml:space="preserve"> </w:t>
      </w:r>
      <w:r w:rsidR="00A33D64">
        <w:rPr>
          <w:rFonts w:ascii="Tw Cen MT Condensed" w:hAnsi="Tw Cen MT Condensed"/>
          <w:sz w:val="28"/>
          <w:szCs w:val="28"/>
        </w:rPr>
        <w:t>information</w:t>
      </w:r>
      <w:r w:rsidR="005E5D73" w:rsidRPr="00611B1B">
        <w:rPr>
          <w:rFonts w:ascii="Tw Cen MT Condensed" w:hAnsi="Tw Cen MT Condensed"/>
          <w:sz w:val="28"/>
          <w:szCs w:val="28"/>
        </w:rPr>
        <w:t xml:space="preserve"> </w:t>
      </w:r>
      <w:r w:rsidR="00BD186E">
        <w:rPr>
          <w:rFonts w:ascii="Tw Cen MT Condensed" w:hAnsi="Tw Cen MT Condensed"/>
          <w:sz w:val="28"/>
          <w:szCs w:val="28"/>
        </w:rPr>
        <w:t>relat</w:t>
      </w:r>
      <w:r w:rsidR="00E26EC2">
        <w:rPr>
          <w:rFonts w:ascii="Tw Cen MT Condensed" w:hAnsi="Tw Cen MT Condensed"/>
          <w:sz w:val="28"/>
          <w:szCs w:val="28"/>
        </w:rPr>
        <w:t>ed</w:t>
      </w:r>
      <w:r w:rsidR="00BD186E">
        <w:rPr>
          <w:rFonts w:ascii="Tw Cen MT Condensed" w:hAnsi="Tw Cen MT Condensed"/>
          <w:sz w:val="28"/>
          <w:szCs w:val="28"/>
        </w:rPr>
        <w:t xml:space="preserve"> to the</w:t>
      </w:r>
      <w:r w:rsidR="0078377E" w:rsidRPr="00611B1B">
        <w:rPr>
          <w:rFonts w:ascii="Tw Cen MT Condensed" w:hAnsi="Tw Cen MT Condensed"/>
          <w:sz w:val="28"/>
          <w:szCs w:val="28"/>
        </w:rPr>
        <w:t xml:space="preserve"> </w:t>
      </w:r>
      <w:r w:rsidR="00E364FD" w:rsidRPr="00611B1B">
        <w:rPr>
          <w:rFonts w:ascii="Tw Cen MT Condensed" w:hAnsi="Tw Cen MT Condensed"/>
          <w:sz w:val="28"/>
          <w:szCs w:val="28"/>
        </w:rPr>
        <w:t>data elements, worker occupations</w:t>
      </w:r>
      <w:r w:rsidR="00A33D64">
        <w:rPr>
          <w:rFonts w:ascii="Tw Cen MT Condensed" w:hAnsi="Tw Cen MT Condensed"/>
          <w:sz w:val="28"/>
          <w:szCs w:val="28"/>
        </w:rPr>
        <w:t xml:space="preserve"> and employer industries</w:t>
      </w:r>
      <w:r>
        <w:rPr>
          <w:rFonts w:ascii="Tw Cen MT Condensed" w:hAnsi="Tw Cen MT Condensed"/>
          <w:sz w:val="28"/>
          <w:szCs w:val="28"/>
        </w:rPr>
        <w:t xml:space="preserve"> for the 406 lost time injury/illness claims during 2012 and 2013.</w:t>
      </w:r>
    </w:p>
    <w:p w:rsidR="00E364FD" w:rsidRPr="00611B1B" w:rsidRDefault="00A33D64" w:rsidP="00E364FD">
      <w:pPr>
        <w:rPr>
          <w:rFonts w:ascii="Tw Cen MT Condensed" w:hAnsi="Tw Cen MT Condensed"/>
          <w:b/>
          <w:sz w:val="28"/>
          <w:szCs w:val="28"/>
          <w:u w:val="single"/>
        </w:rPr>
      </w:pPr>
      <w:r>
        <w:rPr>
          <w:rFonts w:ascii="Tw Cen MT Condensed" w:hAnsi="Tw Cen MT Condensed"/>
          <w:b/>
          <w:sz w:val="28"/>
          <w:szCs w:val="28"/>
          <w:u w:val="single"/>
        </w:rPr>
        <w:t>Nature</w:t>
      </w:r>
      <w:r w:rsidR="00E364FD" w:rsidRPr="00611B1B">
        <w:rPr>
          <w:rFonts w:ascii="Tw Cen MT Condensed" w:hAnsi="Tw Cen MT Condensed"/>
          <w:b/>
          <w:sz w:val="28"/>
          <w:szCs w:val="28"/>
          <w:u w:val="single"/>
        </w:rPr>
        <w:t xml:space="preserve"> of Injuries or Illnesses</w:t>
      </w:r>
    </w:p>
    <w:p w:rsidR="00E364FD" w:rsidRPr="00A33D64" w:rsidRDefault="00E364FD" w:rsidP="00E364FD">
      <w:pPr>
        <w:rPr>
          <w:rFonts w:ascii="Tw Cen MT Condensed" w:hAnsi="Tw Cen MT Condensed"/>
          <w:sz w:val="28"/>
          <w:szCs w:val="28"/>
        </w:rPr>
      </w:pPr>
      <w:r w:rsidRPr="0059453A">
        <w:rPr>
          <w:rFonts w:ascii="Tw Cen MT Condensed" w:hAnsi="Tw Cen MT Condensed"/>
          <w:sz w:val="28"/>
          <w:szCs w:val="28"/>
        </w:rPr>
        <w:t xml:space="preserve">Table </w:t>
      </w:r>
      <w:r w:rsidR="004D1542">
        <w:rPr>
          <w:rFonts w:ascii="Tw Cen MT Condensed" w:hAnsi="Tw Cen MT Condensed"/>
          <w:sz w:val="28"/>
          <w:szCs w:val="28"/>
        </w:rPr>
        <w:t>1</w:t>
      </w:r>
      <w:r w:rsidRPr="0059453A">
        <w:rPr>
          <w:rFonts w:ascii="Tw Cen MT Condensed" w:hAnsi="Tw Cen MT Condensed"/>
          <w:sz w:val="28"/>
          <w:szCs w:val="28"/>
        </w:rPr>
        <w:t xml:space="preserve"> </w:t>
      </w:r>
      <w:r w:rsidRPr="00611B1B">
        <w:rPr>
          <w:rFonts w:ascii="Tw Cen MT Condensed" w:hAnsi="Tw Cen MT Condensed"/>
          <w:sz w:val="28"/>
          <w:szCs w:val="28"/>
        </w:rPr>
        <w:t>presents 2012</w:t>
      </w:r>
      <w:r w:rsidR="003010A5">
        <w:rPr>
          <w:rFonts w:ascii="Tw Cen MT Condensed" w:hAnsi="Tw Cen MT Condensed"/>
          <w:bCs/>
          <w:color w:val="000000"/>
          <w:sz w:val="28"/>
          <w:szCs w:val="28"/>
        </w:rPr>
        <w:softHyphen/>
        <w:t>–</w:t>
      </w:r>
      <w:r w:rsidR="004D1542">
        <w:rPr>
          <w:rFonts w:ascii="Tw Cen MT Condensed" w:hAnsi="Tw Cen MT Condensed"/>
          <w:bCs/>
          <w:color w:val="000000"/>
          <w:sz w:val="28"/>
          <w:szCs w:val="28"/>
        </w:rPr>
        <w:t xml:space="preserve"> </w:t>
      </w:r>
      <w:r w:rsidRPr="00611B1B">
        <w:rPr>
          <w:rFonts w:ascii="Tw Cen MT Condensed" w:hAnsi="Tw Cen MT Condensed"/>
          <w:sz w:val="28"/>
          <w:szCs w:val="28"/>
        </w:rPr>
        <w:t>2013 data for claims by the nature of th</w:t>
      </w:r>
      <w:r w:rsidR="00E6589C" w:rsidRPr="00611B1B">
        <w:rPr>
          <w:rFonts w:ascii="Tw Cen MT Condensed" w:hAnsi="Tw Cen MT Condensed"/>
          <w:sz w:val="28"/>
          <w:szCs w:val="28"/>
        </w:rPr>
        <w:t>e injury or illness</w:t>
      </w:r>
      <w:r w:rsidR="00A33D64">
        <w:rPr>
          <w:rFonts w:ascii="Tw Cen MT Condensed" w:hAnsi="Tw Cen MT Condensed"/>
          <w:sz w:val="28"/>
          <w:szCs w:val="28"/>
        </w:rPr>
        <w:t>.</w:t>
      </w:r>
    </w:p>
    <w:tbl>
      <w:tblPr>
        <w:tblW w:w="9164" w:type="dxa"/>
        <w:jc w:val="center"/>
        <w:tblInd w:w="780" w:type="dxa"/>
        <w:tblLayout w:type="fixed"/>
        <w:tblLook w:val="04A0" w:firstRow="1" w:lastRow="0" w:firstColumn="1" w:lastColumn="0" w:noHBand="0" w:noVBand="1"/>
      </w:tblPr>
      <w:tblGrid>
        <w:gridCol w:w="4124"/>
        <w:gridCol w:w="1440"/>
        <w:gridCol w:w="1170"/>
        <w:gridCol w:w="1170"/>
        <w:gridCol w:w="1260"/>
      </w:tblGrid>
      <w:tr w:rsidR="00CA4ACF" w:rsidRPr="00145C30" w:rsidTr="00426860">
        <w:trPr>
          <w:trHeight w:val="532"/>
          <w:jc w:val="center"/>
        </w:trPr>
        <w:tc>
          <w:tcPr>
            <w:tcW w:w="9164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4BC96" w:themeFill="background2" w:themeFillShade="BF"/>
          </w:tcPr>
          <w:p w:rsidR="00961BC4" w:rsidRPr="000E6C9F" w:rsidRDefault="00A33D64" w:rsidP="002871E6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0E6C9F">
              <w:rPr>
                <w:b/>
                <w:bCs/>
                <w:sz w:val="28"/>
                <w:szCs w:val="28"/>
              </w:rPr>
              <w:t xml:space="preserve">TABLE </w:t>
            </w:r>
            <w:r w:rsidR="004D1542">
              <w:rPr>
                <w:b/>
                <w:bCs/>
                <w:sz w:val="28"/>
                <w:szCs w:val="28"/>
              </w:rPr>
              <w:t>1</w:t>
            </w:r>
          </w:p>
          <w:p w:rsidR="00961BC4" w:rsidRDefault="00CA4ACF" w:rsidP="002871E6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43B63">
              <w:rPr>
                <w:b/>
                <w:bCs/>
                <w:color w:val="000000"/>
                <w:sz w:val="20"/>
                <w:szCs w:val="20"/>
              </w:rPr>
              <w:t>NATURE OF WORKERS</w:t>
            </w:r>
            <w:r w:rsidR="004D1542">
              <w:rPr>
                <w:b/>
                <w:bCs/>
                <w:color w:val="000000"/>
                <w:sz w:val="20"/>
                <w:szCs w:val="20"/>
              </w:rPr>
              <w:t>’</w:t>
            </w:r>
            <w:r w:rsidRPr="00D43B63">
              <w:rPr>
                <w:b/>
                <w:bCs/>
                <w:color w:val="000000"/>
                <w:sz w:val="20"/>
                <w:szCs w:val="20"/>
              </w:rPr>
              <w:t xml:space="preserve"> COMPENSATION CLAIMS FROM EXPOSURE TO </w:t>
            </w:r>
            <w:r w:rsidRPr="00D43B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HAZARDOUS CHEMICALS OR ADVERSE ENVIRONMENTAL/MICROBIOLOGICAL CONDITIONS  </w:t>
            </w:r>
          </w:p>
          <w:p w:rsidR="00CA4ACF" w:rsidRPr="00D43B63" w:rsidRDefault="00CA4ACF" w:rsidP="003010A5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D43B63">
              <w:rPr>
                <w:rFonts w:cs="Calibri"/>
                <w:b/>
                <w:bCs/>
                <w:color w:val="000000"/>
                <w:sz w:val="20"/>
                <w:szCs w:val="20"/>
              </w:rPr>
              <w:t>(2012</w:t>
            </w:r>
            <w:r w:rsidR="003010A5">
              <w:rPr>
                <w:rFonts w:cs="Calibri"/>
                <w:b/>
                <w:bCs/>
                <w:color w:val="000000"/>
                <w:sz w:val="20"/>
                <w:szCs w:val="20"/>
              </w:rPr>
              <w:t>–</w:t>
            </w:r>
            <w:r w:rsidRPr="00D43B63">
              <w:rPr>
                <w:rFonts w:cs="Calibri"/>
                <w:b/>
                <w:bCs/>
                <w:color w:val="000000"/>
                <w:sz w:val="20"/>
                <w:szCs w:val="20"/>
              </w:rPr>
              <w:t>2013)</w:t>
            </w:r>
          </w:p>
        </w:tc>
      </w:tr>
      <w:tr w:rsidR="00230A99" w:rsidRPr="00145C30" w:rsidTr="00426860">
        <w:trPr>
          <w:trHeight w:val="612"/>
          <w:jc w:val="center"/>
        </w:trPr>
        <w:tc>
          <w:tcPr>
            <w:tcW w:w="4124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230A99" w:rsidRPr="00426860" w:rsidRDefault="00230A99" w:rsidP="00D43B63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860">
              <w:rPr>
                <w:b/>
                <w:bCs/>
                <w:color w:val="000000"/>
                <w:sz w:val="20"/>
                <w:szCs w:val="20"/>
              </w:rPr>
              <w:t>NATURE OF INJURY OR ILLNESS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230A99" w:rsidRPr="00426860" w:rsidRDefault="00426860" w:rsidP="00D43B63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860">
              <w:rPr>
                <w:b/>
                <w:bCs/>
                <w:color w:val="000000"/>
                <w:sz w:val="20"/>
                <w:szCs w:val="20"/>
              </w:rPr>
              <w:t>INCIDENTS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30A99" w:rsidRPr="00426860" w:rsidRDefault="00230A99" w:rsidP="00D43B63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860">
              <w:rPr>
                <w:b/>
                <w:bCs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30A99" w:rsidRPr="00426860" w:rsidRDefault="00230A99" w:rsidP="00D43B63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860">
              <w:rPr>
                <w:b/>
                <w:bCs/>
                <w:color w:val="000000"/>
                <w:sz w:val="20"/>
                <w:szCs w:val="20"/>
              </w:rPr>
              <w:t>PRIVATE SECTOR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4BC96" w:themeFill="background2" w:themeFillShade="BF"/>
            <w:vAlign w:val="center"/>
          </w:tcPr>
          <w:p w:rsidR="00230A99" w:rsidRPr="00426860" w:rsidRDefault="00230A99" w:rsidP="00D43B63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860">
              <w:rPr>
                <w:b/>
                <w:bCs/>
                <w:color w:val="000000"/>
                <w:sz w:val="20"/>
                <w:szCs w:val="20"/>
              </w:rPr>
              <w:t>PUBLIC SECTOR</w:t>
            </w:r>
          </w:p>
        </w:tc>
      </w:tr>
      <w:tr w:rsidR="00230A99" w:rsidRPr="00145C30" w:rsidTr="00426860">
        <w:trPr>
          <w:trHeight w:val="291"/>
          <w:jc w:val="center"/>
        </w:trPr>
        <w:tc>
          <w:tcPr>
            <w:tcW w:w="4124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99" w:rsidRPr="00426860" w:rsidRDefault="00BE1CB2" w:rsidP="00BE1CB2">
            <w:pPr>
              <w:spacing w:after="0"/>
              <w:rPr>
                <w:color w:val="000000"/>
                <w:sz w:val="20"/>
                <w:szCs w:val="20"/>
              </w:rPr>
            </w:pPr>
            <w:r w:rsidRPr="00426860">
              <w:rPr>
                <w:color w:val="000000"/>
                <w:sz w:val="20"/>
                <w:szCs w:val="20"/>
              </w:rPr>
              <w:t xml:space="preserve">Respiratory symptoms: coughing, irritation,  inflammation, difficulty breathing, asthma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9" w:rsidRPr="00426860" w:rsidRDefault="00BE1CB2" w:rsidP="0042686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26860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230A99" w:rsidRPr="00426860" w:rsidRDefault="00007C48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33.</w:t>
            </w:r>
            <w:r w:rsidR="00426860" w:rsidRPr="00426860">
              <w:rPr>
                <w:bCs/>
                <w:color w:val="000000"/>
                <w:sz w:val="20"/>
                <w:szCs w:val="20"/>
              </w:rPr>
              <w:t>5</w:t>
            </w:r>
            <w:r w:rsidRPr="00426860">
              <w:rPr>
                <w:bCs/>
                <w:color w:val="000000"/>
                <w:sz w:val="20"/>
                <w:szCs w:val="20"/>
              </w:rPr>
              <w:t>%</w:t>
            </w:r>
            <w:r w:rsidRPr="00426860">
              <w:rPr>
                <w:bCs/>
                <w:color w:val="000000"/>
                <w:sz w:val="20"/>
                <w:szCs w:val="20"/>
              </w:rPr>
              <w:fldChar w:fldCharType="begin"/>
            </w:r>
            <w:r w:rsidRPr="00426860">
              <w:rPr>
                <w:bCs/>
                <w:color w:val="000000"/>
                <w:sz w:val="20"/>
                <w:szCs w:val="20"/>
              </w:rPr>
              <w:instrText xml:space="preserve"> =product(LEFT/406*100) </w:instrText>
            </w:r>
            <w:r w:rsidRPr="00426860">
              <w:rPr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0A99" w:rsidRPr="00426860" w:rsidRDefault="00BE1CB2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30A99" w:rsidRPr="00426860" w:rsidRDefault="00BE1CB2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230A99" w:rsidRPr="00145C30" w:rsidTr="00426860">
        <w:trPr>
          <w:trHeight w:val="291"/>
          <w:jc w:val="center"/>
        </w:trPr>
        <w:tc>
          <w:tcPr>
            <w:tcW w:w="4124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99" w:rsidRPr="00426860" w:rsidRDefault="00BE1CB2" w:rsidP="00052393">
            <w:pPr>
              <w:spacing w:after="0"/>
              <w:rPr>
                <w:color w:val="000000"/>
                <w:sz w:val="20"/>
                <w:szCs w:val="20"/>
              </w:rPr>
            </w:pPr>
            <w:r w:rsidRPr="00426860">
              <w:rPr>
                <w:color w:val="000000"/>
                <w:sz w:val="20"/>
                <w:szCs w:val="20"/>
              </w:rPr>
              <w:t>Thermal, chemical and inhalation vapor burns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9" w:rsidRPr="00426860" w:rsidRDefault="00BE1CB2" w:rsidP="0042686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26860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230A99" w:rsidRPr="00426860" w:rsidRDefault="00007C48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13.3%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0A99" w:rsidRPr="00426860" w:rsidRDefault="00BE1CB2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30A99" w:rsidRPr="00426860" w:rsidRDefault="00BE1CB2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30A99" w:rsidRPr="00145C30" w:rsidTr="00426860">
        <w:trPr>
          <w:trHeight w:val="291"/>
          <w:jc w:val="center"/>
        </w:trPr>
        <w:tc>
          <w:tcPr>
            <w:tcW w:w="4124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A99" w:rsidRPr="00426860" w:rsidRDefault="00BE1CB2" w:rsidP="00FF6F52">
            <w:pPr>
              <w:spacing w:after="0"/>
              <w:rPr>
                <w:color w:val="000000"/>
                <w:sz w:val="20"/>
                <w:szCs w:val="20"/>
              </w:rPr>
            </w:pPr>
            <w:r w:rsidRPr="00426860">
              <w:rPr>
                <w:color w:val="000000"/>
                <w:sz w:val="20"/>
                <w:szCs w:val="20"/>
              </w:rPr>
              <w:t>Swelling, inflammation, infections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9" w:rsidRPr="00426860" w:rsidRDefault="00BE1CB2" w:rsidP="0042686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2686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230A99" w:rsidRPr="00426860" w:rsidRDefault="00007C48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10.6%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0A99" w:rsidRPr="00426860" w:rsidRDefault="00BE1CB2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30A99" w:rsidRPr="00426860" w:rsidRDefault="00BE1CB2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30A99" w:rsidRPr="00145C30" w:rsidTr="00426860">
        <w:trPr>
          <w:trHeight w:val="291"/>
          <w:jc w:val="center"/>
        </w:trPr>
        <w:tc>
          <w:tcPr>
            <w:tcW w:w="4124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A99" w:rsidRPr="00426860" w:rsidRDefault="00BE1CB2" w:rsidP="00FF6F52">
            <w:pPr>
              <w:spacing w:after="0"/>
              <w:rPr>
                <w:color w:val="000000"/>
                <w:sz w:val="20"/>
                <w:szCs w:val="20"/>
              </w:rPr>
            </w:pPr>
            <w:r w:rsidRPr="00426860">
              <w:rPr>
                <w:color w:val="000000"/>
                <w:sz w:val="20"/>
                <w:szCs w:val="20"/>
              </w:rPr>
              <w:t>Dermatitis, allergic skin reactions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9" w:rsidRPr="00426860" w:rsidRDefault="00BE1CB2" w:rsidP="0042686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2686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230A99" w:rsidRPr="00426860" w:rsidRDefault="00007C48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9.1</w:t>
            </w:r>
            <w:r w:rsidR="00230A99" w:rsidRPr="00426860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0A99" w:rsidRPr="00426860" w:rsidRDefault="00BE1CB2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30A99" w:rsidRPr="00426860" w:rsidRDefault="00BE1CB2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30A99" w:rsidRPr="00145C30" w:rsidTr="00426860">
        <w:trPr>
          <w:trHeight w:val="291"/>
          <w:jc w:val="center"/>
        </w:trPr>
        <w:tc>
          <w:tcPr>
            <w:tcW w:w="4124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A99" w:rsidRPr="00426860" w:rsidRDefault="00BE1CB2" w:rsidP="00FF6F52">
            <w:pPr>
              <w:spacing w:after="0"/>
              <w:rPr>
                <w:color w:val="000000"/>
                <w:sz w:val="20"/>
                <w:szCs w:val="20"/>
              </w:rPr>
            </w:pPr>
            <w:r w:rsidRPr="00426860">
              <w:rPr>
                <w:color w:val="000000"/>
                <w:sz w:val="20"/>
                <w:szCs w:val="20"/>
              </w:rPr>
              <w:t>Unspecified injuries and disorders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9" w:rsidRPr="00426860" w:rsidRDefault="00BE1CB2" w:rsidP="0042686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2686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230A99" w:rsidRPr="00426860" w:rsidRDefault="00007C48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8.6</w:t>
            </w:r>
            <w:r w:rsidR="00230A99" w:rsidRPr="00426860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0A99" w:rsidRPr="00426860" w:rsidRDefault="00BE1CB2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30A99" w:rsidRPr="00426860" w:rsidRDefault="00BE1CB2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30A99" w:rsidRPr="00145C30" w:rsidTr="00426860">
        <w:trPr>
          <w:trHeight w:val="291"/>
          <w:jc w:val="center"/>
        </w:trPr>
        <w:tc>
          <w:tcPr>
            <w:tcW w:w="4124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A99" w:rsidRPr="00426860" w:rsidRDefault="00BE1CB2" w:rsidP="00FF6F52">
            <w:pPr>
              <w:spacing w:after="0"/>
              <w:rPr>
                <w:color w:val="000000"/>
                <w:sz w:val="20"/>
                <w:szCs w:val="20"/>
              </w:rPr>
            </w:pPr>
            <w:r w:rsidRPr="00426860">
              <w:rPr>
                <w:color w:val="000000"/>
                <w:sz w:val="20"/>
                <w:szCs w:val="20"/>
              </w:rPr>
              <w:t>Unspecified allergic reactions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9" w:rsidRPr="00426860" w:rsidRDefault="00BE1CB2" w:rsidP="0042686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2686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230A99" w:rsidRPr="00426860" w:rsidRDefault="00007C48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8.6</w:t>
            </w:r>
            <w:r w:rsidR="00230A99" w:rsidRPr="00426860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0A99" w:rsidRPr="00426860" w:rsidRDefault="00BE1CB2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30A99" w:rsidRPr="00426860" w:rsidRDefault="00BE1CB2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30A99" w:rsidRPr="00145C30" w:rsidTr="00426860">
        <w:trPr>
          <w:trHeight w:val="291"/>
          <w:jc w:val="center"/>
        </w:trPr>
        <w:tc>
          <w:tcPr>
            <w:tcW w:w="4124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A99" w:rsidRPr="00426860" w:rsidRDefault="00BE1CB2" w:rsidP="00426860">
            <w:pPr>
              <w:spacing w:after="0"/>
              <w:rPr>
                <w:color w:val="000000"/>
                <w:sz w:val="20"/>
                <w:szCs w:val="20"/>
              </w:rPr>
            </w:pPr>
            <w:r w:rsidRPr="00426860">
              <w:rPr>
                <w:color w:val="000000"/>
                <w:sz w:val="20"/>
                <w:szCs w:val="20"/>
              </w:rPr>
              <w:t>General</w:t>
            </w:r>
            <w:r w:rsidR="00426860">
              <w:rPr>
                <w:color w:val="000000"/>
                <w:sz w:val="20"/>
                <w:szCs w:val="20"/>
              </w:rPr>
              <w:t>,</w:t>
            </w:r>
            <w:r w:rsidRPr="00426860">
              <w:rPr>
                <w:color w:val="000000"/>
                <w:sz w:val="20"/>
                <w:szCs w:val="20"/>
              </w:rPr>
              <w:t xml:space="preserve"> physical symptoms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9" w:rsidRPr="00426860" w:rsidRDefault="00BE1CB2" w:rsidP="0042686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2686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230A99" w:rsidRPr="00426860" w:rsidRDefault="00007C48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5.7</w:t>
            </w:r>
            <w:r w:rsidR="00230A99" w:rsidRPr="00426860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0A99" w:rsidRPr="00426860" w:rsidRDefault="00BE1CB2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30A99" w:rsidRPr="00426860" w:rsidRDefault="00BE1CB2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30A99" w:rsidRPr="00145C30" w:rsidTr="00426860">
        <w:trPr>
          <w:trHeight w:val="291"/>
          <w:jc w:val="center"/>
        </w:trPr>
        <w:tc>
          <w:tcPr>
            <w:tcW w:w="4124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A99" w:rsidRPr="00426860" w:rsidRDefault="00BE1CB2" w:rsidP="00FF6F52">
            <w:pPr>
              <w:spacing w:after="0"/>
              <w:rPr>
                <w:color w:val="000000"/>
                <w:sz w:val="20"/>
                <w:szCs w:val="20"/>
              </w:rPr>
            </w:pPr>
            <w:r w:rsidRPr="00426860">
              <w:rPr>
                <w:color w:val="000000"/>
                <w:sz w:val="20"/>
                <w:szCs w:val="20"/>
              </w:rPr>
              <w:t>Dizziness, weakness or nausea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9" w:rsidRPr="00426860" w:rsidRDefault="00BE1CB2" w:rsidP="0042686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2686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230A99" w:rsidRPr="00426860" w:rsidRDefault="00007C48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4.9</w:t>
            </w:r>
            <w:r w:rsidR="00230A99" w:rsidRPr="00426860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0A99" w:rsidRPr="00426860" w:rsidRDefault="00BE1CB2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30A99" w:rsidRPr="00426860" w:rsidRDefault="00BE1CB2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30A99" w:rsidRPr="00145C30" w:rsidTr="00426860">
        <w:trPr>
          <w:trHeight w:val="291"/>
          <w:jc w:val="center"/>
        </w:trPr>
        <w:tc>
          <w:tcPr>
            <w:tcW w:w="4124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99" w:rsidRPr="00426860" w:rsidRDefault="00BE1CB2" w:rsidP="00BE1CB2">
            <w:pPr>
              <w:spacing w:after="0"/>
              <w:rPr>
                <w:color w:val="000000"/>
                <w:sz w:val="20"/>
                <w:szCs w:val="20"/>
              </w:rPr>
            </w:pPr>
            <w:r w:rsidRPr="00426860">
              <w:rPr>
                <w:color w:val="000000"/>
                <w:sz w:val="20"/>
                <w:szCs w:val="20"/>
              </w:rPr>
              <w:t>Headache, migraine, visual loss</w:t>
            </w:r>
            <w:r w:rsidR="00230A99" w:rsidRPr="0042686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9" w:rsidRPr="00426860" w:rsidRDefault="00007C48" w:rsidP="0042686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2686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230A99" w:rsidRPr="00426860" w:rsidRDefault="00007C48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2</w:t>
            </w:r>
            <w:r w:rsidR="00230A99" w:rsidRPr="00426860">
              <w:rPr>
                <w:bCs/>
                <w:color w:val="000000"/>
                <w:sz w:val="20"/>
                <w:szCs w:val="20"/>
              </w:rPr>
              <w:t>.2%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0A99" w:rsidRPr="00426860" w:rsidRDefault="00007C48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30A99" w:rsidRPr="00426860" w:rsidRDefault="00007C48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0A99" w:rsidRPr="00145C30" w:rsidTr="00426860">
        <w:trPr>
          <w:trHeight w:val="291"/>
          <w:jc w:val="center"/>
        </w:trPr>
        <w:tc>
          <w:tcPr>
            <w:tcW w:w="4124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99" w:rsidRPr="00426860" w:rsidRDefault="00007C48" w:rsidP="00007C48">
            <w:pPr>
              <w:spacing w:after="0"/>
              <w:rPr>
                <w:color w:val="000000"/>
                <w:sz w:val="20"/>
                <w:szCs w:val="20"/>
              </w:rPr>
            </w:pPr>
            <w:r w:rsidRPr="00426860">
              <w:rPr>
                <w:color w:val="000000"/>
                <w:sz w:val="20"/>
                <w:szCs w:val="20"/>
              </w:rPr>
              <w:t>Shock, loss of consciousness, convulsions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9" w:rsidRPr="00426860" w:rsidRDefault="00007C48" w:rsidP="0042686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2686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230A99" w:rsidRPr="00426860" w:rsidRDefault="00007C48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1.7</w:t>
            </w:r>
            <w:r w:rsidR="00230A99" w:rsidRPr="00426860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0A99" w:rsidRPr="00426860" w:rsidRDefault="00007C48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30A99" w:rsidRPr="00426860" w:rsidRDefault="00007C48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0A99" w:rsidRPr="00145C30" w:rsidTr="00426860">
        <w:trPr>
          <w:trHeight w:val="291"/>
          <w:jc w:val="center"/>
        </w:trPr>
        <w:tc>
          <w:tcPr>
            <w:tcW w:w="4124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99" w:rsidRPr="00426860" w:rsidRDefault="00007C48" w:rsidP="00052393">
            <w:pPr>
              <w:spacing w:after="0"/>
              <w:rPr>
                <w:color w:val="000000"/>
                <w:sz w:val="20"/>
                <w:szCs w:val="20"/>
              </w:rPr>
            </w:pPr>
            <w:r w:rsidRPr="00426860">
              <w:rPr>
                <w:color w:val="000000"/>
                <w:sz w:val="20"/>
                <w:szCs w:val="20"/>
              </w:rPr>
              <w:t>Other traumatic injuries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9" w:rsidRPr="00426860" w:rsidRDefault="00007C48" w:rsidP="0042686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2686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230A99" w:rsidRPr="00426860" w:rsidRDefault="00007C48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1.7</w:t>
            </w:r>
            <w:r w:rsidR="00230A99" w:rsidRPr="00426860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0A99" w:rsidRPr="00426860" w:rsidRDefault="00007C48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30A99" w:rsidRPr="00426860" w:rsidRDefault="00007C48" w:rsidP="0042686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26860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0A99" w:rsidRPr="00145C30" w:rsidTr="003663AC">
        <w:trPr>
          <w:trHeight w:val="291"/>
          <w:jc w:val="center"/>
        </w:trPr>
        <w:tc>
          <w:tcPr>
            <w:tcW w:w="4124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30A99" w:rsidRPr="00BE1CB2" w:rsidRDefault="00230A99" w:rsidP="00052393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A99" w:rsidRPr="00426860" w:rsidRDefault="00230A99" w:rsidP="00426860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07C48" w:rsidRPr="00426860" w:rsidRDefault="00007C48" w:rsidP="00426860">
            <w:pPr>
              <w:spacing w:after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30A99" w:rsidRPr="00426860" w:rsidRDefault="00230A99" w:rsidP="00426860">
            <w:pPr>
              <w:spacing w:after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30A99" w:rsidRPr="00426860" w:rsidRDefault="00230A99" w:rsidP="00426860">
            <w:pPr>
              <w:spacing w:after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30A99" w:rsidRPr="00145C30" w:rsidTr="003663AC">
        <w:trPr>
          <w:trHeight w:val="291"/>
          <w:jc w:val="center"/>
        </w:trPr>
        <w:tc>
          <w:tcPr>
            <w:tcW w:w="4124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230A99" w:rsidRPr="00961BC4" w:rsidRDefault="00230A99" w:rsidP="00B936FF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61BC4">
              <w:rPr>
                <w:b/>
                <w:bCs/>
                <w:color w:val="000000"/>
                <w:sz w:val="20"/>
                <w:szCs w:val="20"/>
              </w:rPr>
              <w:t>TOTALS FOR ALL CLAIMS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230A99" w:rsidRPr="00961BC4" w:rsidRDefault="00426860" w:rsidP="000E6C9F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BC4"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961BC4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961BC4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61BC4">
              <w:rPr>
                <w:b/>
                <w:bCs/>
                <w:noProof/>
                <w:color w:val="000000"/>
                <w:sz w:val="20"/>
                <w:szCs w:val="20"/>
              </w:rPr>
              <w:t>406</w:t>
            </w:r>
            <w:r w:rsidRPr="00961BC4"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24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230A99" w:rsidRPr="00961BC4" w:rsidRDefault="00230A99" w:rsidP="000E6C9F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230A99" w:rsidRPr="00961BC4" w:rsidRDefault="00007C48" w:rsidP="000E6C9F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BC4"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961BC4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961BC4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61BC4">
              <w:rPr>
                <w:b/>
                <w:bCs/>
                <w:noProof/>
                <w:color w:val="000000"/>
                <w:sz w:val="20"/>
                <w:szCs w:val="20"/>
              </w:rPr>
              <w:t>311</w:t>
            </w:r>
            <w:r w:rsidRPr="00961BC4"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C4BC96" w:themeFill="background2" w:themeFillShade="BF"/>
          </w:tcPr>
          <w:p w:rsidR="00230A99" w:rsidRPr="00961BC4" w:rsidRDefault="00007C48" w:rsidP="000E6C9F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BC4"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961BC4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961BC4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61BC4">
              <w:rPr>
                <w:b/>
                <w:bCs/>
                <w:noProof/>
                <w:color w:val="000000"/>
                <w:sz w:val="20"/>
                <w:szCs w:val="20"/>
              </w:rPr>
              <w:t>95</w:t>
            </w:r>
            <w:r w:rsidRPr="00961BC4"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B936FF" w:rsidRDefault="00B936FF" w:rsidP="00B936FF">
      <w:pPr>
        <w:rPr>
          <w:rFonts w:ascii="Tw Cen MT Condensed" w:hAnsi="Tw Cen MT Condensed"/>
          <w:sz w:val="28"/>
          <w:szCs w:val="28"/>
        </w:rPr>
      </w:pPr>
    </w:p>
    <w:p w:rsidR="00B936FF" w:rsidRDefault="00A33D64" w:rsidP="00B936FF">
      <w:pPr>
        <w:rPr>
          <w:b/>
        </w:rPr>
      </w:pPr>
      <w:r w:rsidRPr="00623265">
        <w:rPr>
          <w:rFonts w:ascii="Tw Cen MT Condensed" w:hAnsi="Tw Cen MT Condensed"/>
          <w:sz w:val="28"/>
          <w:szCs w:val="28"/>
        </w:rPr>
        <w:t>Of the 40</w:t>
      </w:r>
      <w:r w:rsidR="00350B8A" w:rsidRPr="00623265">
        <w:rPr>
          <w:rFonts w:ascii="Tw Cen MT Condensed" w:hAnsi="Tw Cen MT Condensed"/>
          <w:sz w:val="28"/>
          <w:szCs w:val="28"/>
        </w:rPr>
        <w:t>6</w:t>
      </w:r>
      <w:r w:rsidR="00E364FD" w:rsidRPr="00623265">
        <w:rPr>
          <w:rFonts w:ascii="Tw Cen MT Condensed" w:hAnsi="Tw Cen MT Condensed"/>
          <w:sz w:val="28"/>
          <w:szCs w:val="28"/>
        </w:rPr>
        <w:t xml:space="preserve"> report</w:t>
      </w:r>
      <w:r w:rsidRPr="00623265">
        <w:rPr>
          <w:rFonts w:ascii="Tw Cen MT Condensed" w:hAnsi="Tw Cen MT Condensed"/>
          <w:sz w:val="28"/>
          <w:szCs w:val="28"/>
        </w:rPr>
        <w:t xml:space="preserve">ed </w:t>
      </w:r>
      <w:r w:rsidR="00E364FD" w:rsidRPr="00623265">
        <w:rPr>
          <w:rFonts w:ascii="Tw Cen MT Condensed" w:hAnsi="Tw Cen MT Condensed"/>
          <w:sz w:val="28"/>
          <w:szCs w:val="28"/>
        </w:rPr>
        <w:t xml:space="preserve">chemical and </w:t>
      </w:r>
      <w:r w:rsidR="008323BD" w:rsidRPr="00623265">
        <w:rPr>
          <w:rFonts w:ascii="Tw Cen MT Condensed" w:hAnsi="Tw Cen MT Condensed"/>
          <w:sz w:val="28"/>
          <w:szCs w:val="28"/>
        </w:rPr>
        <w:t>related</w:t>
      </w:r>
      <w:r w:rsidR="00E364FD" w:rsidRPr="00623265">
        <w:rPr>
          <w:rFonts w:ascii="Tw Cen MT Condensed" w:hAnsi="Tw Cen MT Condensed"/>
          <w:sz w:val="28"/>
          <w:szCs w:val="28"/>
        </w:rPr>
        <w:t xml:space="preserve"> claims</w:t>
      </w:r>
      <w:r w:rsidR="00623265">
        <w:rPr>
          <w:rFonts w:ascii="Tw Cen MT Condensed" w:hAnsi="Tw Cen MT Condensed"/>
          <w:sz w:val="28"/>
          <w:szCs w:val="28"/>
        </w:rPr>
        <w:t>,</w:t>
      </w:r>
      <w:r w:rsidR="00623265" w:rsidRPr="00623265">
        <w:rPr>
          <w:rFonts w:ascii="Tw Cen MT Condensed" w:hAnsi="Tw Cen MT Condensed"/>
          <w:sz w:val="28"/>
          <w:szCs w:val="28"/>
        </w:rPr>
        <w:t xml:space="preserve"> </w:t>
      </w:r>
      <w:r w:rsidR="00543A07" w:rsidRPr="00623265">
        <w:rPr>
          <w:rFonts w:ascii="Tw Cen MT Condensed" w:hAnsi="Tw Cen MT Condensed"/>
          <w:sz w:val="28"/>
          <w:szCs w:val="28"/>
        </w:rPr>
        <w:t>one</w:t>
      </w:r>
      <w:r w:rsidR="004D1542">
        <w:rPr>
          <w:rFonts w:ascii="Tw Cen MT Condensed" w:hAnsi="Tw Cen MT Condensed"/>
          <w:sz w:val="28"/>
          <w:szCs w:val="28"/>
        </w:rPr>
        <w:t xml:space="preserve"> </w:t>
      </w:r>
      <w:r w:rsidR="00543A07" w:rsidRPr="00623265">
        <w:rPr>
          <w:rFonts w:ascii="Tw Cen MT Condensed" w:hAnsi="Tw Cen MT Condensed"/>
          <w:sz w:val="28"/>
          <w:szCs w:val="28"/>
        </w:rPr>
        <w:t>third</w:t>
      </w:r>
      <w:r w:rsidR="00623265" w:rsidRPr="00623265">
        <w:rPr>
          <w:rFonts w:ascii="Tw Cen MT Condensed" w:hAnsi="Tw Cen MT Condensed"/>
          <w:sz w:val="28"/>
          <w:szCs w:val="28"/>
        </w:rPr>
        <w:t xml:space="preserve"> involved </w:t>
      </w:r>
      <w:r w:rsidR="00623265" w:rsidRPr="005C36D0">
        <w:rPr>
          <w:rFonts w:ascii="Tw Cen MT Condensed" w:hAnsi="Tw Cen MT Condensed"/>
          <w:i/>
          <w:sz w:val="28"/>
          <w:szCs w:val="28"/>
        </w:rPr>
        <w:t>respiratory problems</w:t>
      </w:r>
      <w:r w:rsidR="00623265" w:rsidRPr="00623265">
        <w:rPr>
          <w:rFonts w:ascii="Tw Cen MT Condensed" w:hAnsi="Tw Cen MT Condensed"/>
          <w:sz w:val="28"/>
          <w:szCs w:val="28"/>
        </w:rPr>
        <w:t xml:space="preserve">. </w:t>
      </w:r>
      <w:r w:rsidR="00623265" w:rsidRPr="005C36D0">
        <w:rPr>
          <w:rFonts w:ascii="Tw Cen MT Condensed" w:hAnsi="Tw Cen MT Condensed"/>
          <w:i/>
          <w:sz w:val="28"/>
          <w:szCs w:val="28"/>
        </w:rPr>
        <w:t>Thermal,</w:t>
      </w:r>
      <w:r w:rsidR="00E364FD" w:rsidRPr="005C36D0">
        <w:rPr>
          <w:rFonts w:ascii="Tw Cen MT Condensed" w:hAnsi="Tw Cen MT Condensed"/>
          <w:i/>
          <w:sz w:val="28"/>
          <w:szCs w:val="28"/>
        </w:rPr>
        <w:t xml:space="preserve"> chemical</w:t>
      </w:r>
      <w:r w:rsidR="00623265" w:rsidRPr="005C36D0">
        <w:rPr>
          <w:rFonts w:ascii="Tw Cen MT Condensed" w:hAnsi="Tw Cen MT Condensed"/>
          <w:i/>
          <w:sz w:val="28"/>
          <w:szCs w:val="28"/>
        </w:rPr>
        <w:t>,</w:t>
      </w:r>
      <w:r w:rsidR="00E364FD" w:rsidRPr="005C36D0">
        <w:rPr>
          <w:rFonts w:ascii="Tw Cen MT Condensed" w:hAnsi="Tw Cen MT Condensed"/>
          <w:i/>
          <w:sz w:val="28"/>
          <w:szCs w:val="28"/>
        </w:rPr>
        <w:t xml:space="preserve"> </w:t>
      </w:r>
      <w:r w:rsidR="00350B8A" w:rsidRPr="005C36D0">
        <w:rPr>
          <w:rFonts w:ascii="Tw Cen MT Condensed" w:hAnsi="Tw Cen MT Condensed"/>
          <w:i/>
          <w:sz w:val="28"/>
          <w:szCs w:val="28"/>
        </w:rPr>
        <w:t>and inhalation</w:t>
      </w:r>
      <w:r w:rsidR="007A1366" w:rsidRPr="005C36D0">
        <w:rPr>
          <w:rFonts w:ascii="Tw Cen MT Condensed" w:hAnsi="Tw Cen MT Condensed"/>
          <w:i/>
          <w:sz w:val="28"/>
          <w:szCs w:val="28"/>
        </w:rPr>
        <w:t xml:space="preserve"> vapor</w:t>
      </w:r>
      <w:r w:rsidR="00350B8A" w:rsidRPr="005C36D0">
        <w:rPr>
          <w:rFonts w:ascii="Tw Cen MT Condensed" w:hAnsi="Tw Cen MT Condensed"/>
          <w:i/>
          <w:sz w:val="28"/>
          <w:szCs w:val="28"/>
        </w:rPr>
        <w:t xml:space="preserve"> burns</w:t>
      </w:r>
      <w:r w:rsidR="00350B8A" w:rsidRPr="00623265">
        <w:rPr>
          <w:rFonts w:ascii="Tw Cen MT Condensed" w:hAnsi="Tw Cen MT Condensed"/>
          <w:sz w:val="28"/>
          <w:szCs w:val="28"/>
        </w:rPr>
        <w:t xml:space="preserve"> </w:t>
      </w:r>
      <w:r w:rsidR="00E364FD" w:rsidRPr="00623265">
        <w:rPr>
          <w:rFonts w:ascii="Tw Cen MT Condensed" w:hAnsi="Tw Cen MT Condensed"/>
          <w:sz w:val="28"/>
          <w:szCs w:val="28"/>
        </w:rPr>
        <w:t>accounted for</w:t>
      </w:r>
      <w:r w:rsidR="00623265">
        <w:rPr>
          <w:rFonts w:ascii="Tw Cen MT Condensed" w:hAnsi="Tw Cen MT Condensed"/>
          <w:sz w:val="28"/>
          <w:szCs w:val="28"/>
        </w:rPr>
        <w:t xml:space="preserve"> o</w:t>
      </w:r>
      <w:r w:rsidR="00293039">
        <w:rPr>
          <w:rFonts w:ascii="Tw Cen MT Condensed" w:hAnsi="Tw Cen MT Condensed"/>
          <w:sz w:val="28"/>
          <w:szCs w:val="28"/>
        </w:rPr>
        <w:t xml:space="preserve">ver 13 percent </w:t>
      </w:r>
      <w:r w:rsidR="00623265">
        <w:rPr>
          <w:rFonts w:ascii="Tw Cen MT Condensed" w:hAnsi="Tw Cen MT Condensed"/>
          <w:sz w:val="28"/>
          <w:szCs w:val="28"/>
        </w:rPr>
        <w:t>of the claim</w:t>
      </w:r>
      <w:r w:rsidR="000E6C9F">
        <w:rPr>
          <w:rFonts w:ascii="Tw Cen MT Condensed" w:hAnsi="Tw Cen MT Condensed"/>
          <w:sz w:val="28"/>
          <w:szCs w:val="28"/>
        </w:rPr>
        <w:t>s</w:t>
      </w:r>
      <w:r w:rsidR="00293039">
        <w:rPr>
          <w:rFonts w:ascii="Tw Cen MT Condensed" w:hAnsi="Tw Cen MT Condensed"/>
          <w:sz w:val="28"/>
          <w:szCs w:val="28"/>
        </w:rPr>
        <w:t>;</w:t>
      </w:r>
      <w:r w:rsidR="00623265">
        <w:rPr>
          <w:rFonts w:ascii="Tw Cen MT Condensed" w:hAnsi="Tw Cen MT Condensed"/>
          <w:sz w:val="28"/>
          <w:szCs w:val="28"/>
        </w:rPr>
        <w:t xml:space="preserve"> and </w:t>
      </w:r>
      <w:r w:rsidR="00623265" w:rsidRPr="005C36D0">
        <w:rPr>
          <w:rFonts w:ascii="Tw Cen MT Condensed" w:hAnsi="Tw Cen MT Condensed"/>
          <w:i/>
          <w:sz w:val="28"/>
          <w:szCs w:val="28"/>
        </w:rPr>
        <w:t>infections, swelling and inflammations</w:t>
      </w:r>
      <w:r w:rsidR="00293039">
        <w:rPr>
          <w:rFonts w:ascii="Tw Cen MT Condensed" w:hAnsi="Tw Cen MT Condensed"/>
          <w:sz w:val="28"/>
          <w:szCs w:val="28"/>
        </w:rPr>
        <w:t xml:space="preserve"> accounted</w:t>
      </w:r>
      <w:r w:rsidR="00623265">
        <w:rPr>
          <w:rFonts w:ascii="Tw Cen MT Condensed" w:hAnsi="Tw Cen MT Condensed"/>
          <w:sz w:val="28"/>
          <w:szCs w:val="28"/>
        </w:rPr>
        <w:t xml:space="preserve"> for ju</w:t>
      </w:r>
      <w:r w:rsidR="00293039">
        <w:rPr>
          <w:rFonts w:ascii="Tw Cen MT Condensed" w:hAnsi="Tw Cen MT Condensed"/>
          <w:sz w:val="28"/>
          <w:szCs w:val="28"/>
        </w:rPr>
        <w:t>st over 10 percent</w:t>
      </w:r>
      <w:r w:rsidR="00623265">
        <w:rPr>
          <w:rFonts w:ascii="Tw Cen MT Condensed" w:hAnsi="Tw Cen MT Condensed"/>
          <w:sz w:val="28"/>
          <w:szCs w:val="28"/>
        </w:rPr>
        <w:t>.</w:t>
      </w:r>
    </w:p>
    <w:p w:rsidR="00B936FF" w:rsidRDefault="00B936FF" w:rsidP="004B061B">
      <w:pPr>
        <w:spacing w:after="0"/>
        <w:rPr>
          <w:rFonts w:ascii="Tw Cen MT Condensed" w:hAnsi="Tw Cen MT Condensed"/>
          <w:b/>
          <w:sz w:val="28"/>
          <w:szCs w:val="28"/>
          <w:u w:val="single"/>
        </w:rPr>
      </w:pPr>
    </w:p>
    <w:p w:rsidR="00E364FD" w:rsidRPr="00611B1B" w:rsidRDefault="00E364FD" w:rsidP="00E364FD">
      <w:pPr>
        <w:rPr>
          <w:rFonts w:ascii="Tw Cen MT Condensed" w:hAnsi="Tw Cen MT Condensed"/>
          <w:sz w:val="28"/>
          <w:szCs w:val="28"/>
          <w:u w:val="single"/>
        </w:rPr>
      </w:pPr>
      <w:r w:rsidRPr="00611B1B">
        <w:rPr>
          <w:rFonts w:ascii="Tw Cen MT Condensed" w:hAnsi="Tw Cen MT Condensed"/>
          <w:b/>
          <w:sz w:val="28"/>
          <w:szCs w:val="28"/>
          <w:u w:val="single"/>
        </w:rPr>
        <w:t>Sources of Injuries or Illnesses</w:t>
      </w:r>
    </w:p>
    <w:p w:rsidR="007B22CA" w:rsidRDefault="00E364FD" w:rsidP="00F7030B">
      <w:pPr>
        <w:rPr>
          <w:rFonts w:ascii="Tw Cen MT Condensed" w:hAnsi="Tw Cen MT Condensed"/>
          <w:sz w:val="28"/>
          <w:szCs w:val="28"/>
        </w:rPr>
      </w:pPr>
      <w:r w:rsidRPr="00611B1B">
        <w:rPr>
          <w:rFonts w:ascii="Tw Cen MT Condensed" w:hAnsi="Tw Cen MT Condensed"/>
          <w:sz w:val="28"/>
          <w:szCs w:val="28"/>
        </w:rPr>
        <w:t xml:space="preserve">Table </w:t>
      </w:r>
      <w:r w:rsidR="004D1542">
        <w:rPr>
          <w:rFonts w:ascii="Tw Cen MT Condensed" w:hAnsi="Tw Cen MT Condensed"/>
          <w:sz w:val="28"/>
          <w:szCs w:val="28"/>
        </w:rPr>
        <w:t>2</w:t>
      </w:r>
      <w:r w:rsidRPr="00611B1B">
        <w:rPr>
          <w:rFonts w:ascii="Tw Cen MT Condensed" w:hAnsi="Tw Cen MT Condensed"/>
          <w:sz w:val="28"/>
          <w:szCs w:val="28"/>
        </w:rPr>
        <w:t xml:space="preserve"> provides 2012</w:t>
      </w:r>
      <w:r w:rsidR="003010A5">
        <w:rPr>
          <w:rFonts w:ascii="Tw Cen MT Condensed" w:hAnsi="Tw Cen MT Condensed"/>
          <w:bCs/>
          <w:color w:val="000000"/>
          <w:sz w:val="28"/>
          <w:szCs w:val="28"/>
        </w:rPr>
        <w:t>–</w:t>
      </w:r>
      <w:r w:rsidR="004D1542">
        <w:rPr>
          <w:rFonts w:ascii="Tw Cen MT Condensed" w:hAnsi="Tw Cen MT Condensed"/>
          <w:bCs/>
          <w:color w:val="000000"/>
          <w:sz w:val="28"/>
          <w:szCs w:val="28"/>
        </w:rPr>
        <w:t xml:space="preserve"> </w:t>
      </w:r>
      <w:r w:rsidRPr="00611B1B">
        <w:rPr>
          <w:rFonts w:ascii="Tw Cen MT Condensed" w:hAnsi="Tw Cen MT Condensed"/>
          <w:sz w:val="28"/>
          <w:szCs w:val="28"/>
        </w:rPr>
        <w:t xml:space="preserve">2013 chemical and </w:t>
      </w:r>
      <w:r w:rsidR="008323BD">
        <w:rPr>
          <w:rFonts w:ascii="Tw Cen MT Condensed" w:hAnsi="Tw Cen MT Condensed"/>
          <w:sz w:val="28"/>
          <w:szCs w:val="28"/>
        </w:rPr>
        <w:t>related</w:t>
      </w:r>
      <w:r w:rsidRPr="00611B1B">
        <w:rPr>
          <w:rFonts w:ascii="Tw Cen MT Condensed" w:hAnsi="Tw Cen MT Condensed"/>
          <w:sz w:val="28"/>
          <w:szCs w:val="28"/>
        </w:rPr>
        <w:t xml:space="preserve"> claims data by the source of the injury or illness.  Data in this table </w:t>
      </w:r>
      <w:r w:rsidR="00E05416" w:rsidRPr="00611B1B">
        <w:rPr>
          <w:rFonts w:ascii="Tw Cen MT Condensed" w:hAnsi="Tw Cen MT Condensed"/>
          <w:sz w:val="28"/>
          <w:szCs w:val="28"/>
        </w:rPr>
        <w:t>are</w:t>
      </w:r>
      <w:r w:rsidRPr="00611B1B">
        <w:rPr>
          <w:rFonts w:ascii="Tw Cen MT Condensed" w:hAnsi="Tw Cen MT Condensed"/>
          <w:sz w:val="28"/>
          <w:szCs w:val="28"/>
        </w:rPr>
        <w:t xml:space="preserve"> presented</w:t>
      </w:r>
      <w:r w:rsidR="00BD7344">
        <w:rPr>
          <w:rFonts w:ascii="Tw Cen MT Condensed" w:hAnsi="Tw Cen MT Condensed"/>
          <w:sz w:val="28"/>
          <w:szCs w:val="28"/>
        </w:rPr>
        <w:t xml:space="preserve"> for all sources with specific data </w:t>
      </w:r>
      <w:r w:rsidR="00BD7344" w:rsidRPr="00611B1B">
        <w:rPr>
          <w:rFonts w:ascii="Tw Cen MT Condensed" w:hAnsi="Tw Cen MT Condensed"/>
          <w:sz w:val="28"/>
          <w:szCs w:val="28"/>
        </w:rPr>
        <w:t>for</w:t>
      </w:r>
      <w:r w:rsidR="00E05416" w:rsidRPr="00611B1B">
        <w:rPr>
          <w:rFonts w:ascii="Tw Cen MT Condensed" w:hAnsi="Tw Cen MT Condensed"/>
          <w:sz w:val="28"/>
          <w:szCs w:val="28"/>
        </w:rPr>
        <w:t xml:space="preserve"> sources</w:t>
      </w:r>
      <w:r w:rsidR="00BD7344">
        <w:rPr>
          <w:rFonts w:ascii="Tw Cen MT Condensed" w:hAnsi="Tw Cen MT Condensed"/>
          <w:sz w:val="28"/>
          <w:szCs w:val="28"/>
        </w:rPr>
        <w:t xml:space="preserve"> having 10 or more incidents</w:t>
      </w:r>
      <w:r w:rsidR="00E05416" w:rsidRPr="00611B1B">
        <w:rPr>
          <w:rFonts w:ascii="Tw Cen MT Condensed" w:hAnsi="Tw Cen MT Condensed"/>
          <w:sz w:val="28"/>
          <w:szCs w:val="28"/>
        </w:rPr>
        <w:t>.</w:t>
      </w:r>
      <w:r w:rsidR="00BE68F7">
        <w:rPr>
          <w:rFonts w:ascii="Tw Cen MT Condensed" w:hAnsi="Tw Cen MT Condensed"/>
          <w:sz w:val="28"/>
          <w:szCs w:val="28"/>
        </w:rPr>
        <w:t xml:space="preserve">                                            </w:t>
      </w:r>
    </w:p>
    <w:tbl>
      <w:tblPr>
        <w:tblW w:w="10185" w:type="dxa"/>
        <w:tblInd w:w="93" w:type="dxa"/>
        <w:tblLook w:val="04A0" w:firstRow="1" w:lastRow="0" w:firstColumn="1" w:lastColumn="0" w:noHBand="0" w:noVBand="1"/>
      </w:tblPr>
      <w:tblGrid>
        <w:gridCol w:w="5187"/>
        <w:gridCol w:w="1308"/>
        <w:gridCol w:w="1170"/>
        <w:gridCol w:w="1350"/>
        <w:gridCol w:w="1170"/>
      </w:tblGrid>
      <w:tr w:rsidR="000E6C9F" w:rsidRPr="00750301" w:rsidTr="00B927D0">
        <w:trPr>
          <w:trHeight w:val="300"/>
        </w:trPr>
        <w:tc>
          <w:tcPr>
            <w:tcW w:w="10185" w:type="dxa"/>
            <w:gridSpan w:val="5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4BC96" w:themeFill="background2" w:themeFillShade="BF"/>
          </w:tcPr>
          <w:p w:rsidR="000E6C9F" w:rsidRPr="000E6C9F" w:rsidRDefault="000E6C9F" w:rsidP="00961BC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0E6C9F">
              <w:rPr>
                <w:b/>
                <w:bCs/>
                <w:sz w:val="28"/>
                <w:szCs w:val="28"/>
              </w:rPr>
              <w:t xml:space="preserve">TABLE </w:t>
            </w:r>
            <w:r w:rsidR="004D1542">
              <w:rPr>
                <w:b/>
                <w:bCs/>
                <w:sz w:val="28"/>
                <w:szCs w:val="28"/>
              </w:rPr>
              <w:t>2</w:t>
            </w:r>
          </w:p>
          <w:p w:rsidR="000E6C9F" w:rsidRDefault="000E6C9F" w:rsidP="00961BC4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61BC4">
              <w:rPr>
                <w:b/>
                <w:bCs/>
                <w:sz w:val="20"/>
                <w:szCs w:val="20"/>
              </w:rPr>
              <w:t>SOURCES OF</w:t>
            </w:r>
            <w:r w:rsidRPr="00961BC4">
              <w:rPr>
                <w:rFonts w:cs="Calibri"/>
                <w:b/>
                <w:bCs/>
                <w:sz w:val="20"/>
                <w:szCs w:val="20"/>
              </w:rPr>
              <w:t xml:space="preserve"> WORKERS' COMPENSATION CLAIMS FROM EXPOSURE TO HAZARDOUS</w:t>
            </w:r>
          </w:p>
          <w:p w:rsidR="000E6C9F" w:rsidRDefault="000E6C9F" w:rsidP="00961BC4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61BC4">
              <w:rPr>
                <w:rFonts w:cs="Calibri"/>
                <w:b/>
                <w:bCs/>
                <w:sz w:val="20"/>
                <w:szCs w:val="20"/>
              </w:rPr>
              <w:t xml:space="preserve">CHEMICALS OR ADVERSE ENVIRONMENTAL/MICROBIOLOGICAL CONDITIONS  </w:t>
            </w:r>
          </w:p>
          <w:p w:rsidR="000E6C9F" w:rsidRPr="00961BC4" w:rsidRDefault="000E6C9F" w:rsidP="00961BC4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961BC4">
              <w:rPr>
                <w:rFonts w:cs="Calibri"/>
                <w:b/>
                <w:bCs/>
                <w:sz w:val="20"/>
                <w:szCs w:val="20"/>
              </w:rPr>
              <w:t>(2012–2013)</w:t>
            </w:r>
          </w:p>
        </w:tc>
      </w:tr>
      <w:tr w:rsidR="00623265" w:rsidRPr="00750301" w:rsidTr="00B927D0">
        <w:trPr>
          <w:trHeight w:val="300"/>
        </w:trPr>
        <w:tc>
          <w:tcPr>
            <w:tcW w:w="518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623265" w:rsidRPr="00961BC4" w:rsidRDefault="00623265" w:rsidP="00750301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961BC4">
              <w:rPr>
                <w:b/>
                <w:color w:val="000000"/>
                <w:sz w:val="20"/>
                <w:szCs w:val="20"/>
              </w:rPr>
              <w:t>SOURCES</w:t>
            </w:r>
          </w:p>
        </w:tc>
        <w:tc>
          <w:tcPr>
            <w:tcW w:w="13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623265" w:rsidRPr="00961BC4" w:rsidRDefault="00623265" w:rsidP="00293039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INCIDENTS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623265" w:rsidRDefault="00623265" w:rsidP="00293039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623265" w:rsidRPr="00961BC4" w:rsidRDefault="00623265" w:rsidP="00293039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PRIVATE SECTOR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623265" w:rsidRPr="00961BC4" w:rsidRDefault="00623265" w:rsidP="00750301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PUBLIC SECTOR</w:t>
            </w:r>
          </w:p>
        </w:tc>
      </w:tr>
      <w:tr w:rsidR="00623265" w:rsidRPr="00750301" w:rsidTr="00B927D0">
        <w:trPr>
          <w:trHeight w:val="300"/>
        </w:trPr>
        <w:tc>
          <w:tcPr>
            <w:tcW w:w="518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623265">
            <w:pPr>
              <w:spacing w:after="0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Cleaning and polishing agents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265" w:rsidRPr="00623265" w:rsidRDefault="00293039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14</w:t>
            </w:r>
          </w:p>
        </w:tc>
      </w:tr>
      <w:tr w:rsidR="00623265" w:rsidRPr="00750301" w:rsidTr="00B927D0">
        <w:trPr>
          <w:trHeight w:val="300"/>
        </w:trPr>
        <w:tc>
          <w:tcPr>
            <w:tcW w:w="518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293039" w:rsidP="00293039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Ambient  </w:t>
            </w:r>
            <w:r w:rsidR="00623265" w:rsidRPr="00623265">
              <w:rPr>
                <w:color w:val="000000"/>
                <w:sz w:val="18"/>
                <w:szCs w:val="18"/>
              </w:rPr>
              <w:t>conditions, unknown chemicals/microbes in the air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265" w:rsidRPr="00623265" w:rsidRDefault="00293039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16.3%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28</w:t>
            </w:r>
          </w:p>
        </w:tc>
      </w:tr>
      <w:tr w:rsidR="00623265" w:rsidRPr="00750301" w:rsidTr="00B927D0">
        <w:trPr>
          <w:trHeight w:val="300"/>
        </w:trPr>
        <w:tc>
          <w:tcPr>
            <w:tcW w:w="518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750301">
            <w:pPr>
              <w:spacing w:after="0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Unspecified or unclassified chemicals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265" w:rsidRPr="00623265" w:rsidRDefault="00293039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14.3%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14</w:t>
            </w:r>
          </w:p>
        </w:tc>
      </w:tr>
      <w:tr w:rsidR="00623265" w:rsidRPr="00750301" w:rsidTr="00B927D0">
        <w:trPr>
          <w:trHeight w:val="300"/>
        </w:trPr>
        <w:tc>
          <w:tcPr>
            <w:tcW w:w="518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750301">
            <w:pPr>
              <w:spacing w:after="0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Mold, fungi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265" w:rsidRPr="00623265" w:rsidRDefault="00293039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8.6%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11</w:t>
            </w:r>
          </w:p>
        </w:tc>
      </w:tr>
      <w:tr w:rsidR="00623265" w:rsidRPr="00750301" w:rsidTr="00B927D0">
        <w:trPr>
          <w:trHeight w:val="300"/>
        </w:trPr>
        <w:tc>
          <w:tcPr>
            <w:tcW w:w="518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750301">
            <w:pPr>
              <w:spacing w:after="0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Propane, natural gas, gasoline, diesel fuel, petroleum fuels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265" w:rsidRPr="00623265" w:rsidRDefault="00293039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5.2%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2</w:t>
            </w:r>
          </w:p>
        </w:tc>
      </w:tr>
      <w:tr w:rsidR="00623265" w:rsidRPr="00750301" w:rsidTr="00B927D0">
        <w:trPr>
          <w:trHeight w:val="300"/>
        </w:trPr>
        <w:tc>
          <w:tcPr>
            <w:tcW w:w="518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750301">
            <w:pPr>
              <w:spacing w:after="0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Drugs, alcohol, medications, vaccines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265" w:rsidRPr="00623265" w:rsidRDefault="00293039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2</w:t>
            </w:r>
          </w:p>
        </w:tc>
      </w:tr>
      <w:tr w:rsidR="00623265" w:rsidRPr="00750301" w:rsidTr="00B927D0">
        <w:trPr>
          <w:trHeight w:val="300"/>
        </w:trPr>
        <w:tc>
          <w:tcPr>
            <w:tcW w:w="518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750301">
            <w:pPr>
              <w:spacing w:after="0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Paint, lacquer, varnish, thinners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265" w:rsidRPr="00623265" w:rsidRDefault="00293039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4.4%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4</w:t>
            </w:r>
          </w:p>
        </w:tc>
      </w:tr>
      <w:tr w:rsidR="00623265" w:rsidRPr="00750301" w:rsidTr="00B927D0">
        <w:trPr>
          <w:trHeight w:val="300"/>
        </w:trPr>
        <w:tc>
          <w:tcPr>
            <w:tcW w:w="518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750301">
            <w:pPr>
              <w:spacing w:after="0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Cosmetics, beauty preparation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265" w:rsidRPr="00623265" w:rsidRDefault="00293039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4.4%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6</w:t>
            </w:r>
          </w:p>
        </w:tc>
      </w:tr>
      <w:tr w:rsidR="00623265" w:rsidRPr="00750301" w:rsidTr="00B927D0">
        <w:trPr>
          <w:trHeight w:val="300"/>
        </w:trPr>
        <w:tc>
          <w:tcPr>
            <w:tcW w:w="518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750301">
            <w:pPr>
              <w:spacing w:after="0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Other specific chemicals with less than three incidents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265" w:rsidRPr="00623265" w:rsidRDefault="00293039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3</w:t>
            </w:r>
          </w:p>
        </w:tc>
      </w:tr>
      <w:tr w:rsidR="00623265" w:rsidRPr="00750301" w:rsidTr="00B927D0">
        <w:trPr>
          <w:trHeight w:val="300"/>
        </w:trPr>
        <w:tc>
          <w:tcPr>
            <w:tcW w:w="518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4D1542" w:rsidP="00750301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Disinfectants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265" w:rsidRPr="00623265" w:rsidRDefault="00293039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1</w:t>
            </w:r>
          </w:p>
        </w:tc>
      </w:tr>
      <w:tr w:rsidR="00623265" w:rsidRPr="00750301" w:rsidTr="00B927D0">
        <w:trPr>
          <w:trHeight w:val="300"/>
        </w:trPr>
        <w:tc>
          <w:tcPr>
            <w:tcW w:w="518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750301">
            <w:pPr>
              <w:spacing w:after="0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Soaps detergents, shampoos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265" w:rsidRPr="00623265" w:rsidRDefault="00293039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1</w:t>
            </w:r>
          </w:p>
        </w:tc>
      </w:tr>
      <w:tr w:rsidR="00623265" w:rsidRPr="00750301" w:rsidTr="00B927D0">
        <w:trPr>
          <w:trHeight w:val="300"/>
        </w:trPr>
        <w:tc>
          <w:tcPr>
            <w:tcW w:w="518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750301">
            <w:pPr>
              <w:spacing w:after="0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Bleach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265" w:rsidRPr="00623265" w:rsidRDefault="00293039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1</w:t>
            </w:r>
          </w:p>
        </w:tc>
      </w:tr>
      <w:tr w:rsidR="00623265" w:rsidRPr="00750301" w:rsidTr="00B927D0">
        <w:trPr>
          <w:trHeight w:val="300"/>
        </w:trPr>
        <w:tc>
          <w:tcPr>
            <w:tcW w:w="518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750301">
            <w:pPr>
              <w:spacing w:after="0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Acids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265" w:rsidRPr="00623265" w:rsidRDefault="00293039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1</w:t>
            </w:r>
          </w:p>
        </w:tc>
      </w:tr>
      <w:tr w:rsidR="00623265" w:rsidRPr="00750301" w:rsidTr="00B927D0">
        <w:trPr>
          <w:trHeight w:val="300"/>
        </w:trPr>
        <w:tc>
          <w:tcPr>
            <w:tcW w:w="518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750301">
            <w:pPr>
              <w:spacing w:after="0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Smoke (non-firefighting)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265" w:rsidRPr="00623265" w:rsidRDefault="00293039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2</w:t>
            </w:r>
          </w:p>
        </w:tc>
      </w:tr>
      <w:tr w:rsidR="00623265" w:rsidRPr="00750301" w:rsidTr="00B927D0">
        <w:trPr>
          <w:trHeight w:val="300"/>
        </w:trPr>
        <w:tc>
          <w:tcPr>
            <w:tcW w:w="518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750301">
            <w:pPr>
              <w:spacing w:after="0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Freon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265" w:rsidRPr="00623265" w:rsidRDefault="00293039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0</w:t>
            </w:r>
          </w:p>
        </w:tc>
      </w:tr>
      <w:tr w:rsidR="00623265" w:rsidRPr="00750301" w:rsidTr="00B927D0">
        <w:trPr>
          <w:trHeight w:val="300"/>
        </w:trPr>
        <w:tc>
          <w:tcPr>
            <w:tcW w:w="518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750301">
            <w:pPr>
              <w:spacing w:after="0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Alkalis, wet cement, lime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265" w:rsidRPr="00623265" w:rsidRDefault="00293039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0</w:t>
            </w:r>
          </w:p>
        </w:tc>
      </w:tr>
      <w:tr w:rsidR="00623265" w:rsidRPr="00750301" w:rsidTr="00B927D0">
        <w:trPr>
          <w:trHeight w:val="300"/>
        </w:trPr>
        <w:tc>
          <w:tcPr>
            <w:tcW w:w="518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750301">
            <w:pPr>
              <w:spacing w:after="0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Pesticides, herbicides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265" w:rsidRPr="00623265" w:rsidRDefault="00293039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1</w:t>
            </w:r>
          </w:p>
        </w:tc>
      </w:tr>
      <w:tr w:rsidR="00623265" w:rsidRPr="00750301" w:rsidTr="00B927D0">
        <w:trPr>
          <w:trHeight w:val="300"/>
        </w:trPr>
        <w:tc>
          <w:tcPr>
            <w:tcW w:w="518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750301">
            <w:pPr>
              <w:spacing w:after="0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Glues, adhesives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265" w:rsidRPr="00623265" w:rsidRDefault="00293039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1</w:t>
            </w:r>
          </w:p>
        </w:tc>
      </w:tr>
      <w:tr w:rsidR="00623265" w:rsidRPr="00750301" w:rsidTr="00B927D0">
        <w:trPr>
          <w:trHeight w:val="300"/>
        </w:trPr>
        <w:tc>
          <w:tcPr>
            <w:tcW w:w="518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750301">
            <w:pPr>
              <w:spacing w:after="0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Sulfur compounds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265" w:rsidRPr="00623265" w:rsidRDefault="00293039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1</w:t>
            </w:r>
          </w:p>
        </w:tc>
      </w:tr>
      <w:tr w:rsidR="00623265" w:rsidRPr="00750301" w:rsidTr="00B927D0">
        <w:trPr>
          <w:trHeight w:val="300"/>
        </w:trPr>
        <w:tc>
          <w:tcPr>
            <w:tcW w:w="518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750301">
            <w:pPr>
              <w:spacing w:after="0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Aldehydes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265" w:rsidRPr="00623265" w:rsidRDefault="00293039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0</w:t>
            </w:r>
          </w:p>
        </w:tc>
      </w:tr>
      <w:tr w:rsidR="00623265" w:rsidRPr="00750301" w:rsidTr="00B927D0">
        <w:trPr>
          <w:trHeight w:val="300"/>
        </w:trPr>
        <w:tc>
          <w:tcPr>
            <w:tcW w:w="518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750301">
            <w:pPr>
              <w:spacing w:after="0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Antifreeze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265" w:rsidRPr="00623265" w:rsidRDefault="00293039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0</w:t>
            </w:r>
          </w:p>
        </w:tc>
      </w:tr>
      <w:tr w:rsidR="00623265" w:rsidRPr="00750301" w:rsidTr="00B927D0">
        <w:trPr>
          <w:trHeight w:val="300"/>
        </w:trPr>
        <w:tc>
          <w:tcPr>
            <w:tcW w:w="518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4D1542" w:rsidP="00750301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Carbon m</w:t>
            </w:r>
            <w:r w:rsidR="00623265" w:rsidRPr="00623265">
              <w:rPr>
                <w:color w:val="000000"/>
                <w:sz w:val="18"/>
                <w:szCs w:val="18"/>
              </w:rPr>
              <w:t>onoxide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265" w:rsidRPr="00623265" w:rsidRDefault="00293039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1</w:t>
            </w:r>
          </w:p>
        </w:tc>
      </w:tr>
      <w:tr w:rsidR="00623265" w:rsidRPr="00750301" w:rsidTr="00B927D0">
        <w:trPr>
          <w:trHeight w:val="300"/>
        </w:trPr>
        <w:tc>
          <w:tcPr>
            <w:tcW w:w="518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750301">
            <w:pPr>
              <w:spacing w:after="0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Metallic particles and lead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265" w:rsidRPr="00623265" w:rsidRDefault="00293039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0</w:t>
            </w:r>
          </w:p>
        </w:tc>
      </w:tr>
      <w:tr w:rsidR="00623265" w:rsidRPr="00750301" w:rsidTr="00B927D0">
        <w:trPr>
          <w:trHeight w:val="300"/>
        </w:trPr>
        <w:tc>
          <w:tcPr>
            <w:tcW w:w="518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750301">
            <w:pPr>
              <w:spacing w:after="0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Solvents, degreasers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265" w:rsidRPr="00623265" w:rsidRDefault="00293039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23265" w:rsidRPr="00623265" w:rsidRDefault="00623265" w:rsidP="0029303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23265">
              <w:rPr>
                <w:color w:val="000000"/>
                <w:sz w:val="18"/>
                <w:szCs w:val="18"/>
              </w:rPr>
              <w:t>1</w:t>
            </w:r>
          </w:p>
        </w:tc>
      </w:tr>
      <w:tr w:rsidR="00623265" w:rsidRPr="00750301" w:rsidTr="00B927D0">
        <w:trPr>
          <w:trHeight w:val="300"/>
        </w:trPr>
        <w:tc>
          <w:tcPr>
            <w:tcW w:w="5187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623265" w:rsidRPr="00623265" w:rsidRDefault="00623265" w:rsidP="00750301">
            <w:pPr>
              <w:spacing w:after="0"/>
              <w:rPr>
                <w:b/>
                <w:color w:val="000000"/>
                <w:sz w:val="18"/>
                <w:szCs w:val="18"/>
              </w:rPr>
            </w:pPr>
            <w:r w:rsidRPr="00623265">
              <w:rPr>
                <w:b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1308" w:type="dxa"/>
            <w:tcBorders>
              <w:top w:val="single" w:sz="2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623265" w:rsidRPr="00623265" w:rsidRDefault="00623265" w:rsidP="00961BC4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623265">
              <w:rPr>
                <w:b/>
                <w:color w:val="000000"/>
                <w:sz w:val="18"/>
                <w:szCs w:val="18"/>
              </w:rPr>
              <w:fldChar w:fldCharType="begin"/>
            </w:r>
            <w:r w:rsidRPr="00623265">
              <w:rPr>
                <w:b/>
                <w:color w:val="000000"/>
                <w:sz w:val="18"/>
                <w:szCs w:val="18"/>
              </w:rPr>
              <w:instrText xml:space="preserve"> =SUM(ABOVE) </w:instrText>
            </w:r>
            <w:r w:rsidRPr="00623265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623265">
              <w:rPr>
                <w:b/>
                <w:noProof/>
                <w:color w:val="000000"/>
                <w:sz w:val="18"/>
                <w:szCs w:val="18"/>
              </w:rPr>
              <w:t>406</w:t>
            </w:r>
            <w:r w:rsidRPr="00623265">
              <w:rPr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623265" w:rsidRPr="00623265" w:rsidRDefault="00623265" w:rsidP="00293039">
            <w:pPr>
              <w:spacing w:after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623265" w:rsidRPr="00623265" w:rsidRDefault="00623265" w:rsidP="00961BC4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623265">
              <w:rPr>
                <w:b/>
                <w:color w:val="000000"/>
                <w:sz w:val="18"/>
                <w:szCs w:val="18"/>
              </w:rPr>
              <w:fldChar w:fldCharType="begin"/>
            </w:r>
            <w:r w:rsidRPr="00623265">
              <w:rPr>
                <w:b/>
                <w:color w:val="000000"/>
                <w:sz w:val="18"/>
                <w:szCs w:val="18"/>
              </w:rPr>
              <w:instrText xml:space="preserve"> =SUM(ABOVE) </w:instrText>
            </w:r>
            <w:r w:rsidRPr="00623265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623265">
              <w:rPr>
                <w:b/>
                <w:noProof/>
                <w:color w:val="000000"/>
                <w:sz w:val="18"/>
                <w:szCs w:val="18"/>
              </w:rPr>
              <w:t>311</w:t>
            </w:r>
            <w:r w:rsidRPr="00623265">
              <w:rPr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623265" w:rsidRPr="00623265" w:rsidRDefault="00623265" w:rsidP="00961BC4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623265">
              <w:rPr>
                <w:b/>
                <w:color w:val="000000"/>
                <w:sz w:val="18"/>
                <w:szCs w:val="18"/>
              </w:rPr>
              <w:fldChar w:fldCharType="begin"/>
            </w:r>
            <w:r w:rsidRPr="00623265">
              <w:rPr>
                <w:b/>
                <w:color w:val="000000"/>
                <w:sz w:val="18"/>
                <w:szCs w:val="18"/>
              </w:rPr>
              <w:instrText xml:space="preserve"> =SUM(ABOVE) </w:instrText>
            </w:r>
            <w:r w:rsidRPr="00623265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623265">
              <w:rPr>
                <w:b/>
                <w:noProof/>
                <w:color w:val="000000"/>
                <w:sz w:val="18"/>
                <w:szCs w:val="18"/>
              </w:rPr>
              <w:t>95</w:t>
            </w:r>
            <w:r w:rsidRPr="00623265">
              <w:rPr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B936FF" w:rsidRDefault="00B936FF" w:rsidP="003A4451">
      <w:pPr>
        <w:jc w:val="center"/>
        <w:rPr>
          <w:rFonts w:ascii="Tw Cen MT Condensed" w:hAnsi="Tw Cen MT Condensed"/>
          <w:sz w:val="28"/>
          <w:szCs w:val="28"/>
        </w:rPr>
      </w:pPr>
      <w:r w:rsidRPr="00604C73">
        <w:rPr>
          <w:noProof/>
        </w:rPr>
        <w:lastRenderedPageBreak/>
        <w:drawing>
          <wp:inline distT="0" distB="0" distL="0" distR="0" wp14:anchorId="09C15855" wp14:editId="59665CD1">
            <wp:extent cx="4821998" cy="2167466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_000003873744Larg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892" cy="2176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451" w:rsidRDefault="003A4451" w:rsidP="00F7030B">
      <w:pPr>
        <w:rPr>
          <w:rFonts w:ascii="Tw Cen MT Condensed" w:hAnsi="Tw Cen MT Condensed"/>
          <w:sz w:val="28"/>
          <w:szCs w:val="28"/>
        </w:rPr>
      </w:pPr>
      <w:r w:rsidRPr="00604C7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49D614" wp14:editId="44A6A74A">
                <wp:simplePos x="0" y="0"/>
                <wp:positionH relativeFrom="column">
                  <wp:posOffset>833120</wp:posOffset>
                </wp:positionH>
                <wp:positionV relativeFrom="paragraph">
                  <wp:posOffset>45720</wp:posOffset>
                </wp:positionV>
                <wp:extent cx="4808855" cy="4445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855" cy="444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4079" w:rsidRPr="003663AC" w:rsidRDefault="00014079" w:rsidP="003A4451">
                            <w:pPr>
                              <w:pStyle w:val="Caption"/>
                              <w:rPr>
                                <w:rFonts w:ascii="Tw Cen MT Condensed" w:hAnsi="Tw Cen MT Condensed"/>
                                <w:b w:val="0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3663AC">
                              <w:rPr>
                                <w:rFonts w:ascii="Tw Cen MT Condensed" w:hAnsi="Tw Cen MT Condensed"/>
                                <w:sz w:val="24"/>
                                <w:szCs w:val="24"/>
                              </w:rPr>
                              <w:t>Figure 4.</w:t>
                            </w:r>
                            <w:proofErr w:type="gramEnd"/>
                            <w:r w:rsidRPr="003663AC">
                              <w:rPr>
                                <w:rFonts w:ascii="Tw Cen MT Condensed" w:hAnsi="Tw Cen MT Condensed"/>
                                <w:sz w:val="24"/>
                                <w:szCs w:val="24"/>
                              </w:rPr>
                              <w:t xml:space="preserve">  Carpet adhesives can release noxious vapors creating adverse environmental conditions (poor indoor air quality).</w:t>
                            </w:r>
                          </w:p>
                          <w:p w:rsidR="00014079" w:rsidRPr="00611B1B" w:rsidRDefault="00014079" w:rsidP="00B936FF">
                            <w:pPr>
                              <w:pStyle w:val="Caption"/>
                              <w:rPr>
                                <w:rFonts w:ascii="Tw Cen MT Condensed" w:hAnsi="Tw Cen MT Condensed"/>
                                <w:noProof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14079" w:rsidRDefault="00014079" w:rsidP="00B936F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65.6pt;margin-top:3.6pt;width:378.65pt;height: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" stroked="f">
                <v:textbox inset="0,0,0,0">
                  <w:txbxContent>
                    <w:p w:rsidR="00014079" w:rsidRPr="003663AC" w:rsidRDefault="00014079" w:rsidP="003A4451">
                      <w:pPr>
                        <w:pStyle w:val="Caption"/>
                        <w:rPr>
                          <w:rFonts w:ascii="Tw Cen MT Condensed" w:hAnsi="Tw Cen MT Condensed"/>
                          <w:b w:val="0"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3663AC">
                        <w:rPr>
                          <w:rFonts w:ascii="Tw Cen MT Condensed" w:hAnsi="Tw Cen MT Condensed"/>
                          <w:sz w:val="24"/>
                          <w:szCs w:val="24"/>
                        </w:rPr>
                        <w:t>Figure 4.</w:t>
                      </w:r>
                      <w:proofErr w:type="gramEnd"/>
                      <w:r w:rsidRPr="003663AC">
                        <w:rPr>
                          <w:rFonts w:ascii="Tw Cen MT Condensed" w:hAnsi="Tw Cen MT Condensed"/>
                          <w:sz w:val="24"/>
                          <w:szCs w:val="24"/>
                        </w:rPr>
                        <w:t xml:space="preserve">  Carpet adhesives can release noxious vapors creating adverse environmental conditions (poor indoor air quality).</w:t>
                      </w:r>
                    </w:p>
                    <w:p w:rsidR="00014079" w:rsidRPr="00611B1B" w:rsidRDefault="00014079" w:rsidP="00B936FF">
                      <w:pPr>
                        <w:pStyle w:val="Caption"/>
                        <w:rPr>
                          <w:rFonts w:ascii="Tw Cen MT Condensed" w:hAnsi="Tw Cen MT Condensed"/>
                          <w:noProof/>
                          <w:sz w:val="28"/>
                          <w:szCs w:val="28"/>
                          <w:u w:val="single"/>
                        </w:rPr>
                      </w:pPr>
                    </w:p>
                    <w:p w:rsidR="00014079" w:rsidRDefault="00014079" w:rsidP="00B936FF"/>
                  </w:txbxContent>
                </v:textbox>
                <w10:wrap type="square"/>
              </v:shape>
            </w:pict>
          </mc:Fallback>
        </mc:AlternateContent>
      </w:r>
    </w:p>
    <w:p w:rsidR="003A4451" w:rsidRDefault="003A4451" w:rsidP="00F7030B">
      <w:pPr>
        <w:rPr>
          <w:rFonts w:ascii="Tw Cen MT Condensed" w:hAnsi="Tw Cen MT Condensed"/>
          <w:sz w:val="28"/>
          <w:szCs w:val="28"/>
        </w:rPr>
      </w:pPr>
    </w:p>
    <w:p w:rsidR="00F7030B" w:rsidRDefault="00293039" w:rsidP="00F7030B">
      <w:pPr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 xml:space="preserve">Ambient environmental conditions including the presence </w:t>
      </w:r>
      <w:r w:rsidR="007067DE">
        <w:rPr>
          <w:rFonts w:ascii="Tw Cen MT Condensed" w:hAnsi="Tw Cen MT Condensed"/>
          <w:sz w:val="28"/>
          <w:szCs w:val="28"/>
        </w:rPr>
        <w:t>of</w:t>
      </w:r>
      <w:r>
        <w:rPr>
          <w:rFonts w:ascii="Tw Cen MT Condensed" w:hAnsi="Tw Cen MT Condensed"/>
          <w:sz w:val="28"/>
          <w:szCs w:val="28"/>
        </w:rPr>
        <w:t xml:space="preserve"> chemicals and microbes in the a</w:t>
      </w:r>
      <w:r w:rsidR="007067DE">
        <w:rPr>
          <w:rFonts w:ascii="Tw Cen MT Condensed" w:hAnsi="Tw Cen MT Condensed"/>
          <w:sz w:val="28"/>
          <w:szCs w:val="28"/>
        </w:rPr>
        <w:t>ir were the largest identified cause</w:t>
      </w:r>
      <w:r w:rsidR="004D1542">
        <w:rPr>
          <w:rFonts w:ascii="Tw Cen MT Condensed" w:hAnsi="Tw Cen MT Condensed"/>
          <w:sz w:val="28"/>
          <w:szCs w:val="28"/>
        </w:rPr>
        <w:t>, accounting</w:t>
      </w:r>
      <w:r w:rsidR="000E6C9F">
        <w:rPr>
          <w:rFonts w:ascii="Tw Cen MT Condensed" w:hAnsi="Tw Cen MT Condensed"/>
          <w:sz w:val="28"/>
          <w:szCs w:val="28"/>
        </w:rPr>
        <w:t xml:space="preserve"> for just over 16 percent </w:t>
      </w:r>
      <w:r w:rsidR="007067DE">
        <w:rPr>
          <w:rFonts w:ascii="Tw Cen MT Condensed" w:hAnsi="Tw Cen MT Condensed"/>
          <w:sz w:val="28"/>
          <w:szCs w:val="28"/>
        </w:rPr>
        <w:t>of</w:t>
      </w:r>
      <w:r>
        <w:rPr>
          <w:rFonts w:ascii="Tw Cen MT Condensed" w:hAnsi="Tw Cen MT Condensed"/>
          <w:sz w:val="28"/>
          <w:szCs w:val="28"/>
        </w:rPr>
        <w:t xml:space="preserve"> the injuries and illnesses</w:t>
      </w:r>
      <w:r w:rsidR="007067DE">
        <w:rPr>
          <w:rFonts w:ascii="Tw Cen MT Condensed" w:hAnsi="Tw Cen MT Condensed"/>
          <w:sz w:val="28"/>
          <w:szCs w:val="28"/>
        </w:rPr>
        <w:t>.  This source category was followed closely by c</w:t>
      </w:r>
      <w:r w:rsidR="00623265">
        <w:rPr>
          <w:rFonts w:ascii="Tw Cen MT Condensed" w:hAnsi="Tw Cen MT Condensed"/>
          <w:sz w:val="28"/>
          <w:szCs w:val="28"/>
        </w:rPr>
        <w:t xml:space="preserve">leaning and polishing agents </w:t>
      </w:r>
      <w:r w:rsidR="007067DE">
        <w:rPr>
          <w:rFonts w:ascii="Tw Cen MT Condensed" w:hAnsi="Tw Cen MT Condensed"/>
          <w:sz w:val="28"/>
          <w:szCs w:val="28"/>
        </w:rPr>
        <w:t>at</w:t>
      </w:r>
      <w:r>
        <w:rPr>
          <w:rFonts w:ascii="Tw Cen MT Condensed" w:hAnsi="Tw Cen MT Condensed"/>
          <w:sz w:val="28"/>
          <w:szCs w:val="28"/>
        </w:rPr>
        <w:t xml:space="preserve"> 15 percent</w:t>
      </w:r>
      <w:r w:rsidR="007067DE">
        <w:rPr>
          <w:rFonts w:ascii="Tw Cen MT Condensed" w:hAnsi="Tw Cen MT Condensed"/>
          <w:sz w:val="28"/>
          <w:szCs w:val="28"/>
        </w:rPr>
        <w:t>.  The third</w:t>
      </w:r>
      <w:r>
        <w:rPr>
          <w:rFonts w:ascii="Tw Cen MT Condensed" w:hAnsi="Tw Cen MT Condensed"/>
          <w:sz w:val="28"/>
          <w:szCs w:val="28"/>
        </w:rPr>
        <w:t xml:space="preserve"> </w:t>
      </w:r>
      <w:r w:rsidR="007067DE">
        <w:rPr>
          <w:rFonts w:ascii="Tw Cen MT Condensed" w:hAnsi="Tw Cen MT Condensed"/>
          <w:sz w:val="28"/>
          <w:szCs w:val="28"/>
        </w:rPr>
        <w:t xml:space="preserve">largest source category </w:t>
      </w:r>
      <w:r w:rsidR="000E6C9F">
        <w:rPr>
          <w:rFonts w:ascii="Tw Cen MT Condensed" w:hAnsi="Tw Cen MT Condensed"/>
          <w:sz w:val="28"/>
          <w:szCs w:val="28"/>
        </w:rPr>
        <w:t>is the set of</w:t>
      </w:r>
      <w:r w:rsidR="007067DE">
        <w:rPr>
          <w:rFonts w:ascii="Tw Cen MT Condensed" w:hAnsi="Tw Cen MT Condensed"/>
          <w:sz w:val="28"/>
          <w:szCs w:val="28"/>
        </w:rPr>
        <w:t xml:space="preserve"> chemicals and agents</w:t>
      </w:r>
      <w:r w:rsidR="00E364FD" w:rsidRPr="00604C73">
        <w:rPr>
          <w:rFonts w:ascii="Tw Cen MT Condensed" w:hAnsi="Tw Cen MT Condensed"/>
          <w:sz w:val="28"/>
          <w:szCs w:val="28"/>
        </w:rPr>
        <w:t xml:space="preserve"> </w:t>
      </w:r>
      <w:r w:rsidR="00E05416" w:rsidRPr="00604C73">
        <w:rPr>
          <w:rFonts w:ascii="Tw Cen MT Condensed" w:hAnsi="Tw Cen MT Condensed"/>
          <w:sz w:val="28"/>
          <w:szCs w:val="28"/>
        </w:rPr>
        <w:t xml:space="preserve">that </w:t>
      </w:r>
      <w:r w:rsidR="00E364FD" w:rsidRPr="00604C73">
        <w:rPr>
          <w:rFonts w:ascii="Tw Cen MT Condensed" w:hAnsi="Tw Cen MT Condensed"/>
          <w:sz w:val="28"/>
          <w:szCs w:val="28"/>
        </w:rPr>
        <w:t xml:space="preserve">could not be coded specifically </w:t>
      </w:r>
      <w:r w:rsidR="00236CC7" w:rsidRPr="00604C73">
        <w:rPr>
          <w:rFonts w:ascii="Tw Cen MT Condensed" w:hAnsi="Tw Cen MT Condensed"/>
          <w:sz w:val="28"/>
          <w:szCs w:val="28"/>
        </w:rPr>
        <w:t>due to insufficient</w:t>
      </w:r>
      <w:r w:rsidR="00E364FD" w:rsidRPr="00604C73">
        <w:rPr>
          <w:rFonts w:ascii="Tw Cen MT Condensed" w:hAnsi="Tw Cen MT Condensed"/>
          <w:sz w:val="28"/>
          <w:szCs w:val="28"/>
        </w:rPr>
        <w:t xml:space="preserve"> </w:t>
      </w:r>
      <w:r w:rsidR="00E40109" w:rsidRPr="00604C73">
        <w:rPr>
          <w:rFonts w:ascii="Tw Cen MT Condensed" w:hAnsi="Tw Cen MT Condensed"/>
          <w:sz w:val="28"/>
          <w:szCs w:val="28"/>
        </w:rPr>
        <w:t>information</w:t>
      </w:r>
      <w:r w:rsidR="007067DE">
        <w:rPr>
          <w:rFonts w:ascii="Tw Cen MT Condensed" w:hAnsi="Tw Cen MT Condensed"/>
          <w:sz w:val="28"/>
          <w:szCs w:val="28"/>
        </w:rPr>
        <w:t xml:space="preserve">.  </w:t>
      </w:r>
      <w:r w:rsidR="00F7030B" w:rsidRPr="007067DE">
        <w:rPr>
          <w:rFonts w:ascii="Tw Cen MT Condensed" w:hAnsi="Tw Cen MT Condensed"/>
          <w:sz w:val="28"/>
          <w:szCs w:val="28"/>
        </w:rPr>
        <w:t>Mold exposure was the</w:t>
      </w:r>
      <w:r w:rsidR="007067DE">
        <w:rPr>
          <w:rFonts w:ascii="Tw Cen MT Condensed" w:hAnsi="Tw Cen MT Condensed"/>
          <w:sz w:val="28"/>
          <w:szCs w:val="28"/>
        </w:rPr>
        <w:t xml:space="preserve"> fourth highest</w:t>
      </w:r>
      <w:r w:rsidR="00F7030B" w:rsidRPr="007067DE">
        <w:rPr>
          <w:rFonts w:ascii="Tw Cen MT Condensed" w:hAnsi="Tw Cen MT Condensed"/>
          <w:sz w:val="28"/>
          <w:szCs w:val="28"/>
        </w:rPr>
        <w:t xml:space="preserve"> specified source with </w:t>
      </w:r>
      <w:r w:rsidR="000E6C9F">
        <w:rPr>
          <w:rFonts w:ascii="Tw Cen MT Condensed" w:hAnsi="Tw Cen MT Condensed"/>
          <w:sz w:val="28"/>
          <w:szCs w:val="28"/>
        </w:rPr>
        <w:t>8.6</w:t>
      </w:r>
      <w:r w:rsidR="000E6C9F" w:rsidRPr="007067DE">
        <w:rPr>
          <w:rFonts w:ascii="Tw Cen MT Condensed" w:hAnsi="Tw Cen MT Condensed"/>
          <w:sz w:val="28"/>
          <w:szCs w:val="28"/>
        </w:rPr>
        <w:t xml:space="preserve"> percent</w:t>
      </w:r>
      <w:r w:rsidR="000E6C9F">
        <w:rPr>
          <w:rFonts w:ascii="Tw Cen MT Condensed" w:hAnsi="Tw Cen MT Condensed"/>
          <w:sz w:val="28"/>
          <w:szCs w:val="28"/>
        </w:rPr>
        <w:t xml:space="preserve"> of the claims.</w:t>
      </w:r>
    </w:p>
    <w:p w:rsidR="000E6C9F" w:rsidRDefault="000E6C9F" w:rsidP="00F7030B">
      <w:pPr>
        <w:rPr>
          <w:rFonts w:ascii="Tw Cen MT Condensed" w:hAnsi="Tw Cen MT Condensed"/>
          <w:sz w:val="28"/>
          <w:szCs w:val="28"/>
        </w:rPr>
      </w:pPr>
    </w:p>
    <w:p w:rsidR="00B936FF" w:rsidRDefault="000E6C9F" w:rsidP="000E6C9F">
      <w:pPr>
        <w:jc w:val="center"/>
        <w:rPr>
          <w:rFonts w:ascii="Tw Cen MT Condensed" w:hAnsi="Tw Cen MT Condensed"/>
          <w:sz w:val="28"/>
          <w:szCs w:val="28"/>
        </w:rPr>
      </w:pPr>
      <w:r w:rsidRPr="00611B1B">
        <w:rPr>
          <w:rFonts w:ascii="Tw Cen MT Condensed" w:hAnsi="Tw Cen MT Condensed"/>
          <w:noProof/>
          <w:sz w:val="28"/>
          <w:szCs w:val="28"/>
        </w:rPr>
        <w:drawing>
          <wp:inline distT="0" distB="0" distL="0" distR="0" wp14:anchorId="05C059EE" wp14:editId="3F46B230">
            <wp:extent cx="4056185" cy="2741018"/>
            <wp:effectExtent l="0" t="0" r="190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_000009890189Larg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149" cy="282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451" w:rsidRPr="003663AC" w:rsidRDefault="00B936FF" w:rsidP="000E6C9F">
      <w:pPr>
        <w:pStyle w:val="Caption"/>
        <w:jc w:val="center"/>
        <w:rPr>
          <w:rFonts w:ascii="Tw Cen MT Condensed" w:hAnsi="Tw Cen MT Condensed"/>
          <w:b w:val="0"/>
          <w:sz w:val="24"/>
          <w:szCs w:val="24"/>
          <w:u w:val="single"/>
        </w:rPr>
      </w:pPr>
      <w:proofErr w:type="gramStart"/>
      <w:r w:rsidRPr="003663AC">
        <w:rPr>
          <w:rFonts w:ascii="Tw Cen MT Condensed" w:hAnsi="Tw Cen MT Condensed"/>
          <w:sz w:val="24"/>
          <w:szCs w:val="24"/>
        </w:rPr>
        <w:t>Figure 5.</w:t>
      </w:r>
      <w:proofErr w:type="gramEnd"/>
      <w:r w:rsidRPr="003663AC">
        <w:rPr>
          <w:rFonts w:ascii="Tw Cen MT Condensed" w:hAnsi="Tw Cen MT Condensed"/>
          <w:sz w:val="24"/>
          <w:szCs w:val="24"/>
        </w:rPr>
        <w:t xml:space="preserve"> Mold along a stairway wall</w:t>
      </w:r>
      <w:r w:rsidR="00025F09" w:rsidRPr="003663AC">
        <w:rPr>
          <w:rFonts w:ascii="Tw Cen MT Condensed" w:hAnsi="Tw Cen MT Condensed"/>
          <w:sz w:val="24"/>
          <w:szCs w:val="24"/>
        </w:rPr>
        <w:t>.</w:t>
      </w:r>
    </w:p>
    <w:p w:rsidR="00D6127D" w:rsidRDefault="00D6127D">
      <w:pPr>
        <w:spacing w:after="0"/>
        <w:rPr>
          <w:rFonts w:ascii="Tw Cen MT Condensed" w:hAnsi="Tw Cen MT Condensed"/>
          <w:b/>
          <w:sz w:val="28"/>
          <w:szCs w:val="28"/>
          <w:u w:val="single"/>
        </w:rPr>
      </w:pPr>
      <w:r>
        <w:rPr>
          <w:rFonts w:ascii="Tw Cen MT Condensed" w:hAnsi="Tw Cen MT Condensed"/>
          <w:b/>
          <w:sz w:val="28"/>
          <w:szCs w:val="28"/>
          <w:u w:val="single"/>
        </w:rPr>
        <w:br w:type="page"/>
      </w:r>
    </w:p>
    <w:p w:rsidR="00E364FD" w:rsidRPr="00611B1B" w:rsidRDefault="00E364FD" w:rsidP="00E364FD">
      <w:pPr>
        <w:rPr>
          <w:rFonts w:ascii="Tw Cen MT Condensed" w:hAnsi="Tw Cen MT Condensed"/>
          <w:b/>
          <w:sz w:val="28"/>
          <w:szCs w:val="28"/>
          <w:u w:val="single"/>
        </w:rPr>
      </w:pPr>
      <w:r w:rsidRPr="00611B1B">
        <w:rPr>
          <w:rFonts w:ascii="Tw Cen MT Condensed" w:hAnsi="Tw Cen MT Condensed"/>
          <w:b/>
          <w:sz w:val="28"/>
          <w:szCs w:val="28"/>
          <w:u w:val="single"/>
        </w:rPr>
        <w:lastRenderedPageBreak/>
        <w:t>Affected Part(s) of the Body</w:t>
      </w:r>
    </w:p>
    <w:p w:rsidR="00BE68F7" w:rsidRPr="007A1366" w:rsidRDefault="00E364FD" w:rsidP="00E364FD">
      <w:pPr>
        <w:rPr>
          <w:rFonts w:ascii="Tw Cen MT Condensed" w:hAnsi="Tw Cen MT Condensed"/>
          <w:sz w:val="28"/>
          <w:szCs w:val="28"/>
        </w:rPr>
      </w:pPr>
      <w:r w:rsidRPr="00611B1B">
        <w:rPr>
          <w:rFonts w:ascii="Tw Cen MT Condensed" w:hAnsi="Tw Cen MT Condensed"/>
          <w:sz w:val="28"/>
          <w:szCs w:val="28"/>
        </w:rPr>
        <w:t xml:space="preserve">Table </w:t>
      </w:r>
      <w:r w:rsidR="004D1542">
        <w:rPr>
          <w:rFonts w:ascii="Tw Cen MT Condensed" w:hAnsi="Tw Cen MT Condensed"/>
          <w:sz w:val="28"/>
          <w:szCs w:val="28"/>
        </w:rPr>
        <w:t>3</w:t>
      </w:r>
      <w:r w:rsidRPr="00611B1B">
        <w:rPr>
          <w:rFonts w:ascii="Tw Cen MT Condensed" w:hAnsi="Tw Cen MT Condensed"/>
          <w:sz w:val="28"/>
          <w:szCs w:val="28"/>
        </w:rPr>
        <w:t xml:space="preserve"> provides 2012</w:t>
      </w:r>
      <w:r w:rsidR="003010A5">
        <w:rPr>
          <w:rFonts w:ascii="Tw Cen MT Condensed" w:hAnsi="Tw Cen MT Condensed"/>
          <w:bCs/>
          <w:sz w:val="28"/>
          <w:szCs w:val="28"/>
        </w:rPr>
        <w:t>–</w:t>
      </w:r>
      <w:r w:rsidR="004D1542">
        <w:rPr>
          <w:rFonts w:ascii="Tw Cen MT Condensed" w:hAnsi="Tw Cen MT Condensed"/>
          <w:bCs/>
          <w:sz w:val="28"/>
          <w:szCs w:val="28"/>
        </w:rPr>
        <w:t xml:space="preserve"> </w:t>
      </w:r>
      <w:r w:rsidRPr="00611B1B">
        <w:rPr>
          <w:rFonts w:ascii="Tw Cen MT Condensed" w:hAnsi="Tw Cen MT Condensed"/>
          <w:sz w:val="28"/>
          <w:szCs w:val="28"/>
        </w:rPr>
        <w:t xml:space="preserve">2013 chemical and </w:t>
      </w:r>
      <w:r w:rsidR="008323BD">
        <w:rPr>
          <w:rFonts w:ascii="Tw Cen MT Condensed" w:hAnsi="Tw Cen MT Condensed"/>
          <w:sz w:val="28"/>
          <w:szCs w:val="28"/>
        </w:rPr>
        <w:t>related</w:t>
      </w:r>
      <w:r w:rsidRPr="00611B1B">
        <w:rPr>
          <w:rFonts w:ascii="Tw Cen MT Condensed" w:hAnsi="Tw Cen MT Condensed"/>
          <w:sz w:val="28"/>
          <w:szCs w:val="28"/>
        </w:rPr>
        <w:t xml:space="preserve"> claims data by affected part(s) of the body.</w:t>
      </w:r>
    </w:p>
    <w:tbl>
      <w:tblPr>
        <w:tblW w:w="9931" w:type="dxa"/>
        <w:jc w:val="center"/>
        <w:tblInd w:w="33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400"/>
        <w:gridCol w:w="1333"/>
        <w:gridCol w:w="1112"/>
        <w:gridCol w:w="1071"/>
        <w:gridCol w:w="1015"/>
      </w:tblGrid>
      <w:tr w:rsidR="00F6708D" w:rsidRPr="00145C30" w:rsidTr="003663AC">
        <w:trPr>
          <w:trHeight w:val="614"/>
          <w:jc w:val="center"/>
        </w:trPr>
        <w:tc>
          <w:tcPr>
            <w:tcW w:w="9931" w:type="dxa"/>
            <w:gridSpan w:val="5"/>
            <w:shd w:val="clear" w:color="auto" w:fill="C4BC96" w:themeFill="background2" w:themeFillShade="BF"/>
            <w:vAlign w:val="center"/>
          </w:tcPr>
          <w:p w:rsidR="00961BC4" w:rsidRPr="000E6C9F" w:rsidRDefault="00A33D64" w:rsidP="00961BC4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6C9F">
              <w:rPr>
                <w:b/>
                <w:bCs/>
                <w:color w:val="000000"/>
                <w:sz w:val="28"/>
                <w:szCs w:val="28"/>
              </w:rPr>
              <w:t xml:space="preserve">TABLE </w:t>
            </w:r>
            <w:r w:rsidR="00B13B01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  <w:p w:rsidR="0059453A" w:rsidRDefault="00F6708D" w:rsidP="00961BC4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61BC4">
              <w:rPr>
                <w:b/>
                <w:bCs/>
                <w:color w:val="000000"/>
                <w:sz w:val="20"/>
                <w:szCs w:val="20"/>
              </w:rPr>
              <w:t>AFFECTED PART(S) OF THE B</w:t>
            </w:r>
            <w:r w:rsidR="004D1542">
              <w:rPr>
                <w:b/>
                <w:bCs/>
                <w:color w:val="000000"/>
                <w:sz w:val="20"/>
                <w:szCs w:val="20"/>
              </w:rPr>
              <w:t>ODY</w:t>
            </w:r>
            <w:r w:rsidRPr="00961BC4">
              <w:rPr>
                <w:b/>
                <w:bCs/>
                <w:color w:val="000000"/>
                <w:sz w:val="20"/>
                <w:szCs w:val="20"/>
              </w:rPr>
              <w:t xml:space="preserve"> FOR </w:t>
            </w:r>
            <w:r w:rsidRPr="00961BC4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WORKERS' COMPENSATION CLAIMS FROM EXPOSURE TO HAZARDOUS CHEMICALS OR ADVERSE ENVIRONMENTAL/MICROBIOLOGICAL CONDITIONS  </w:t>
            </w:r>
          </w:p>
          <w:p w:rsidR="00F6708D" w:rsidRDefault="00F6708D" w:rsidP="00961BC4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61BC4">
              <w:rPr>
                <w:rFonts w:cs="Calibri"/>
                <w:b/>
                <w:bCs/>
                <w:color w:val="000000"/>
                <w:sz w:val="20"/>
                <w:szCs w:val="20"/>
              </w:rPr>
              <w:t>(2012–2013)</w:t>
            </w:r>
          </w:p>
          <w:p w:rsidR="00961BC4" w:rsidRPr="00961BC4" w:rsidRDefault="00961BC4" w:rsidP="00961BC4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3583" w:rsidRPr="00145C30" w:rsidTr="003663AC">
        <w:trPr>
          <w:trHeight w:val="514"/>
          <w:jc w:val="center"/>
        </w:trPr>
        <w:tc>
          <w:tcPr>
            <w:tcW w:w="5400" w:type="dxa"/>
            <w:shd w:val="clear" w:color="auto" w:fill="C4BC96" w:themeFill="background2" w:themeFillShade="BF"/>
            <w:noWrap/>
            <w:vAlign w:val="center"/>
            <w:hideMark/>
          </w:tcPr>
          <w:p w:rsidR="006D3583" w:rsidRPr="00961BC4" w:rsidRDefault="006D3583" w:rsidP="00A543D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BC4">
              <w:rPr>
                <w:b/>
                <w:bCs/>
                <w:color w:val="000000"/>
                <w:sz w:val="20"/>
                <w:szCs w:val="20"/>
              </w:rPr>
              <w:t>PART(S) OF THE BODY</w:t>
            </w:r>
          </w:p>
        </w:tc>
        <w:tc>
          <w:tcPr>
            <w:tcW w:w="1333" w:type="dxa"/>
            <w:shd w:val="clear" w:color="auto" w:fill="C4BC96" w:themeFill="background2" w:themeFillShade="BF"/>
            <w:vAlign w:val="center"/>
          </w:tcPr>
          <w:p w:rsidR="006D3583" w:rsidRPr="00961BC4" w:rsidRDefault="006D3583" w:rsidP="006D3583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BC4">
              <w:rPr>
                <w:b/>
                <w:bCs/>
                <w:color w:val="000000"/>
                <w:sz w:val="20"/>
                <w:szCs w:val="20"/>
              </w:rPr>
              <w:t>INCIDENTS</w:t>
            </w:r>
          </w:p>
        </w:tc>
        <w:tc>
          <w:tcPr>
            <w:tcW w:w="1112" w:type="dxa"/>
            <w:shd w:val="clear" w:color="auto" w:fill="C4BC96" w:themeFill="background2" w:themeFillShade="BF"/>
            <w:vAlign w:val="center"/>
            <w:hideMark/>
          </w:tcPr>
          <w:p w:rsidR="006D3583" w:rsidRPr="00961BC4" w:rsidRDefault="006D3583" w:rsidP="006D3583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BC4">
              <w:rPr>
                <w:b/>
                <w:bCs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1071" w:type="dxa"/>
            <w:shd w:val="clear" w:color="auto" w:fill="C4BC96" w:themeFill="background2" w:themeFillShade="BF"/>
            <w:vAlign w:val="center"/>
          </w:tcPr>
          <w:p w:rsidR="006D3583" w:rsidRPr="00961BC4" w:rsidRDefault="006D3583" w:rsidP="006D3583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BC4">
              <w:rPr>
                <w:b/>
                <w:bCs/>
                <w:color w:val="000000"/>
                <w:sz w:val="20"/>
                <w:szCs w:val="20"/>
              </w:rPr>
              <w:t>PRIVATE  SECTOR</w:t>
            </w:r>
          </w:p>
        </w:tc>
        <w:tc>
          <w:tcPr>
            <w:tcW w:w="1015" w:type="dxa"/>
            <w:shd w:val="clear" w:color="auto" w:fill="C4BC96" w:themeFill="background2" w:themeFillShade="BF"/>
            <w:vAlign w:val="center"/>
            <w:hideMark/>
          </w:tcPr>
          <w:p w:rsidR="006D3583" w:rsidRPr="00961BC4" w:rsidRDefault="006D3583" w:rsidP="006D3583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BC4">
              <w:rPr>
                <w:b/>
                <w:bCs/>
                <w:color w:val="000000"/>
                <w:sz w:val="20"/>
                <w:szCs w:val="20"/>
              </w:rPr>
              <w:t>PUBLIC SECTOR</w:t>
            </w:r>
          </w:p>
        </w:tc>
      </w:tr>
      <w:tr w:rsidR="006D3583" w:rsidRPr="00145C30" w:rsidTr="003663AC">
        <w:trPr>
          <w:trHeight w:val="145"/>
          <w:jc w:val="center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6D3583" w:rsidRPr="00961BC4" w:rsidRDefault="006D3583" w:rsidP="000E6C9F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Body s</w:t>
            </w:r>
            <w:r w:rsidR="00B13B01">
              <w:rPr>
                <w:bCs/>
                <w:color w:val="000000"/>
                <w:sz w:val="20"/>
                <w:szCs w:val="20"/>
              </w:rPr>
              <w:t>ystems (</w:t>
            </w:r>
            <w:r w:rsidR="003B624C" w:rsidRPr="00961BC4">
              <w:rPr>
                <w:bCs/>
                <w:color w:val="000000"/>
                <w:sz w:val="20"/>
                <w:szCs w:val="20"/>
              </w:rPr>
              <w:t xml:space="preserve"> e.g., resp</w:t>
            </w:r>
            <w:r w:rsidR="000E6C9F">
              <w:rPr>
                <w:bCs/>
                <w:color w:val="000000"/>
                <w:sz w:val="20"/>
                <w:szCs w:val="20"/>
              </w:rPr>
              <w:t xml:space="preserve">iratory, </w:t>
            </w:r>
            <w:r w:rsidR="00961BC4">
              <w:rPr>
                <w:bCs/>
                <w:color w:val="000000"/>
                <w:sz w:val="20"/>
                <w:szCs w:val="20"/>
              </w:rPr>
              <w:t>circulatory</w:t>
            </w:r>
            <w:r w:rsidR="00B13B01">
              <w:rPr>
                <w:bCs/>
                <w:color w:val="000000"/>
                <w:sz w:val="20"/>
                <w:szCs w:val="20"/>
              </w:rPr>
              <w:t>,</w:t>
            </w:r>
            <w:r w:rsidR="00961BC4">
              <w:rPr>
                <w:bCs/>
                <w:color w:val="000000"/>
                <w:sz w:val="20"/>
                <w:szCs w:val="20"/>
              </w:rPr>
              <w:t xml:space="preserve"> and</w:t>
            </w:r>
            <w:r w:rsidR="003B624C" w:rsidRPr="00961BC4">
              <w:rPr>
                <w:bCs/>
                <w:color w:val="000000"/>
                <w:sz w:val="20"/>
                <w:szCs w:val="20"/>
              </w:rPr>
              <w:t xml:space="preserve"> nervous</w:t>
            </w:r>
            <w:r w:rsidR="00B13B01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33" w:type="dxa"/>
            <w:vAlign w:val="center"/>
          </w:tcPr>
          <w:p w:rsidR="006D3583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6D3583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29.6</w:t>
            </w:r>
            <w:r w:rsidR="009D79FD" w:rsidRPr="00961BC4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71" w:type="dxa"/>
            <w:vAlign w:val="center"/>
          </w:tcPr>
          <w:p w:rsidR="006D3583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6D3583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6D3583" w:rsidRPr="00145C30" w:rsidTr="003663AC">
        <w:trPr>
          <w:trHeight w:val="145"/>
          <w:jc w:val="center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6D3583" w:rsidRPr="00961BC4" w:rsidRDefault="006D3583" w:rsidP="00A543D8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 xml:space="preserve">Chest and trunk </w:t>
            </w:r>
          </w:p>
        </w:tc>
        <w:tc>
          <w:tcPr>
            <w:tcW w:w="1333" w:type="dxa"/>
            <w:vAlign w:val="center"/>
          </w:tcPr>
          <w:p w:rsidR="006D3583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6D3583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27.3</w:t>
            </w:r>
            <w:r w:rsidR="009D79FD" w:rsidRPr="00961BC4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71" w:type="dxa"/>
            <w:vAlign w:val="center"/>
          </w:tcPr>
          <w:p w:rsidR="006D3583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6D3583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6D3583" w:rsidRPr="00145C30" w:rsidTr="003663AC">
        <w:trPr>
          <w:trHeight w:val="145"/>
          <w:jc w:val="center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6D3583" w:rsidRPr="00961BC4" w:rsidRDefault="006D3583" w:rsidP="00A543D8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 xml:space="preserve">Facial locations and sinuses </w:t>
            </w:r>
          </w:p>
        </w:tc>
        <w:tc>
          <w:tcPr>
            <w:tcW w:w="1333" w:type="dxa"/>
            <w:vAlign w:val="center"/>
          </w:tcPr>
          <w:p w:rsidR="006D3583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6D3583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16.3</w:t>
            </w:r>
            <w:r w:rsidR="009D79FD" w:rsidRPr="00961BC4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71" w:type="dxa"/>
            <w:vAlign w:val="center"/>
          </w:tcPr>
          <w:p w:rsidR="006D3583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6D3583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D3583" w:rsidRPr="00145C30" w:rsidTr="003663AC">
        <w:trPr>
          <w:trHeight w:val="145"/>
          <w:jc w:val="center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6D3583" w:rsidRPr="00961BC4" w:rsidRDefault="006D3583" w:rsidP="00B13B01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 xml:space="preserve">Multiple </w:t>
            </w:r>
            <w:r w:rsidR="00B13B01">
              <w:rPr>
                <w:bCs/>
                <w:color w:val="000000"/>
                <w:sz w:val="20"/>
                <w:szCs w:val="20"/>
              </w:rPr>
              <w:t>b</w:t>
            </w:r>
            <w:r w:rsidRPr="00961BC4">
              <w:rPr>
                <w:bCs/>
                <w:color w:val="000000"/>
                <w:sz w:val="20"/>
                <w:szCs w:val="20"/>
              </w:rPr>
              <w:t xml:space="preserve">ody </w:t>
            </w:r>
            <w:r w:rsidR="00B13B01">
              <w:rPr>
                <w:bCs/>
                <w:color w:val="000000"/>
                <w:sz w:val="20"/>
                <w:szCs w:val="20"/>
              </w:rPr>
              <w:t>p</w:t>
            </w:r>
            <w:r w:rsidRPr="00961BC4">
              <w:rPr>
                <w:bCs/>
                <w:color w:val="000000"/>
                <w:sz w:val="20"/>
                <w:szCs w:val="20"/>
              </w:rPr>
              <w:t>arts (injuries to specifi</w:t>
            </w:r>
            <w:r w:rsidR="00F6708D" w:rsidRPr="00961BC4">
              <w:rPr>
                <w:bCs/>
                <w:color w:val="000000"/>
                <w:sz w:val="20"/>
                <w:szCs w:val="20"/>
              </w:rPr>
              <w:t>ed</w:t>
            </w:r>
            <w:r w:rsidRPr="00961BC4">
              <w:rPr>
                <w:bCs/>
                <w:color w:val="000000"/>
                <w:sz w:val="20"/>
                <w:szCs w:val="20"/>
              </w:rPr>
              <w:t xml:space="preserve"> multiple body parts) </w:t>
            </w:r>
          </w:p>
        </w:tc>
        <w:tc>
          <w:tcPr>
            <w:tcW w:w="1333" w:type="dxa"/>
            <w:vAlign w:val="center"/>
          </w:tcPr>
          <w:p w:rsidR="006D3583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6D3583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9.6</w:t>
            </w:r>
            <w:r w:rsidR="009D79FD" w:rsidRPr="00961BC4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71" w:type="dxa"/>
            <w:vAlign w:val="center"/>
          </w:tcPr>
          <w:p w:rsidR="006D3583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6D3583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6D3583" w:rsidRPr="00145C30" w:rsidTr="003663AC">
        <w:trPr>
          <w:trHeight w:val="145"/>
          <w:jc w:val="center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6D3583" w:rsidRPr="00961BC4" w:rsidRDefault="00F6708D" w:rsidP="00A543D8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Arms, hands and fingers</w:t>
            </w:r>
          </w:p>
        </w:tc>
        <w:tc>
          <w:tcPr>
            <w:tcW w:w="1333" w:type="dxa"/>
            <w:vAlign w:val="center"/>
          </w:tcPr>
          <w:p w:rsidR="006D3583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6D3583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8.9</w:t>
            </w:r>
            <w:r w:rsidR="009D79FD" w:rsidRPr="00961BC4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71" w:type="dxa"/>
            <w:vAlign w:val="center"/>
          </w:tcPr>
          <w:p w:rsidR="006D3583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6D3583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6D3583" w:rsidRPr="00145C30" w:rsidTr="003663AC">
        <w:trPr>
          <w:trHeight w:val="145"/>
          <w:jc w:val="center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6D3583" w:rsidRPr="00961BC4" w:rsidRDefault="00F6708D" w:rsidP="00A543D8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Head and ears</w:t>
            </w:r>
          </w:p>
        </w:tc>
        <w:tc>
          <w:tcPr>
            <w:tcW w:w="1333" w:type="dxa"/>
            <w:vAlign w:val="center"/>
          </w:tcPr>
          <w:p w:rsidR="006D3583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6D3583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3.0</w:t>
            </w:r>
            <w:r w:rsidR="009D79FD" w:rsidRPr="00961BC4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71" w:type="dxa"/>
            <w:vAlign w:val="center"/>
          </w:tcPr>
          <w:p w:rsidR="006D3583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6D3583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6D3583" w:rsidRPr="00145C30" w:rsidTr="003663AC">
        <w:trPr>
          <w:trHeight w:val="145"/>
          <w:jc w:val="center"/>
        </w:trPr>
        <w:tc>
          <w:tcPr>
            <w:tcW w:w="5400" w:type="dxa"/>
            <w:shd w:val="clear" w:color="auto" w:fill="auto"/>
            <w:noWrap/>
            <w:vAlign w:val="bottom"/>
          </w:tcPr>
          <w:p w:rsidR="006D3583" w:rsidRPr="00961BC4" w:rsidRDefault="00F6708D" w:rsidP="00F6708D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L</w:t>
            </w:r>
            <w:r w:rsidR="00B13B01">
              <w:rPr>
                <w:bCs/>
                <w:color w:val="000000"/>
                <w:sz w:val="20"/>
                <w:szCs w:val="20"/>
              </w:rPr>
              <w:t>egs</w:t>
            </w:r>
            <w:r w:rsidRPr="00961BC4">
              <w:rPr>
                <w:bCs/>
                <w:color w:val="000000"/>
                <w:sz w:val="20"/>
                <w:szCs w:val="20"/>
              </w:rPr>
              <w:t xml:space="preserve"> and feet</w:t>
            </w:r>
          </w:p>
        </w:tc>
        <w:tc>
          <w:tcPr>
            <w:tcW w:w="1333" w:type="dxa"/>
            <w:vAlign w:val="center"/>
          </w:tcPr>
          <w:p w:rsidR="006D3583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6D3583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2.2</w:t>
            </w:r>
            <w:r w:rsidR="009D79FD" w:rsidRPr="00961BC4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71" w:type="dxa"/>
            <w:vAlign w:val="center"/>
          </w:tcPr>
          <w:p w:rsidR="006D3583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6D3583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D3583" w:rsidRPr="00145C30" w:rsidTr="003663AC">
        <w:trPr>
          <w:trHeight w:val="145"/>
          <w:jc w:val="center"/>
        </w:trPr>
        <w:tc>
          <w:tcPr>
            <w:tcW w:w="5400" w:type="dxa"/>
            <w:shd w:val="clear" w:color="auto" w:fill="auto"/>
            <w:noWrap/>
            <w:vAlign w:val="bottom"/>
          </w:tcPr>
          <w:p w:rsidR="006D3583" w:rsidRPr="00961BC4" w:rsidRDefault="00F6708D" w:rsidP="00A543D8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Neck and throat</w:t>
            </w:r>
          </w:p>
        </w:tc>
        <w:tc>
          <w:tcPr>
            <w:tcW w:w="1333" w:type="dxa"/>
            <w:vAlign w:val="center"/>
          </w:tcPr>
          <w:p w:rsidR="006D3583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6D3583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1.7</w:t>
            </w:r>
            <w:r w:rsidR="009D79FD" w:rsidRPr="00961BC4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71" w:type="dxa"/>
            <w:vAlign w:val="center"/>
          </w:tcPr>
          <w:p w:rsidR="006D3583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6D3583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F6708D" w:rsidRPr="00145C30" w:rsidTr="003663AC">
        <w:trPr>
          <w:trHeight w:val="145"/>
          <w:jc w:val="center"/>
        </w:trPr>
        <w:tc>
          <w:tcPr>
            <w:tcW w:w="5400" w:type="dxa"/>
            <w:shd w:val="clear" w:color="auto" w:fill="auto"/>
            <w:noWrap/>
            <w:vAlign w:val="bottom"/>
          </w:tcPr>
          <w:p w:rsidR="00F6708D" w:rsidRPr="00961BC4" w:rsidRDefault="00F6708D" w:rsidP="00901C6B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Abdomen and organs</w:t>
            </w:r>
          </w:p>
        </w:tc>
        <w:tc>
          <w:tcPr>
            <w:tcW w:w="1333" w:type="dxa"/>
            <w:vAlign w:val="center"/>
          </w:tcPr>
          <w:p w:rsidR="00F6708D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F6708D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0.7</w:t>
            </w:r>
            <w:r w:rsidR="009D79FD" w:rsidRPr="00961BC4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71" w:type="dxa"/>
            <w:vAlign w:val="center"/>
          </w:tcPr>
          <w:p w:rsidR="00F6708D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6708D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F6708D" w:rsidRPr="00145C30" w:rsidTr="003663AC">
        <w:trPr>
          <w:trHeight w:val="145"/>
          <w:jc w:val="center"/>
        </w:trPr>
        <w:tc>
          <w:tcPr>
            <w:tcW w:w="5400" w:type="dxa"/>
            <w:shd w:val="clear" w:color="auto" w:fill="auto"/>
            <w:noWrap/>
            <w:vAlign w:val="bottom"/>
          </w:tcPr>
          <w:p w:rsidR="00F6708D" w:rsidRPr="00961BC4" w:rsidRDefault="00F6708D" w:rsidP="00901C6B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Pelvic region</w:t>
            </w:r>
          </w:p>
        </w:tc>
        <w:tc>
          <w:tcPr>
            <w:tcW w:w="1333" w:type="dxa"/>
            <w:vAlign w:val="center"/>
          </w:tcPr>
          <w:p w:rsidR="00F6708D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F6708D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0.5</w:t>
            </w:r>
            <w:r w:rsidR="009D79FD" w:rsidRPr="00961BC4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71" w:type="dxa"/>
            <w:vAlign w:val="center"/>
          </w:tcPr>
          <w:p w:rsidR="00F6708D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6708D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F6708D" w:rsidRPr="00145C30" w:rsidTr="003663AC">
        <w:trPr>
          <w:trHeight w:val="145"/>
          <w:jc w:val="center"/>
        </w:trPr>
        <w:tc>
          <w:tcPr>
            <w:tcW w:w="5400" w:type="dxa"/>
            <w:shd w:val="clear" w:color="auto" w:fill="auto"/>
            <w:noWrap/>
            <w:vAlign w:val="bottom"/>
          </w:tcPr>
          <w:p w:rsidR="00F6708D" w:rsidRPr="00961BC4" w:rsidRDefault="00F6708D" w:rsidP="00901C6B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Not classified</w:t>
            </w:r>
          </w:p>
        </w:tc>
        <w:tc>
          <w:tcPr>
            <w:tcW w:w="1333" w:type="dxa"/>
            <w:vAlign w:val="center"/>
          </w:tcPr>
          <w:p w:rsidR="00F6708D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F6708D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0.2</w:t>
            </w:r>
            <w:r w:rsidR="009D79FD" w:rsidRPr="00961BC4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71" w:type="dxa"/>
            <w:vAlign w:val="center"/>
          </w:tcPr>
          <w:p w:rsidR="00F6708D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6708D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F6708D" w:rsidRPr="00145C30" w:rsidTr="003663AC">
        <w:trPr>
          <w:trHeight w:val="145"/>
          <w:jc w:val="center"/>
        </w:trPr>
        <w:tc>
          <w:tcPr>
            <w:tcW w:w="5400" w:type="dxa"/>
            <w:shd w:val="clear" w:color="auto" w:fill="auto"/>
            <w:noWrap/>
            <w:vAlign w:val="bottom"/>
          </w:tcPr>
          <w:p w:rsidR="00F6708D" w:rsidRPr="00961BC4" w:rsidRDefault="00F6708D" w:rsidP="00A543D8">
            <w:pPr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:rsidR="00F6708D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F6708D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F6708D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6708D" w:rsidRPr="00961BC4" w:rsidRDefault="00F6708D" w:rsidP="000E6C9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6708D" w:rsidRPr="00145C30" w:rsidTr="003663AC">
        <w:trPr>
          <w:trHeight w:val="145"/>
          <w:jc w:val="center"/>
        </w:trPr>
        <w:tc>
          <w:tcPr>
            <w:tcW w:w="5400" w:type="dxa"/>
            <w:shd w:val="clear" w:color="auto" w:fill="C4BC96" w:themeFill="background2" w:themeFillShade="BF"/>
            <w:vAlign w:val="center"/>
            <w:hideMark/>
          </w:tcPr>
          <w:p w:rsidR="00F6708D" w:rsidRPr="00961BC4" w:rsidRDefault="00F6708D" w:rsidP="009C389D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61BC4">
              <w:rPr>
                <w:b/>
                <w:bCs/>
                <w:color w:val="000000"/>
                <w:sz w:val="20"/>
                <w:szCs w:val="20"/>
              </w:rPr>
              <w:t xml:space="preserve"> Totals for all affected body part(s) </w:t>
            </w:r>
          </w:p>
        </w:tc>
        <w:tc>
          <w:tcPr>
            <w:tcW w:w="1333" w:type="dxa"/>
            <w:shd w:val="clear" w:color="auto" w:fill="C4BC96" w:themeFill="background2" w:themeFillShade="BF"/>
            <w:vAlign w:val="center"/>
          </w:tcPr>
          <w:p w:rsidR="00F6708D" w:rsidRPr="00961BC4" w:rsidRDefault="00F6708D" w:rsidP="000E6C9F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BC4"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961BC4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961BC4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61BC4">
              <w:rPr>
                <w:b/>
                <w:bCs/>
                <w:noProof/>
                <w:color w:val="000000"/>
                <w:sz w:val="20"/>
                <w:szCs w:val="20"/>
              </w:rPr>
              <w:t>406</w:t>
            </w:r>
            <w:r w:rsidRPr="00961BC4"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12" w:type="dxa"/>
            <w:shd w:val="clear" w:color="auto" w:fill="C4BC96" w:themeFill="background2" w:themeFillShade="BF"/>
            <w:noWrap/>
            <w:vAlign w:val="center"/>
            <w:hideMark/>
          </w:tcPr>
          <w:p w:rsidR="00F6708D" w:rsidRPr="00961BC4" w:rsidRDefault="00F6708D" w:rsidP="000E6C9F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C4BC96" w:themeFill="background2" w:themeFillShade="BF"/>
            <w:vAlign w:val="center"/>
          </w:tcPr>
          <w:p w:rsidR="00F6708D" w:rsidRPr="00961BC4" w:rsidRDefault="00F6708D" w:rsidP="000E6C9F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BC4"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961BC4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961BC4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61BC4">
              <w:rPr>
                <w:b/>
                <w:bCs/>
                <w:noProof/>
                <w:color w:val="000000"/>
                <w:sz w:val="20"/>
                <w:szCs w:val="20"/>
              </w:rPr>
              <w:t>311</w:t>
            </w:r>
            <w:r w:rsidRPr="00961BC4"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5" w:type="dxa"/>
            <w:shd w:val="clear" w:color="auto" w:fill="C4BC96" w:themeFill="background2" w:themeFillShade="BF"/>
            <w:noWrap/>
            <w:vAlign w:val="center"/>
            <w:hideMark/>
          </w:tcPr>
          <w:p w:rsidR="00F6708D" w:rsidRPr="00961BC4" w:rsidRDefault="00F6708D" w:rsidP="000E6C9F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BC4"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961BC4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961BC4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61BC4">
              <w:rPr>
                <w:b/>
                <w:bCs/>
                <w:noProof/>
                <w:color w:val="000000"/>
                <w:sz w:val="20"/>
                <w:szCs w:val="20"/>
              </w:rPr>
              <w:t>95</w:t>
            </w:r>
            <w:r w:rsidRPr="00961BC4"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612E7B" w:rsidRPr="007067DE" w:rsidRDefault="00612E7B" w:rsidP="00E364FD">
      <w:pPr>
        <w:rPr>
          <w:i/>
          <w:sz w:val="22"/>
          <w:szCs w:val="22"/>
        </w:rPr>
      </w:pPr>
    </w:p>
    <w:p w:rsidR="00023C41" w:rsidRPr="003A4451" w:rsidRDefault="00D8368A" w:rsidP="00E364FD">
      <w:pPr>
        <w:rPr>
          <w:rFonts w:ascii="Tw Cen MT Condensed" w:hAnsi="Tw Cen MT Condensed"/>
          <w:sz w:val="28"/>
          <w:szCs w:val="28"/>
        </w:rPr>
      </w:pPr>
      <w:r w:rsidRPr="00604C73">
        <w:rPr>
          <w:rFonts w:ascii="Tw Cen MT Condensed" w:hAnsi="Tw Cen MT Condensed"/>
          <w:i/>
          <w:sz w:val="28"/>
          <w:szCs w:val="28"/>
        </w:rPr>
        <w:t>Body Systems</w:t>
      </w:r>
      <w:r w:rsidRPr="00604C73">
        <w:rPr>
          <w:rFonts w:ascii="Tw Cen MT Condensed" w:hAnsi="Tw Cen MT Condensed"/>
          <w:sz w:val="28"/>
          <w:szCs w:val="28"/>
        </w:rPr>
        <w:t xml:space="preserve"> constituted the highest number of body part(s) af</w:t>
      </w:r>
      <w:r w:rsidR="00B13B01">
        <w:rPr>
          <w:rFonts w:ascii="Tw Cen MT Condensed" w:hAnsi="Tw Cen MT Condensed"/>
          <w:sz w:val="28"/>
          <w:szCs w:val="28"/>
        </w:rPr>
        <w:t>fected by chemical and related</w:t>
      </w:r>
      <w:r w:rsidRPr="00604C73">
        <w:rPr>
          <w:rFonts w:ascii="Tw Cen MT Condensed" w:hAnsi="Tw Cen MT Condensed"/>
          <w:sz w:val="28"/>
          <w:szCs w:val="28"/>
        </w:rPr>
        <w:t xml:space="preserve"> injuries or illnesses, accounting for </w:t>
      </w:r>
      <w:r w:rsidR="007067DE">
        <w:rPr>
          <w:rFonts w:ascii="Tw Cen MT Condensed" w:hAnsi="Tw Cen MT Condensed"/>
          <w:sz w:val="28"/>
          <w:szCs w:val="28"/>
        </w:rPr>
        <w:t>almost 30</w:t>
      </w:r>
      <w:r w:rsidRPr="00604C73">
        <w:rPr>
          <w:rFonts w:ascii="Tw Cen MT Condensed" w:hAnsi="Tw Cen MT Condensed"/>
          <w:sz w:val="28"/>
          <w:szCs w:val="28"/>
        </w:rPr>
        <w:t xml:space="preserve"> </w:t>
      </w:r>
      <w:r w:rsidR="005C36D0">
        <w:rPr>
          <w:rFonts w:ascii="Tw Cen MT Condensed" w:hAnsi="Tw Cen MT Condensed"/>
          <w:sz w:val="28"/>
          <w:szCs w:val="28"/>
        </w:rPr>
        <w:t xml:space="preserve">percent </w:t>
      </w:r>
      <w:r w:rsidRPr="00604C73">
        <w:rPr>
          <w:rFonts w:ascii="Tw Cen MT Condensed" w:hAnsi="Tw Cen MT Condensed"/>
          <w:sz w:val="28"/>
          <w:szCs w:val="28"/>
        </w:rPr>
        <w:t>of</w:t>
      </w:r>
      <w:r w:rsidR="005C36D0">
        <w:rPr>
          <w:rFonts w:ascii="Tw Cen MT Condensed" w:hAnsi="Tw Cen MT Condensed"/>
          <w:sz w:val="28"/>
          <w:szCs w:val="28"/>
        </w:rPr>
        <w:t xml:space="preserve"> the</w:t>
      </w:r>
      <w:r w:rsidRPr="00604C73">
        <w:rPr>
          <w:rFonts w:ascii="Tw Cen MT Condensed" w:hAnsi="Tw Cen MT Condensed"/>
          <w:sz w:val="28"/>
          <w:szCs w:val="28"/>
        </w:rPr>
        <w:t xml:space="preserve"> claims.  </w:t>
      </w:r>
      <w:r w:rsidR="007067DE">
        <w:rPr>
          <w:rFonts w:ascii="Tw Cen MT Condensed" w:hAnsi="Tw Cen MT Condensed"/>
          <w:sz w:val="28"/>
          <w:szCs w:val="28"/>
        </w:rPr>
        <w:t xml:space="preserve">Injuries and illnesses involving the </w:t>
      </w:r>
      <w:r w:rsidR="007067DE">
        <w:rPr>
          <w:rFonts w:ascii="Tw Cen MT Condensed" w:hAnsi="Tw Cen MT Condensed"/>
          <w:i/>
          <w:sz w:val="28"/>
          <w:szCs w:val="28"/>
        </w:rPr>
        <w:t xml:space="preserve">Chest and </w:t>
      </w:r>
      <w:r w:rsidR="00B13B01">
        <w:rPr>
          <w:rFonts w:ascii="Tw Cen MT Condensed" w:hAnsi="Tw Cen MT Condensed"/>
          <w:i/>
          <w:sz w:val="28"/>
          <w:szCs w:val="28"/>
        </w:rPr>
        <w:t>trunk (</w:t>
      </w:r>
      <w:r w:rsidR="007067DE" w:rsidRPr="005C36D0">
        <w:rPr>
          <w:rFonts w:ascii="Tw Cen MT Condensed" w:hAnsi="Tw Cen MT Condensed"/>
          <w:sz w:val="28"/>
          <w:szCs w:val="28"/>
        </w:rPr>
        <w:t>includ</w:t>
      </w:r>
      <w:r w:rsidR="005C36D0">
        <w:rPr>
          <w:rFonts w:ascii="Tw Cen MT Condensed" w:hAnsi="Tw Cen MT Condensed"/>
          <w:sz w:val="28"/>
          <w:szCs w:val="28"/>
        </w:rPr>
        <w:t>es</w:t>
      </w:r>
      <w:r w:rsidR="007067DE" w:rsidRPr="005C36D0">
        <w:rPr>
          <w:rFonts w:ascii="Tw Cen MT Condensed" w:hAnsi="Tw Cen MT Condensed"/>
          <w:sz w:val="28"/>
          <w:szCs w:val="28"/>
        </w:rPr>
        <w:t xml:space="preserve"> both internal and external locations) </w:t>
      </w:r>
      <w:r w:rsidRPr="00604C73">
        <w:rPr>
          <w:rFonts w:ascii="Tw Cen MT Condensed" w:hAnsi="Tw Cen MT Condensed"/>
          <w:sz w:val="28"/>
          <w:szCs w:val="28"/>
        </w:rPr>
        <w:t xml:space="preserve">were second </w:t>
      </w:r>
      <w:r w:rsidR="005C36D0">
        <w:rPr>
          <w:rFonts w:ascii="Tw Cen MT Condensed" w:hAnsi="Tw Cen MT Condensed"/>
          <w:sz w:val="28"/>
          <w:szCs w:val="28"/>
        </w:rPr>
        <w:t>highest</w:t>
      </w:r>
      <w:r w:rsidRPr="00604C73">
        <w:rPr>
          <w:rFonts w:ascii="Tw Cen MT Condensed" w:hAnsi="Tw Cen MT Condensed"/>
          <w:sz w:val="28"/>
          <w:szCs w:val="28"/>
        </w:rPr>
        <w:t xml:space="preserve">, accounting for </w:t>
      </w:r>
      <w:r w:rsidR="007067DE">
        <w:rPr>
          <w:rFonts w:ascii="Tw Cen MT Condensed" w:hAnsi="Tw Cen MT Condensed"/>
          <w:sz w:val="28"/>
          <w:szCs w:val="28"/>
        </w:rPr>
        <w:t>over 27</w:t>
      </w:r>
      <w:r w:rsidRPr="00604C73">
        <w:rPr>
          <w:rFonts w:ascii="Tw Cen MT Condensed" w:hAnsi="Tw Cen MT Condensed"/>
          <w:sz w:val="28"/>
          <w:szCs w:val="28"/>
        </w:rPr>
        <w:t xml:space="preserve"> percent. </w:t>
      </w:r>
    </w:p>
    <w:p w:rsidR="00BE68F7" w:rsidRDefault="00D6127D" w:rsidP="00E364FD">
      <w:pPr>
        <w:rPr>
          <w:rFonts w:ascii="Tw Cen MT Condensed" w:hAnsi="Tw Cen MT Condensed"/>
          <w:b/>
          <w:i/>
          <w:sz w:val="28"/>
          <w:szCs w:val="28"/>
        </w:rPr>
      </w:pPr>
      <w:r w:rsidRPr="00604C73">
        <w:rPr>
          <w:rFonts w:ascii="Tw Cen MT Condensed" w:hAnsi="Tw Cen MT Condensed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08759BEF" wp14:editId="22EBDB2B">
            <wp:simplePos x="0" y="0"/>
            <wp:positionH relativeFrom="margin">
              <wp:posOffset>1531620</wp:posOffset>
            </wp:positionH>
            <wp:positionV relativeFrom="margin">
              <wp:posOffset>5557520</wp:posOffset>
            </wp:positionV>
            <wp:extent cx="3544570" cy="23622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_000003273183XLarg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457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127D" w:rsidRDefault="00D6127D" w:rsidP="00E364FD">
      <w:pPr>
        <w:rPr>
          <w:rFonts w:ascii="Tw Cen MT Condensed" w:hAnsi="Tw Cen MT Condensed"/>
          <w:b/>
          <w:sz w:val="28"/>
          <w:szCs w:val="28"/>
          <w:u w:val="single"/>
        </w:rPr>
      </w:pPr>
    </w:p>
    <w:p w:rsidR="00D6127D" w:rsidRDefault="00D6127D" w:rsidP="00E364FD">
      <w:pPr>
        <w:rPr>
          <w:rFonts w:ascii="Tw Cen MT Condensed" w:hAnsi="Tw Cen MT Condensed"/>
          <w:b/>
          <w:sz w:val="28"/>
          <w:szCs w:val="28"/>
          <w:u w:val="single"/>
        </w:rPr>
      </w:pPr>
    </w:p>
    <w:p w:rsidR="00D6127D" w:rsidRDefault="00D6127D" w:rsidP="00E364FD">
      <w:pPr>
        <w:rPr>
          <w:rFonts w:ascii="Tw Cen MT Condensed" w:hAnsi="Tw Cen MT Condensed"/>
          <w:b/>
          <w:sz w:val="28"/>
          <w:szCs w:val="28"/>
          <w:u w:val="single"/>
        </w:rPr>
      </w:pPr>
    </w:p>
    <w:p w:rsidR="00D6127D" w:rsidRDefault="00D6127D" w:rsidP="00E364FD">
      <w:pPr>
        <w:rPr>
          <w:rFonts w:ascii="Tw Cen MT Condensed" w:hAnsi="Tw Cen MT Condensed"/>
          <w:b/>
          <w:sz w:val="28"/>
          <w:szCs w:val="28"/>
          <w:u w:val="single"/>
        </w:rPr>
      </w:pPr>
    </w:p>
    <w:p w:rsidR="00D6127D" w:rsidRDefault="00D6127D" w:rsidP="00E364FD">
      <w:pPr>
        <w:rPr>
          <w:rFonts w:ascii="Tw Cen MT Condensed" w:hAnsi="Tw Cen MT Condensed"/>
          <w:b/>
          <w:sz w:val="28"/>
          <w:szCs w:val="28"/>
          <w:u w:val="single"/>
        </w:rPr>
      </w:pPr>
    </w:p>
    <w:p w:rsidR="00D6127D" w:rsidRDefault="00D6127D" w:rsidP="00E364FD">
      <w:pPr>
        <w:rPr>
          <w:rFonts w:ascii="Tw Cen MT Condensed" w:hAnsi="Tw Cen MT Condensed"/>
          <w:b/>
          <w:sz w:val="28"/>
          <w:szCs w:val="28"/>
          <w:u w:val="single"/>
        </w:rPr>
      </w:pPr>
    </w:p>
    <w:p w:rsidR="00D6127D" w:rsidRDefault="000E6C9F" w:rsidP="00E364FD">
      <w:pPr>
        <w:rPr>
          <w:rFonts w:ascii="Tw Cen MT Condensed" w:hAnsi="Tw Cen MT Condensed"/>
          <w:b/>
          <w:sz w:val="28"/>
          <w:szCs w:val="28"/>
          <w:u w:val="single"/>
        </w:rPr>
      </w:pPr>
      <w:r w:rsidRPr="00604C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1EA32" wp14:editId="7C623FA0">
                <wp:simplePos x="0" y="0"/>
                <wp:positionH relativeFrom="column">
                  <wp:posOffset>1353820</wp:posOffset>
                </wp:positionH>
                <wp:positionV relativeFrom="paragraph">
                  <wp:posOffset>377825</wp:posOffset>
                </wp:positionV>
                <wp:extent cx="4165600" cy="402590"/>
                <wp:effectExtent l="0" t="0" r="635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0" cy="4025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4079" w:rsidRPr="003663AC" w:rsidRDefault="00014079" w:rsidP="0078377E">
                            <w:pPr>
                              <w:pStyle w:val="Caption"/>
                              <w:rPr>
                                <w:rFonts w:ascii="Tw Cen MT Condensed" w:hAnsi="Tw Cen MT Condensed"/>
                                <w:noProof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3663AC">
                              <w:rPr>
                                <w:rFonts w:ascii="Tw Cen MT Condensed" w:hAnsi="Tw Cen MT Condensed"/>
                                <w:sz w:val="24"/>
                                <w:szCs w:val="24"/>
                              </w:rPr>
                              <w:t>Figure 6.</w:t>
                            </w:r>
                            <w:proofErr w:type="gramEnd"/>
                            <w:r w:rsidRPr="003663AC">
                              <w:rPr>
                                <w:rFonts w:ascii="Tw Cen MT Condensed" w:hAnsi="Tw Cen MT Condensed"/>
                                <w:sz w:val="24"/>
                                <w:szCs w:val="24"/>
                              </w:rPr>
                              <w:t xml:space="preserve">  Airborne chemicals in the workplace can trigger asthma attacks and </w:t>
                            </w:r>
                            <w:proofErr w:type="gramStart"/>
                            <w:r w:rsidRPr="003663AC">
                              <w:rPr>
                                <w:rFonts w:ascii="Tw Cen MT Condensed" w:hAnsi="Tw Cen MT Condensed"/>
                                <w:sz w:val="24"/>
                                <w:szCs w:val="24"/>
                              </w:rPr>
                              <w:t>respiratory  problems</w:t>
                            </w:r>
                            <w:proofErr w:type="gramEnd"/>
                            <w:r w:rsidRPr="003663AC">
                              <w:rPr>
                                <w:rFonts w:ascii="Tw Cen MT Condensed" w:hAnsi="Tw Cen MT Condensed"/>
                                <w:sz w:val="24"/>
                                <w:szCs w:val="24"/>
                              </w:rPr>
                              <w:t xml:space="preserve"> affecting body systems.</w:t>
                            </w:r>
                          </w:p>
                          <w:p w:rsidR="00014079" w:rsidRDefault="0001407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6.6pt;margin-top:29.75pt;width:328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" stroked="f">
                <v:textbox inset="0,0,0,0">
                  <w:txbxContent>
                    <w:p w:rsidR="00014079" w:rsidRPr="003663AC" w:rsidRDefault="00014079" w:rsidP="0078377E">
                      <w:pPr>
                        <w:pStyle w:val="Caption"/>
                        <w:rPr>
                          <w:rFonts w:ascii="Tw Cen MT Condensed" w:hAnsi="Tw Cen MT Condensed"/>
                          <w:noProof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3663AC">
                        <w:rPr>
                          <w:rFonts w:ascii="Tw Cen MT Condensed" w:hAnsi="Tw Cen MT Condensed"/>
                          <w:sz w:val="24"/>
                          <w:szCs w:val="24"/>
                        </w:rPr>
                        <w:t>Figure 6.</w:t>
                      </w:r>
                      <w:proofErr w:type="gramEnd"/>
                      <w:r w:rsidRPr="003663AC">
                        <w:rPr>
                          <w:rFonts w:ascii="Tw Cen MT Condensed" w:hAnsi="Tw Cen MT Condensed"/>
                          <w:sz w:val="24"/>
                          <w:szCs w:val="24"/>
                        </w:rPr>
                        <w:t xml:space="preserve">  Airborne chemicals in the workplace can trigger asthma attacks and </w:t>
                      </w:r>
                      <w:proofErr w:type="gramStart"/>
                      <w:r w:rsidRPr="003663AC">
                        <w:rPr>
                          <w:rFonts w:ascii="Tw Cen MT Condensed" w:hAnsi="Tw Cen MT Condensed"/>
                          <w:sz w:val="24"/>
                          <w:szCs w:val="24"/>
                        </w:rPr>
                        <w:t>respiratory  problems</w:t>
                      </w:r>
                      <w:proofErr w:type="gramEnd"/>
                      <w:r w:rsidRPr="003663AC">
                        <w:rPr>
                          <w:rFonts w:ascii="Tw Cen MT Condensed" w:hAnsi="Tw Cen MT Condensed"/>
                          <w:sz w:val="24"/>
                          <w:szCs w:val="24"/>
                        </w:rPr>
                        <w:t xml:space="preserve"> affecting body systems.</w:t>
                      </w:r>
                    </w:p>
                    <w:p w:rsidR="00014079" w:rsidRDefault="00014079"/>
                  </w:txbxContent>
                </v:textbox>
                <w10:wrap type="square"/>
              </v:shape>
            </w:pict>
          </mc:Fallback>
        </mc:AlternateContent>
      </w:r>
    </w:p>
    <w:p w:rsidR="00D6127D" w:rsidRDefault="00D6127D" w:rsidP="00E364FD">
      <w:pPr>
        <w:rPr>
          <w:rFonts w:ascii="Tw Cen MT Condensed" w:hAnsi="Tw Cen MT Condensed"/>
          <w:b/>
          <w:sz w:val="28"/>
          <w:szCs w:val="28"/>
          <w:u w:val="single"/>
        </w:rPr>
      </w:pPr>
    </w:p>
    <w:p w:rsidR="00D6127D" w:rsidRDefault="00D6127D" w:rsidP="00E364FD">
      <w:pPr>
        <w:rPr>
          <w:rFonts w:ascii="Tw Cen MT Condensed" w:hAnsi="Tw Cen MT Condensed"/>
          <w:b/>
          <w:sz w:val="28"/>
          <w:szCs w:val="28"/>
          <w:u w:val="single"/>
        </w:rPr>
      </w:pPr>
    </w:p>
    <w:p w:rsidR="00E364FD" w:rsidRPr="00611B1B" w:rsidRDefault="00E364FD" w:rsidP="00E364FD">
      <w:pPr>
        <w:rPr>
          <w:rFonts w:ascii="Tw Cen MT Condensed" w:hAnsi="Tw Cen MT Condensed"/>
          <w:sz w:val="28"/>
          <w:szCs w:val="28"/>
          <w:u w:val="single"/>
        </w:rPr>
      </w:pPr>
      <w:r w:rsidRPr="00611B1B">
        <w:rPr>
          <w:rFonts w:ascii="Tw Cen MT Condensed" w:hAnsi="Tw Cen MT Condensed"/>
          <w:b/>
          <w:sz w:val="28"/>
          <w:szCs w:val="28"/>
          <w:u w:val="single"/>
        </w:rPr>
        <w:lastRenderedPageBreak/>
        <w:t>Worker Occupations</w:t>
      </w:r>
    </w:p>
    <w:p w:rsidR="00145C30" w:rsidRPr="00611B1B" w:rsidRDefault="00E364FD" w:rsidP="00961BC4">
      <w:pPr>
        <w:rPr>
          <w:rFonts w:ascii="Tw Cen MT Condensed" w:hAnsi="Tw Cen MT Condensed"/>
          <w:sz w:val="28"/>
          <w:szCs w:val="28"/>
        </w:rPr>
      </w:pPr>
      <w:r w:rsidRPr="00611B1B">
        <w:rPr>
          <w:rFonts w:ascii="Tw Cen MT Condensed" w:hAnsi="Tw Cen MT Condensed"/>
          <w:sz w:val="28"/>
          <w:szCs w:val="28"/>
        </w:rPr>
        <w:t xml:space="preserve">Table </w:t>
      </w:r>
      <w:r w:rsidR="00B13B01">
        <w:rPr>
          <w:rFonts w:ascii="Tw Cen MT Condensed" w:hAnsi="Tw Cen MT Condensed"/>
          <w:sz w:val="28"/>
          <w:szCs w:val="28"/>
        </w:rPr>
        <w:t>4</w:t>
      </w:r>
      <w:r w:rsidRPr="00611B1B">
        <w:rPr>
          <w:rFonts w:ascii="Tw Cen MT Condensed" w:hAnsi="Tw Cen MT Condensed"/>
          <w:sz w:val="28"/>
          <w:szCs w:val="28"/>
        </w:rPr>
        <w:t xml:space="preserve"> provides incident </w:t>
      </w:r>
      <w:r w:rsidR="00BD7344">
        <w:rPr>
          <w:rFonts w:ascii="Tw Cen MT Condensed" w:hAnsi="Tw Cen MT Condensed"/>
          <w:sz w:val="28"/>
          <w:szCs w:val="28"/>
        </w:rPr>
        <w:t>totals</w:t>
      </w:r>
      <w:r w:rsidRPr="00611B1B">
        <w:rPr>
          <w:rFonts w:ascii="Tw Cen MT Condensed" w:hAnsi="Tw Cen MT Condensed"/>
          <w:sz w:val="28"/>
          <w:szCs w:val="28"/>
        </w:rPr>
        <w:t xml:space="preserve"> for chemical and </w:t>
      </w:r>
      <w:r w:rsidR="008323BD">
        <w:rPr>
          <w:rFonts w:ascii="Tw Cen MT Condensed" w:hAnsi="Tw Cen MT Condensed"/>
          <w:sz w:val="28"/>
          <w:szCs w:val="28"/>
        </w:rPr>
        <w:t>related</w:t>
      </w:r>
      <w:r w:rsidRPr="00611B1B">
        <w:rPr>
          <w:rFonts w:ascii="Tw Cen MT Condensed" w:hAnsi="Tw Cen MT Condensed"/>
          <w:sz w:val="28"/>
          <w:szCs w:val="28"/>
        </w:rPr>
        <w:t xml:space="preserve"> injuries and illnesses </w:t>
      </w:r>
      <w:r w:rsidR="00BD7344">
        <w:rPr>
          <w:rFonts w:ascii="Tw Cen MT Condensed" w:hAnsi="Tw Cen MT Condensed"/>
          <w:sz w:val="28"/>
          <w:szCs w:val="28"/>
        </w:rPr>
        <w:t xml:space="preserve">for all employee occupations and specific data </w:t>
      </w:r>
      <w:r w:rsidR="00BD7344" w:rsidRPr="00611B1B">
        <w:rPr>
          <w:rFonts w:ascii="Tw Cen MT Condensed" w:hAnsi="Tw Cen MT Condensed"/>
          <w:sz w:val="28"/>
          <w:szCs w:val="28"/>
        </w:rPr>
        <w:t xml:space="preserve">for </w:t>
      </w:r>
      <w:r w:rsidR="00BD7344">
        <w:rPr>
          <w:rFonts w:ascii="Tw Cen MT Condensed" w:hAnsi="Tw Cen MT Condensed"/>
          <w:sz w:val="28"/>
          <w:szCs w:val="28"/>
        </w:rPr>
        <w:t xml:space="preserve">occupations </w:t>
      </w:r>
      <w:r w:rsidR="00304C16">
        <w:rPr>
          <w:rFonts w:ascii="Tw Cen MT Condensed" w:hAnsi="Tw Cen MT Condensed"/>
          <w:sz w:val="28"/>
          <w:szCs w:val="28"/>
        </w:rPr>
        <w:t>based on the Standard Occupation Classification Manual</w:t>
      </w:r>
      <w:r w:rsidR="00BD7344" w:rsidRPr="00611B1B">
        <w:rPr>
          <w:rFonts w:ascii="Tw Cen MT Condensed" w:hAnsi="Tw Cen MT Condensed"/>
          <w:sz w:val="28"/>
          <w:szCs w:val="28"/>
        </w:rPr>
        <w:t>.</w:t>
      </w:r>
    </w:p>
    <w:tbl>
      <w:tblPr>
        <w:tblW w:w="10170" w:type="dxa"/>
        <w:jc w:val="center"/>
        <w:tblInd w:w="2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30"/>
        <w:gridCol w:w="1262"/>
        <w:gridCol w:w="1085"/>
        <w:gridCol w:w="1037"/>
        <w:gridCol w:w="1156"/>
      </w:tblGrid>
      <w:tr w:rsidR="00391DAF" w:rsidRPr="00145C30" w:rsidTr="003663AC">
        <w:trPr>
          <w:trHeight w:val="824"/>
          <w:jc w:val="center"/>
        </w:trPr>
        <w:tc>
          <w:tcPr>
            <w:tcW w:w="10170" w:type="dxa"/>
            <w:gridSpan w:val="5"/>
            <w:shd w:val="clear" w:color="auto" w:fill="C4BC96" w:themeFill="background2" w:themeFillShade="BF"/>
          </w:tcPr>
          <w:p w:rsidR="00961BC4" w:rsidRPr="00E84FB4" w:rsidRDefault="00961BC4" w:rsidP="00FF6F52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4FB4">
              <w:rPr>
                <w:b/>
                <w:bCs/>
                <w:color w:val="000000"/>
                <w:sz w:val="28"/>
                <w:szCs w:val="28"/>
              </w:rPr>
              <w:t>TABLE</w:t>
            </w:r>
            <w:r w:rsidR="00B13B01">
              <w:rPr>
                <w:b/>
                <w:bCs/>
                <w:color w:val="000000"/>
                <w:sz w:val="28"/>
                <w:szCs w:val="28"/>
              </w:rPr>
              <w:t xml:space="preserve"> 4</w:t>
            </w:r>
          </w:p>
          <w:p w:rsidR="004819FD" w:rsidRPr="00961BC4" w:rsidRDefault="00391DAF" w:rsidP="00FF6F5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61BC4">
              <w:rPr>
                <w:b/>
                <w:bCs/>
                <w:color w:val="000000"/>
                <w:sz w:val="20"/>
                <w:szCs w:val="20"/>
              </w:rPr>
              <w:t>OCCUPATIONS INVOLVED WITH</w:t>
            </w:r>
            <w:r w:rsidRPr="00961BC4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WORKERS' COMPENSATION CLAIMS FROM EXPOSURE TO HAZARDOUS CHEMICALS OR ADVERSE ENVIRONMENTAL/MICROBIOLOGICAL CONDITIONS </w:t>
            </w:r>
          </w:p>
          <w:p w:rsidR="00391DAF" w:rsidRPr="00961BC4" w:rsidRDefault="00391DAF" w:rsidP="00FF6F52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BC4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(2012–2013)</w:t>
            </w:r>
          </w:p>
        </w:tc>
      </w:tr>
      <w:tr w:rsidR="005436C5" w:rsidRPr="00145C30" w:rsidTr="003663AC">
        <w:trPr>
          <w:trHeight w:val="343"/>
          <w:jc w:val="center"/>
        </w:trPr>
        <w:tc>
          <w:tcPr>
            <w:tcW w:w="5630" w:type="dxa"/>
            <w:shd w:val="clear" w:color="auto" w:fill="C4BC96" w:themeFill="background2" w:themeFillShade="BF"/>
            <w:noWrap/>
            <w:vAlign w:val="center"/>
            <w:hideMark/>
          </w:tcPr>
          <w:p w:rsidR="005436C5" w:rsidRPr="00961BC4" w:rsidRDefault="004F13B5" w:rsidP="00961BC4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OCCUPATION (SOC CODE)</w:t>
            </w:r>
          </w:p>
        </w:tc>
        <w:tc>
          <w:tcPr>
            <w:tcW w:w="1183" w:type="dxa"/>
            <w:shd w:val="clear" w:color="auto" w:fill="C4BC96" w:themeFill="background2" w:themeFillShade="BF"/>
            <w:vAlign w:val="center"/>
            <w:hideMark/>
          </w:tcPr>
          <w:p w:rsidR="005436C5" w:rsidRPr="00961BC4" w:rsidRDefault="005436C5" w:rsidP="00961BC4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INCIDENTS</w:t>
            </w:r>
          </w:p>
        </w:tc>
        <w:tc>
          <w:tcPr>
            <w:tcW w:w="1166" w:type="dxa"/>
            <w:shd w:val="clear" w:color="auto" w:fill="C4BC96" w:themeFill="background2" w:themeFillShade="BF"/>
            <w:vAlign w:val="center"/>
          </w:tcPr>
          <w:p w:rsidR="005436C5" w:rsidRPr="00961BC4" w:rsidRDefault="005436C5" w:rsidP="00961BC4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1035" w:type="dxa"/>
            <w:shd w:val="clear" w:color="auto" w:fill="C4BC96" w:themeFill="background2" w:themeFillShade="BF"/>
            <w:vAlign w:val="center"/>
          </w:tcPr>
          <w:p w:rsidR="005436C5" w:rsidRPr="00961BC4" w:rsidRDefault="005436C5" w:rsidP="00961BC4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PRIVATE SECTOR</w:t>
            </w:r>
          </w:p>
        </w:tc>
        <w:tc>
          <w:tcPr>
            <w:tcW w:w="1156" w:type="dxa"/>
            <w:shd w:val="clear" w:color="auto" w:fill="C4BC96" w:themeFill="background2" w:themeFillShade="BF"/>
            <w:vAlign w:val="center"/>
            <w:hideMark/>
          </w:tcPr>
          <w:p w:rsidR="005436C5" w:rsidRPr="00961BC4" w:rsidRDefault="005436C5" w:rsidP="00961BC4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PUBLIC SECTOR</w:t>
            </w:r>
          </w:p>
        </w:tc>
      </w:tr>
      <w:tr w:rsidR="005436C5" w:rsidRPr="00145C30" w:rsidTr="003663AC">
        <w:trPr>
          <w:trHeight w:val="145"/>
          <w:jc w:val="center"/>
        </w:trPr>
        <w:tc>
          <w:tcPr>
            <w:tcW w:w="5630" w:type="dxa"/>
            <w:shd w:val="clear" w:color="auto" w:fill="auto"/>
            <w:vAlign w:val="center"/>
            <w:hideMark/>
          </w:tcPr>
          <w:p w:rsidR="005436C5" w:rsidRPr="00961BC4" w:rsidRDefault="005436C5" w:rsidP="005436C5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Office and administrative support workers</w:t>
            </w:r>
            <w:r w:rsidR="004F13B5">
              <w:rPr>
                <w:bCs/>
                <w:color w:val="000000"/>
                <w:sz w:val="20"/>
                <w:szCs w:val="20"/>
              </w:rPr>
              <w:t xml:space="preserve"> (43-0000)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6" w:type="dxa"/>
          </w:tcPr>
          <w:p w:rsidR="005436C5" w:rsidRPr="00961BC4" w:rsidRDefault="004819FD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12.3%</w:t>
            </w:r>
          </w:p>
        </w:tc>
        <w:tc>
          <w:tcPr>
            <w:tcW w:w="1035" w:type="dxa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5436C5" w:rsidRPr="00145C30" w:rsidTr="003663AC">
        <w:trPr>
          <w:trHeight w:val="145"/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5436C5" w:rsidRPr="00961BC4" w:rsidRDefault="005436C5" w:rsidP="005436C5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Production workers</w:t>
            </w:r>
            <w:r w:rsidR="004F13B5">
              <w:rPr>
                <w:bCs/>
                <w:color w:val="000000"/>
                <w:sz w:val="20"/>
                <w:szCs w:val="20"/>
              </w:rPr>
              <w:t xml:space="preserve"> (51-0000)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66" w:type="dxa"/>
          </w:tcPr>
          <w:p w:rsidR="005436C5" w:rsidRPr="00961BC4" w:rsidRDefault="004819FD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9.6%</w:t>
            </w:r>
          </w:p>
        </w:tc>
        <w:tc>
          <w:tcPr>
            <w:tcW w:w="1035" w:type="dxa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5436C5" w:rsidRPr="00145C30" w:rsidTr="003663AC">
        <w:trPr>
          <w:trHeight w:val="145"/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5436C5" w:rsidRPr="00961BC4" w:rsidRDefault="005436C5" w:rsidP="005436C5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Healthcare practitioners and technicians</w:t>
            </w:r>
            <w:r w:rsidR="004F13B5">
              <w:rPr>
                <w:bCs/>
                <w:color w:val="000000"/>
                <w:sz w:val="20"/>
                <w:szCs w:val="20"/>
              </w:rPr>
              <w:t xml:space="preserve"> (29-0000)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66" w:type="dxa"/>
          </w:tcPr>
          <w:p w:rsidR="005436C5" w:rsidRPr="00961BC4" w:rsidRDefault="004819FD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8.9%</w:t>
            </w:r>
          </w:p>
        </w:tc>
        <w:tc>
          <w:tcPr>
            <w:tcW w:w="1035" w:type="dxa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5436C5" w:rsidRPr="00145C30" w:rsidTr="003663AC">
        <w:trPr>
          <w:trHeight w:val="145"/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5436C5" w:rsidRPr="00961BC4" w:rsidRDefault="005436C5" w:rsidP="004F13B5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Building</w:t>
            </w:r>
            <w:r w:rsidR="004F13B5">
              <w:rPr>
                <w:bCs/>
                <w:color w:val="000000"/>
                <w:sz w:val="20"/>
                <w:szCs w:val="20"/>
              </w:rPr>
              <w:t>/</w:t>
            </w:r>
            <w:r w:rsidRPr="00961BC4">
              <w:rPr>
                <w:bCs/>
                <w:color w:val="000000"/>
                <w:sz w:val="20"/>
                <w:szCs w:val="20"/>
              </w:rPr>
              <w:t xml:space="preserve"> grounds maintenance and cleaning workers</w:t>
            </w:r>
            <w:r w:rsidR="004F13B5">
              <w:rPr>
                <w:bCs/>
                <w:color w:val="000000"/>
                <w:sz w:val="20"/>
                <w:szCs w:val="20"/>
              </w:rPr>
              <w:t xml:space="preserve"> (37-0000)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6" w:type="dxa"/>
          </w:tcPr>
          <w:p w:rsidR="005436C5" w:rsidRPr="00961BC4" w:rsidRDefault="004819FD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7.4%</w:t>
            </w:r>
          </w:p>
        </w:tc>
        <w:tc>
          <w:tcPr>
            <w:tcW w:w="1035" w:type="dxa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5436C5" w:rsidRPr="00145C30" w:rsidTr="003663AC">
        <w:trPr>
          <w:trHeight w:val="145"/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5436C5" w:rsidRPr="00961BC4" w:rsidRDefault="005436C5" w:rsidP="004F13B5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 xml:space="preserve">Equipment installation, maintenance </w:t>
            </w:r>
            <w:r w:rsidR="004F13B5">
              <w:rPr>
                <w:bCs/>
                <w:color w:val="000000"/>
                <w:sz w:val="20"/>
                <w:szCs w:val="20"/>
              </w:rPr>
              <w:t>/</w:t>
            </w:r>
            <w:r w:rsidRPr="00961BC4">
              <w:rPr>
                <w:bCs/>
                <w:color w:val="000000"/>
                <w:sz w:val="20"/>
                <w:szCs w:val="20"/>
              </w:rPr>
              <w:t>repair workers</w:t>
            </w:r>
            <w:r w:rsidR="004F13B5">
              <w:rPr>
                <w:bCs/>
                <w:color w:val="000000"/>
                <w:sz w:val="20"/>
                <w:szCs w:val="20"/>
              </w:rPr>
              <w:t xml:space="preserve"> (49-0000)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66" w:type="dxa"/>
          </w:tcPr>
          <w:p w:rsidR="005436C5" w:rsidRPr="00961BC4" w:rsidRDefault="004819FD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7.1%</w:t>
            </w:r>
          </w:p>
        </w:tc>
        <w:tc>
          <w:tcPr>
            <w:tcW w:w="1035" w:type="dxa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436C5" w:rsidRPr="00145C30" w:rsidTr="003663AC">
        <w:trPr>
          <w:trHeight w:val="145"/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5436C5" w:rsidRPr="00961BC4" w:rsidRDefault="005436C5" w:rsidP="005436C5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Healthcare support workers</w:t>
            </w:r>
            <w:r w:rsidR="004F13B5">
              <w:rPr>
                <w:bCs/>
                <w:color w:val="000000"/>
                <w:sz w:val="20"/>
                <w:szCs w:val="20"/>
              </w:rPr>
              <w:t xml:space="preserve"> (31-0000)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66" w:type="dxa"/>
          </w:tcPr>
          <w:p w:rsidR="005436C5" w:rsidRPr="00961BC4" w:rsidRDefault="004819FD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6.9%</w:t>
            </w:r>
          </w:p>
        </w:tc>
        <w:tc>
          <w:tcPr>
            <w:tcW w:w="1035" w:type="dxa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5436C5" w:rsidRPr="00145C30" w:rsidTr="003663AC">
        <w:trPr>
          <w:trHeight w:val="145"/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5436C5" w:rsidRPr="00961BC4" w:rsidRDefault="005436C5" w:rsidP="005436C5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Transportation and material moving workers</w:t>
            </w:r>
            <w:r w:rsidR="004F13B5">
              <w:rPr>
                <w:bCs/>
                <w:color w:val="000000"/>
                <w:sz w:val="20"/>
                <w:szCs w:val="20"/>
              </w:rPr>
              <w:t xml:space="preserve"> (53-0000)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66" w:type="dxa"/>
          </w:tcPr>
          <w:p w:rsidR="005436C5" w:rsidRPr="00961BC4" w:rsidRDefault="004819FD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6.9%</w:t>
            </w:r>
          </w:p>
        </w:tc>
        <w:tc>
          <w:tcPr>
            <w:tcW w:w="1035" w:type="dxa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5436C5" w:rsidRPr="00145C30" w:rsidTr="003663AC">
        <w:trPr>
          <w:trHeight w:val="145"/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5436C5" w:rsidRPr="00961BC4" w:rsidRDefault="005436C5" w:rsidP="005436C5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Education, training and library workers</w:t>
            </w:r>
            <w:r w:rsidR="004F13B5">
              <w:rPr>
                <w:bCs/>
                <w:color w:val="000000"/>
                <w:sz w:val="20"/>
                <w:szCs w:val="20"/>
              </w:rPr>
              <w:t xml:space="preserve"> (25-0000)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6" w:type="dxa"/>
          </w:tcPr>
          <w:p w:rsidR="005436C5" w:rsidRPr="00961BC4" w:rsidRDefault="004819FD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6.2%</w:t>
            </w:r>
          </w:p>
        </w:tc>
        <w:tc>
          <w:tcPr>
            <w:tcW w:w="1035" w:type="dxa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5436C5" w:rsidRPr="00145C30" w:rsidTr="003663AC">
        <w:trPr>
          <w:trHeight w:val="145"/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5436C5" w:rsidRPr="00961BC4" w:rsidRDefault="005436C5" w:rsidP="005436C5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Food preparation and serving workers</w:t>
            </w:r>
            <w:r w:rsidR="004F13B5">
              <w:rPr>
                <w:bCs/>
                <w:color w:val="000000"/>
                <w:sz w:val="20"/>
                <w:szCs w:val="20"/>
              </w:rPr>
              <w:t xml:space="preserve"> (35-0000)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66" w:type="dxa"/>
          </w:tcPr>
          <w:p w:rsidR="005436C5" w:rsidRPr="00961BC4" w:rsidRDefault="004819FD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5.7%</w:t>
            </w:r>
          </w:p>
        </w:tc>
        <w:tc>
          <w:tcPr>
            <w:tcW w:w="1035" w:type="dxa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5436C5" w:rsidRPr="00145C30" w:rsidTr="003663AC">
        <w:trPr>
          <w:trHeight w:val="145"/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5436C5" w:rsidRPr="00961BC4" w:rsidRDefault="005436C5" w:rsidP="005436C5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Sales and retail workers</w:t>
            </w:r>
            <w:r w:rsidR="004F13B5">
              <w:rPr>
                <w:bCs/>
                <w:color w:val="000000"/>
                <w:sz w:val="20"/>
                <w:szCs w:val="20"/>
              </w:rPr>
              <w:t xml:space="preserve"> (41-0000)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6" w:type="dxa"/>
          </w:tcPr>
          <w:p w:rsidR="005436C5" w:rsidRPr="00961BC4" w:rsidRDefault="004819FD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4.4%</w:t>
            </w:r>
          </w:p>
        </w:tc>
        <w:tc>
          <w:tcPr>
            <w:tcW w:w="1035" w:type="dxa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36C5" w:rsidRPr="00145C30" w:rsidTr="003663AC">
        <w:trPr>
          <w:trHeight w:val="145"/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5436C5" w:rsidRPr="00961BC4" w:rsidRDefault="005436C5" w:rsidP="005436C5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 xml:space="preserve">Management </w:t>
            </w:r>
            <w:r w:rsidR="004F13B5">
              <w:rPr>
                <w:bCs/>
                <w:color w:val="000000"/>
                <w:sz w:val="20"/>
                <w:szCs w:val="20"/>
              </w:rPr>
              <w:t xml:space="preserve"> (11-0000)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66" w:type="dxa"/>
          </w:tcPr>
          <w:p w:rsidR="005436C5" w:rsidRPr="00961BC4" w:rsidRDefault="004819FD" w:rsidP="005436C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4.2%</w:t>
            </w:r>
          </w:p>
        </w:tc>
        <w:tc>
          <w:tcPr>
            <w:tcW w:w="1035" w:type="dxa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5436C5" w:rsidRPr="00145C30" w:rsidTr="003663AC">
        <w:trPr>
          <w:trHeight w:val="145"/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5436C5" w:rsidRPr="00961BC4" w:rsidRDefault="005436C5" w:rsidP="005436C5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Community and social services workers</w:t>
            </w:r>
            <w:r w:rsidR="004F13B5">
              <w:rPr>
                <w:bCs/>
                <w:color w:val="000000"/>
                <w:sz w:val="20"/>
                <w:szCs w:val="20"/>
              </w:rPr>
              <w:t xml:space="preserve"> (21-0000)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66" w:type="dxa"/>
          </w:tcPr>
          <w:p w:rsidR="005436C5" w:rsidRPr="00961BC4" w:rsidRDefault="004819FD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4.2%</w:t>
            </w:r>
          </w:p>
        </w:tc>
        <w:tc>
          <w:tcPr>
            <w:tcW w:w="1035" w:type="dxa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436C5" w:rsidRPr="00145C30" w:rsidTr="003663AC">
        <w:trPr>
          <w:trHeight w:val="145"/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5436C5" w:rsidRPr="00961BC4" w:rsidRDefault="005436C5" w:rsidP="005436C5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Personal care and service workers</w:t>
            </w:r>
            <w:r w:rsidR="004F13B5">
              <w:rPr>
                <w:bCs/>
                <w:color w:val="000000"/>
                <w:sz w:val="20"/>
                <w:szCs w:val="20"/>
              </w:rPr>
              <w:t xml:space="preserve"> (39-0000)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6" w:type="dxa"/>
          </w:tcPr>
          <w:p w:rsidR="005436C5" w:rsidRPr="00961BC4" w:rsidRDefault="004819FD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1035" w:type="dxa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5436C5" w:rsidRPr="00145C30" w:rsidTr="003663AC">
        <w:trPr>
          <w:trHeight w:val="145"/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5436C5" w:rsidRPr="00961BC4" w:rsidRDefault="005436C5" w:rsidP="005436C5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Construction workers</w:t>
            </w:r>
            <w:r w:rsidR="004F13B5">
              <w:rPr>
                <w:bCs/>
                <w:color w:val="000000"/>
                <w:sz w:val="20"/>
                <w:szCs w:val="20"/>
              </w:rPr>
              <w:t xml:space="preserve"> (47-0000)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6" w:type="dxa"/>
          </w:tcPr>
          <w:p w:rsidR="005436C5" w:rsidRPr="00961BC4" w:rsidRDefault="004819FD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3.2%</w:t>
            </w:r>
          </w:p>
        </w:tc>
        <w:tc>
          <w:tcPr>
            <w:tcW w:w="1035" w:type="dxa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5436C5" w:rsidRPr="00961BC4" w:rsidRDefault="005436C5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391DAF" w:rsidRPr="00145C30" w:rsidTr="003663AC">
        <w:trPr>
          <w:trHeight w:val="145"/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391DAF" w:rsidRPr="00961BC4" w:rsidRDefault="00391DAF" w:rsidP="005436C5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Life, physical and social scientists</w:t>
            </w:r>
            <w:r w:rsidR="004F13B5">
              <w:rPr>
                <w:bCs/>
                <w:color w:val="000000"/>
                <w:sz w:val="20"/>
                <w:szCs w:val="20"/>
              </w:rPr>
              <w:t xml:space="preserve">  (19-0000)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91DAF" w:rsidRPr="00961BC4" w:rsidRDefault="00391DAF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6" w:type="dxa"/>
          </w:tcPr>
          <w:p w:rsidR="00391DAF" w:rsidRPr="00961BC4" w:rsidRDefault="004819FD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2.0%</w:t>
            </w:r>
          </w:p>
        </w:tc>
        <w:tc>
          <w:tcPr>
            <w:tcW w:w="1035" w:type="dxa"/>
          </w:tcPr>
          <w:p w:rsidR="00391DAF" w:rsidRPr="00961BC4" w:rsidRDefault="00391DAF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391DAF" w:rsidRPr="00961BC4" w:rsidRDefault="00391DAF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391DAF" w:rsidRPr="00145C30" w:rsidTr="003663AC">
        <w:trPr>
          <w:trHeight w:val="145"/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391DAF" w:rsidRPr="00961BC4" w:rsidRDefault="00391DAF" w:rsidP="005436C5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Arts, sports, entertainment, media</w:t>
            </w:r>
            <w:r w:rsidR="00B13B01">
              <w:rPr>
                <w:bCs/>
                <w:color w:val="000000"/>
                <w:sz w:val="20"/>
                <w:szCs w:val="20"/>
              </w:rPr>
              <w:t>,</w:t>
            </w:r>
            <w:r w:rsidRPr="00961BC4">
              <w:rPr>
                <w:bCs/>
                <w:color w:val="000000"/>
                <w:sz w:val="20"/>
                <w:szCs w:val="20"/>
              </w:rPr>
              <w:t xml:space="preserve"> and design workers</w:t>
            </w:r>
            <w:r w:rsidR="004F13B5">
              <w:rPr>
                <w:bCs/>
                <w:color w:val="000000"/>
                <w:sz w:val="20"/>
                <w:szCs w:val="20"/>
              </w:rPr>
              <w:t xml:space="preserve"> (27-00000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91DAF" w:rsidRPr="00961BC4" w:rsidRDefault="00391DAF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</w:tcPr>
          <w:p w:rsidR="00391DAF" w:rsidRPr="00961BC4" w:rsidRDefault="004819FD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1035" w:type="dxa"/>
          </w:tcPr>
          <w:p w:rsidR="00391DAF" w:rsidRPr="00961BC4" w:rsidRDefault="00391DAF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391DAF" w:rsidRPr="00961BC4" w:rsidRDefault="00391DAF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91DAF" w:rsidRPr="00145C30" w:rsidTr="003663AC">
        <w:trPr>
          <w:trHeight w:val="145"/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391DAF" w:rsidRPr="00961BC4" w:rsidRDefault="00391DAF" w:rsidP="005436C5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Business, financial, computer</w:t>
            </w:r>
            <w:r w:rsidR="00B13B01">
              <w:rPr>
                <w:bCs/>
                <w:color w:val="000000"/>
                <w:sz w:val="20"/>
                <w:szCs w:val="20"/>
              </w:rPr>
              <w:t>,</w:t>
            </w:r>
            <w:r w:rsidRPr="00961BC4">
              <w:rPr>
                <w:bCs/>
                <w:color w:val="000000"/>
                <w:sz w:val="20"/>
                <w:szCs w:val="20"/>
              </w:rPr>
              <w:t xml:space="preserve"> and math workers</w:t>
            </w:r>
            <w:r w:rsidR="004F13B5">
              <w:rPr>
                <w:bCs/>
                <w:color w:val="000000"/>
                <w:sz w:val="20"/>
                <w:szCs w:val="20"/>
              </w:rPr>
              <w:t xml:space="preserve"> (13-0000)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91DAF" w:rsidRPr="00961BC4" w:rsidRDefault="00391DAF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6" w:type="dxa"/>
          </w:tcPr>
          <w:p w:rsidR="00391DAF" w:rsidRPr="00961BC4" w:rsidRDefault="004819FD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1035" w:type="dxa"/>
          </w:tcPr>
          <w:p w:rsidR="00391DAF" w:rsidRPr="00961BC4" w:rsidRDefault="00391DAF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391DAF" w:rsidRPr="00961BC4" w:rsidRDefault="00391DAF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91DAF" w:rsidRPr="00145C30" w:rsidTr="003663AC">
        <w:trPr>
          <w:trHeight w:val="145"/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391DAF" w:rsidRPr="00961BC4" w:rsidRDefault="00391DAF" w:rsidP="004F13B5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Architectur</w:t>
            </w:r>
            <w:r w:rsidR="004F13B5">
              <w:rPr>
                <w:bCs/>
                <w:color w:val="000000"/>
                <w:sz w:val="20"/>
                <w:szCs w:val="20"/>
              </w:rPr>
              <w:t>e</w:t>
            </w:r>
            <w:r w:rsidRPr="00961BC4">
              <w:rPr>
                <w:bCs/>
                <w:color w:val="000000"/>
                <w:sz w:val="20"/>
                <w:szCs w:val="20"/>
              </w:rPr>
              <w:t>, engineering, survey</w:t>
            </w:r>
            <w:r w:rsidR="00B13B01">
              <w:rPr>
                <w:bCs/>
                <w:color w:val="000000"/>
                <w:sz w:val="20"/>
                <w:szCs w:val="20"/>
              </w:rPr>
              <w:t>,</w:t>
            </w:r>
            <w:r w:rsidRPr="00961BC4">
              <w:rPr>
                <w:bCs/>
                <w:color w:val="000000"/>
                <w:sz w:val="20"/>
                <w:szCs w:val="20"/>
              </w:rPr>
              <w:t xml:space="preserve"> and map</w:t>
            </w:r>
            <w:r w:rsidR="004F13B5">
              <w:rPr>
                <w:bCs/>
                <w:color w:val="000000"/>
                <w:sz w:val="20"/>
                <w:szCs w:val="20"/>
              </w:rPr>
              <w:t xml:space="preserve">ping </w:t>
            </w:r>
            <w:r w:rsidRPr="00961BC4">
              <w:rPr>
                <w:bCs/>
                <w:color w:val="000000"/>
                <w:sz w:val="20"/>
                <w:szCs w:val="20"/>
              </w:rPr>
              <w:t>workers</w:t>
            </w:r>
            <w:r w:rsidR="004F13B5">
              <w:rPr>
                <w:bCs/>
                <w:color w:val="000000"/>
                <w:sz w:val="20"/>
                <w:szCs w:val="20"/>
              </w:rPr>
              <w:t xml:space="preserve"> (17-0000)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91DAF" w:rsidRPr="00961BC4" w:rsidRDefault="00391DAF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6" w:type="dxa"/>
          </w:tcPr>
          <w:p w:rsidR="00391DAF" w:rsidRPr="00961BC4" w:rsidRDefault="004819FD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1035" w:type="dxa"/>
          </w:tcPr>
          <w:p w:rsidR="00391DAF" w:rsidRPr="00961BC4" w:rsidRDefault="00391DAF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391DAF" w:rsidRPr="00961BC4" w:rsidRDefault="00391DAF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91DAF" w:rsidRPr="00145C30" w:rsidTr="003663AC">
        <w:trPr>
          <w:trHeight w:val="145"/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391DAF" w:rsidRPr="00961BC4" w:rsidRDefault="00391DAF" w:rsidP="00901C6B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 xml:space="preserve">Protective service workers – </w:t>
            </w:r>
            <w:r w:rsidR="005C36D0" w:rsidRPr="00961BC4">
              <w:rPr>
                <w:bCs/>
                <w:color w:val="000000"/>
                <w:sz w:val="20"/>
                <w:szCs w:val="20"/>
              </w:rPr>
              <w:t>firefighting</w:t>
            </w:r>
            <w:r w:rsidR="004F13B5">
              <w:rPr>
                <w:bCs/>
                <w:color w:val="000000"/>
                <w:sz w:val="20"/>
                <w:szCs w:val="20"/>
              </w:rPr>
              <w:t xml:space="preserve"> (33-2000)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91DAF" w:rsidRPr="00961BC4" w:rsidRDefault="00391DAF" w:rsidP="00901C6B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6" w:type="dxa"/>
          </w:tcPr>
          <w:p w:rsidR="00391DAF" w:rsidRPr="00961BC4" w:rsidRDefault="004819FD" w:rsidP="00901C6B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1035" w:type="dxa"/>
          </w:tcPr>
          <w:p w:rsidR="00391DAF" w:rsidRPr="00961BC4" w:rsidRDefault="00391DAF" w:rsidP="00901C6B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391DAF" w:rsidRPr="00961BC4" w:rsidRDefault="00391DAF" w:rsidP="00901C6B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91DAF" w:rsidRPr="00145C30" w:rsidTr="003663AC">
        <w:trPr>
          <w:trHeight w:val="145"/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391DAF" w:rsidRPr="00961BC4" w:rsidRDefault="00391DAF" w:rsidP="00901C6B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Protective service workers – law  enforcement</w:t>
            </w:r>
            <w:r w:rsidR="004F13B5">
              <w:rPr>
                <w:bCs/>
                <w:color w:val="000000"/>
                <w:sz w:val="20"/>
                <w:szCs w:val="20"/>
              </w:rPr>
              <w:t xml:space="preserve"> (33-3000)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91DAF" w:rsidRPr="00961BC4" w:rsidRDefault="00391DAF" w:rsidP="00901C6B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6" w:type="dxa"/>
          </w:tcPr>
          <w:p w:rsidR="00391DAF" w:rsidRPr="00961BC4" w:rsidRDefault="004819FD" w:rsidP="00901C6B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035" w:type="dxa"/>
          </w:tcPr>
          <w:p w:rsidR="00391DAF" w:rsidRPr="00961BC4" w:rsidRDefault="00391DAF" w:rsidP="00901C6B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391DAF" w:rsidRPr="00961BC4" w:rsidRDefault="00391DAF" w:rsidP="00901C6B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391DAF" w:rsidRPr="00145C30" w:rsidTr="003663AC">
        <w:trPr>
          <w:trHeight w:val="145"/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391DAF" w:rsidRPr="00961BC4" w:rsidRDefault="00391DAF" w:rsidP="00901C6B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Fishing, farming</w:t>
            </w:r>
            <w:r w:rsidR="00B13B01">
              <w:rPr>
                <w:bCs/>
                <w:color w:val="000000"/>
                <w:sz w:val="20"/>
                <w:szCs w:val="20"/>
              </w:rPr>
              <w:t>,</w:t>
            </w:r>
            <w:r w:rsidRPr="00961BC4">
              <w:rPr>
                <w:bCs/>
                <w:color w:val="000000"/>
                <w:sz w:val="20"/>
                <w:szCs w:val="20"/>
              </w:rPr>
              <w:t xml:space="preserve"> and forestry workers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91DAF" w:rsidRPr="00961BC4" w:rsidRDefault="00391DAF" w:rsidP="00901C6B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6" w:type="dxa"/>
          </w:tcPr>
          <w:p w:rsidR="00391DAF" w:rsidRPr="00961BC4" w:rsidRDefault="004819FD" w:rsidP="00901C6B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035" w:type="dxa"/>
          </w:tcPr>
          <w:p w:rsidR="00391DAF" w:rsidRPr="00961BC4" w:rsidRDefault="00391DAF" w:rsidP="00901C6B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391DAF" w:rsidRPr="00961BC4" w:rsidRDefault="00391DAF" w:rsidP="00901C6B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91DAF" w:rsidRPr="00145C30" w:rsidTr="003663AC">
        <w:trPr>
          <w:trHeight w:val="145"/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391DAF" w:rsidRPr="00961BC4" w:rsidRDefault="004F13B5" w:rsidP="00901C6B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</w:t>
            </w:r>
            <w:r w:rsidR="00391DAF" w:rsidRPr="00961BC4">
              <w:rPr>
                <w:bCs/>
                <w:color w:val="000000"/>
                <w:sz w:val="20"/>
                <w:szCs w:val="20"/>
              </w:rPr>
              <w:t>rotective service workers –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391DAF" w:rsidRPr="00961BC4">
              <w:rPr>
                <w:bCs/>
                <w:color w:val="000000"/>
                <w:sz w:val="20"/>
                <w:szCs w:val="20"/>
              </w:rPr>
              <w:t xml:space="preserve">other </w:t>
            </w:r>
            <w:r>
              <w:rPr>
                <w:bCs/>
                <w:color w:val="000000"/>
                <w:sz w:val="20"/>
                <w:szCs w:val="20"/>
              </w:rPr>
              <w:t xml:space="preserve"> (33-1000 and 33-9000)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91DAF" w:rsidRPr="00961BC4" w:rsidRDefault="00391DAF" w:rsidP="00901C6B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391DAF" w:rsidRPr="00961BC4" w:rsidRDefault="004819FD" w:rsidP="00901C6B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035" w:type="dxa"/>
          </w:tcPr>
          <w:p w:rsidR="00391DAF" w:rsidRPr="00961BC4" w:rsidRDefault="00391DAF" w:rsidP="00901C6B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391DAF" w:rsidRPr="00961BC4" w:rsidRDefault="00391DAF" w:rsidP="00901C6B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91DAF" w:rsidRPr="00145C30" w:rsidTr="003663AC">
        <w:trPr>
          <w:trHeight w:val="145"/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391DAF" w:rsidRPr="00961BC4" w:rsidRDefault="00391DAF" w:rsidP="005436C5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Unclassified</w:t>
            </w:r>
            <w:r w:rsidR="004F13B5">
              <w:rPr>
                <w:bCs/>
                <w:color w:val="000000"/>
                <w:sz w:val="20"/>
                <w:szCs w:val="20"/>
              </w:rPr>
              <w:t xml:space="preserve"> (99-9999)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91DAF" w:rsidRPr="00961BC4" w:rsidRDefault="00391DAF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6" w:type="dxa"/>
          </w:tcPr>
          <w:p w:rsidR="00391DAF" w:rsidRPr="00961BC4" w:rsidRDefault="004819FD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035" w:type="dxa"/>
          </w:tcPr>
          <w:p w:rsidR="00391DAF" w:rsidRPr="00961BC4" w:rsidRDefault="00391DAF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391DAF" w:rsidRPr="00961BC4" w:rsidRDefault="00391DAF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1BC4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91DAF" w:rsidRPr="00145C30" w:rsidTr="003663AC">
        <w:trPr>
          <w:trHeight w:val="145"/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391DAF" w:rsidRPr="00961BC4" w:rsidRDefault="00391DAF" w:rsidP="005436C5">
            <w:pPr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91DAF" w:rsidRPr="00961BC4" w:rsidRDefault="00391DAF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</w:tcPr>
          <w:p w:rsidR="00391DAF" w:rsidRPr="00961BC4" w:rsidRDefault="00391DAF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:rsidR="00391DAF" w:rsidRPr="00961BC4" w:rsidRDefault="00391DAF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391DAF" w:rsidRPr="00961BC4" w:rsidRDefault="00391DAF" w:rsidP="00BE68F7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91DAF" w:rsidRPr="00145C30" w:rsidTr="003663AC">
        <w:trPr>
          <w:trHeight w:val="145"/>
          <w:jc w:val="center"/>
        </w:trPr>
        <w:tc>
          <w:tcPr>
            <w:tcW w:w="5630" w:type="dxa"/>
            <w:shd w:val="clear" w:color="auto" w:fill="C4BC96" w:themeFill="background2" w:themeFillShade="BF"/>
            <w:noWrap/>
            <w:vAlign w:val="center"/>
            <w:hideMark/>
          </w:tcPr>
          <w:p w:rsidR="00391DAF" w:rsidRPr="00961BC4" w:rsidRDefault="00391DAF" w:rsidP="00391DAF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61BC4">
              <w:rPr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1183" w:type="dxa"/>
            <w:shd w:val="clear" w:color="auto" w:fill="C4BC96" w:themeFill="background2" w:themeFillShade="BF"/>
            <w:noWrap/>
            <w:vAlign w:val="center"/>
            <w:hideMark/>
          </w:tcPr>
          <w:p w:rsidR="00391DAF" w:rsidRPr="00961BC4" w:rsidRDefault="00391DAF" w:rsidP="00BE68F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BC4"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961BC4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961BC4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61BC4">
              <w:rPr>
                <w:b/>
                <w:bCs/>
                <w:noProof/>
                <w:color w:val="000000"/>
                <w:sz w:val="20"/>
                <w:szCs w:val="20"/>
              </w:rPr>
              <w:t>406</w:t>
            </w:r>
            <w:r w:rsidRPr="00961BC4"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66" w:type="dxa"/>
            <w:shd w:val="clear" w:color="auto" w:fill="C4BC96" w:themeFill="background2" w:themeFillShade="BF"/>
          </w:tcPr>
          <w:p w:rsidR="00391DAF" w:rsidRPr="00961BC4" w:rsidRDefault="00391DAF" w:rsidP="004819FD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C4BC96" w:themeFill="background2" w:themeFillShade="BF"/>
          </w:tcPr>
          <w:p w:rsidR="00391DAF" w:rsidRPr="00961BC4" w:rsidRDefault="00391DAF" w:rsidP="00BE68F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BC4"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961BC4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961BC4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61BC4">
              <w:rPr>
                <w:b/>
                <w:bCs/>
                <w:noProof/>
                <w:color w:val="000000"/>
                <w:sz w:val="20"/>
                <w:szCs w:val="20"/>
              </w:rPr>
              <w:t>311</w:t>
            </w:r>
            <w:r w:rsidRPr="00961BC4"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56" w:type="dxa"/>
            <w:shd w:val="clear" w:color="auto" w:fill="C4BC96" w:themeFill="background2" w:themeFillShade="BF"/>
            <w:noWrap/>
            <w:vAlign w:val="center"/>
            <w:hideMark/>
          </w:tcPr>
          <w:p w:rsidR="00391DAF" w:rsidRPr="00961BC4" w:rsidRDefault="00391DAF" w:rsidP="00BE68F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BC4"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961BC4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961BC4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61BC4">
              <w:rPr>
                <w:b/>
                <w:bCs/>
                <w:noProof/>
                <w:color w:val="000000"/>
                <w:sz w:val="20"/>
                <w:szCs w:val="20"/>
              </w:rPr>
              <w:t>95</w:t>
            </w:r>
            <w:r w:rsidRPr="00961BC4"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405EF1" w:rsidRDefault="00405EF1" w:rsidP="00BE68F7">
      <w:pPr>
        <w:rPr>
          <w:rFonts w:ascii="Tw Cen MT Condensed" w:hAnsi="Tw Cen MT Condensed"/>
          <w:i/>
          <w:sz w:val="28"/>
          <w:szCs w:val="28"/>
        </w:rPr>
      </w:pPr>
    </w:p>
    <w:p w:rsidR="00E364FD" w:rsidRPr="00304C16" w:rsidRDefault="00304C16" w:rsidP="00BE68F7">
      <w:pPr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>Incidents of injuries and illnesses were</w:t>
      </w:r>
      <w:r w:rsidR="000C7D8B">
        <w:rPr>
          <w:rFonts w:ascii="Tw Cen MT Condensed" w:hAnsi="Tw Cen MT Condensed"/>
          <w:sz w:val="28"/>
          <w:szCs w:val="28"/>
        </w:rPr>
        <w:t xml:space="preserve"> distributed</w:t>
      </w:r>
      <w:r>
        <w:rPr>
          <w:rFonts w:ascii="Tw Cen MT Condensed" w:hAnsi="Tw Cen MT Condensed"/>
          <w:sz w:val="28"/>
          <w:szCs w:val="28"/>
        </w:rPr>
        <w:t xml:space="preserve"> broadly over many occupational classifications.  </w:t>
      </w:r>
      <w:r w:rsidR="000C7D8B">
        <w:rPr>
          <w:rFonts w:ascii="Tw Cen MT Condensed" w:hAnsi="Tw Cen MT Condensed"/>
          <w:sz w:val="28"/>
          <w:szCs w:val="28"/>
        </w:rPr>
        <w:t>T</w:t>
      </w:r>
      <w:r w:rsidR="000C7D8B" w:rsidRPr="00304C16">
        <w:rPr>
          <w:rFonts w:ascii="Tw Cen MT Condensed" w:hAnsi="Tw Cen MT Condensed"/>
          <w:sz w:val="28"/>
          <w:szCs w:val="28"/>
        </w:rPr>
        <w:t>he occupational category with the highest frequency of claims</w:t>
      </w:r>
      <w:r w:rsidR="000C7D8B">
        <w:rPr>
          <w:rFonts w:ascii="Tw Cen MT Condensed" w:hAnsi="Tw Cen MT Condensed"/>
          <w:sz w:val="28"/>
          <w:szCs w:val="28"/>
        </w:rPr>
        <w:t xml:space="preserve"> </w:t>
      </w:r>
      <w:r w:rsidR="00B13B01">
        <w:rPr>
          <w:rFonts w:ascii="Tw Cen MT Condensed" w:hAnsi="Tw Cen MT Condensed"/>
          <w:sz w:val="28"/>
          <w:szCs w:val="28"/>
        </w:rPr>
        <w:t xml:space="preserve">was </w:t>
      </w:r>
      <w:r w:rsidR="00B13B01" w:rsidRPr="005C36D0">
        <w:rPr>
          <w:rFonts w:ascii="Tw Cen MT Condensed" w:hAnsi="Tw Cen MT Condensed"/>
          <w:i/>
          <w:sz w:val="28"/>
          <w:szCs w:val="28"/>
        </w:rPr>
        <w:t>Office</w:t>
      </w:r>
      <w:r w:rsidRPr="005C36D0">
        <w:rPr>
          <w:rFonts w:ascii="Tw Cen MT Condensed" w:hAnsi="Tw Cen MT Condensed"/>
          <w:i/>
          <w:sz w:val="28"/>
          <w:szCs w:val="28"/>
        </w:rPr>
        <w:t xml:space="preserve"> and administrative support workers</w:t>
      </w:r>
      <w:r w:rsidR="000C7D8B">
        <w:rPr>
          <w:rFonts w:ascii="Tw Cen MT Condensed" w:hAnsi="Tw Cen MT Condensed"/>
          <w:sz w:val="28"/>
          <w:szCs w:val="28"/>
        </w:rPr>
        <w:t xml:space="preserve"> at 12.3 percent</w:t>
      </w:r>
      <w:r w:rsidR="00E364FD" w:rsidRPr="00304C16">
        <w:rPr>
          <w:rFonts w:ascii="Tw Cen MT Condensed" w:hAnsi="Tw Cen MT Condensed"/>
          <w:sz w:val="28"/>
          <w:szCs w:val="28"/>
        </w:rPr>
        <w:t xml:space="preserve"> </w:t>
      </w:r>
      <w:r w:rsidRPr="00304C16">
        <w:rPr>
          <w:rFonts w:ascii="Tw Cen MT Condensed" w:hAnsi="Tw Cen MT Condensed"/>
          <w:sz w:val="28"/>
          <w:szCs w:val="28"/>
        </w:rPr>
        <w:t xml:space="preserve">followed by </w:t>
      </w:r>
      <w:r w:rsidRPr="005C36D0">
        <w:rPr>
          <w:rFonts w:ascii="Tw Cen MT Condensed" w:hAnsi="Tw Cen MT Condensed"/>
          <w:i/>
          <w:sz w:val="28"/>
          <w:szCs w:val="28"/>
        </w:rPr>
        <w:t>production workers</w:t>
      </w:r>
      <w:r w:rsidR="000C7D8B">
        <w:rPr>
          <w:rFonts w:ascii="Tw Cen MT Condensed" w:hAnsi="Tw Cen MT Condensed"/>
          <w:sz w:val="28"/>
          <w:szCs w:val="28"/>
        </w:rPr>
        <w:t xml:space="preserve"> at 9.6 percent</w:t>
      </w:r>
      <w:r w:rsidR="00B13B01">
        <w:rPr>
          <w:rFonts w:ascii="Tw Cen MT Condensed" w:hAnsi="Tw Cen MT Condensed"/>
          <w:sz w:val="28"/>
          <w:szCs w:val="28"/>
        </w:rPr>
        <w:t>.</w:t>
      </w:r>
      <w:r w:rsidR="000C7D8B">
        <w:rPr>
          <w:rFonts w:ascii="Tw Cen MT Condensed" w:hAnsi="Tw Cen MT Condensed"/>
          <w:sz w:val="28"/>
          <w:szCs w:val="28"/>
        </w:rPr>
        <w:t xml:space="preserve"> </w:t>
      </w:r>
      <w:r w:rsidR="00E364FD" w:rsidRPr="00304C16">
        <w:rPr>
          <w:rFonts w:ascii="Tw Cen MT Condensed" w:hAnsi="Tw Cen MT Condensed"/>
          <w:sz w:val="28"/>
          <w:szCs w:val="28"/>
        </w:rPr>
        <w:t xml:space="preserve"> </w:t>
      </w:r>
      <w:r>
        <w:rPr>
          <w:rFonts w:ascii="Tw Cen MT Condensed" w:hAnsi="Tw Cen MT Condensed"/>
          <w:sz w:val="28"/>
          <w:szCs w:val="28"/>
        </w:rPr>
        <w:t>However, if taken as a whole, t</w:t>
      </w:r>
      <w:r w:rsidRPr="00304C16">
        <w:rPr>
          <w:rFonts w:ascii="Tw Cen MT Condensed" w:hAnsi="Tw Cen MT Condensed"/>
          <w:sz w:val="28"/>
          <w:szCs w:val="28"/>
        </w:rPr>
        <w:t>he</w:t>
      </w:r>
      <w:r w:rsidR="00B13B01">
        <w:rPr>
          <w:rFonts w:ascii="Tw Cen MT Condensed" w:hAnsi="Tw Cen MT Condensed"/>
          <w:sz w:val="28"/>
          <w:szCs w:val="28"/>
        </w:rPr>
        <w:t xml:space="preserve"> health</w:t>
      </w:r>
      <w:r w:rsidRPr="00304C16">
        <w:rPr>
          <w:rFonts w:ascii="Tw Cen MT Condensed" w:hAnsi="Tw Cen MT Condensed"/>
          <w:sz w:val="28"/>
          <w:szCs w:val="28"/>
        </w:rPr>
        <w:t>care occupations (</w:t>
      </w:r>
      <w:r w:rsidR="00B13B01">
        <w:rPr>
          <w:rFonts w:ascii="Tw Cen MT Condensed" w:hAnsi="Tw Cen MT Condensed"/>
          <w:i/>
          <w:sz w:val="28"/>
          <w:szCs w:val="28"/>
        </w:rPr>
        <w:t>health</w:t>
      </w:r>
      <w:r w:rsidRPr="005C36D0">
        <w:rPr>
          <w:rFonts w:ascii="Tw Cen MT Condensed" w:hAnsi="Tw Cen MT Condensed"/>
          <w:i/>
          <w:sz w:val="28"/>
          <w:szCs w:val="28"/>
        </w:rPr>
        <w:t>care practition</w:t>
      </w:r>
      <w:r w:rsidR="00B13B01">
        <w:rPr>
          <w:rFonts w:ascii="Tw Cen MT Condensed" w:hAnsi="Tw Cen MT Condensed"/>
          <w:i/>
          <w:sz w:val="28"/>
          <w:szCs w:val="28"/>
        </w:rPr>
        <w:t>ers and technicians, and health</w:t>
      </w:r>
      <w:r w:rsidRPr="005C36D0">
        <w:rPr>
          <w:rFonts w:ascii="Tw Cen MT Condensed" w:hAnsi="Tw Cen MT Condensed"/>
          <w:i/>
          <w:sz w:val="28"/>
          <w:szCs w:val="28"/>
        </w:rPr>
        <w:t>care support workers</w:t>
      </w:r>
      <w:r w:rsidRPr="00304C16">
        <w:rPr>
          <w:rFonts w:ascii="Tw Cen MT Condensed" w:hAnsi="Tw Cen MT Condensed"/>
          <w:sz w:val="28"/>
          <w:szCs w:val="28"/>
        </w:rPr>
        <w:t>) would account for</w:t>
      </w:r>
      <w:r w:rsidR="000C7D8B">
        <w:rPr>
          <w:rFonts w:ascii="Tw Cen MT Condensed" w:hAnsi="Tw Cen MT Condensed"/>
          <w:sz w:val="28"/>
          <w:szCs w:val="28"/>
        </w:rPr>
        <w:t xml:space="preserve"> the largest number of claims at </w:t>
      </w:r>
      <w:r w:rsidRPr="00304C16">
        <w:rPr>
          <w:rFonts w:ascii="Tw Cen MT Condensed" w:hAnsi="Tw Cen MT Condensed"/>
          <w:sz w:val="28"/>
          <w:szCs w:val="28"/>
        </w:rPr>
        <w:t>15.8 percent.</w:t>
      </w:r>
      <w:r w:rsidR="00E364FD" w:rsidRPr="00304C16">
        <w:rPr>
          <w:rFonts w:ascii="Tw Cen MT Condensed" w:hAnsi="Tw Cen MT Condensed"/>
          <w:sz w:val="28"/>
          <w:szCs w:val="28"/>
        </w:rPr>
        <w:t xml:space="preserve"> </w:t>
      </w:r>
    </w:p>
    <w:p w:rsidR="00304C16" w:rsidRPr="00604C73" w:rsidRDefault="00304C16" w:rsidP="00BE68F7">
      <w:pPr>
        <w:rPr>
          <w:rFonts w:ascii="Tw Cen MT Condensed" w:hAnsi="Tw Cen MT Condensed"/>
          <w:i/>
          <w:sz w:val="28"/>
          <w:szCs w:val="28"/>
        </w:rPr>
      </w:pPr>
    </w:p>
    <w:p w:rsidR="0044319C" w:rsidRDefault="0044319C" w:rsidP="004B061B">
      <w:pPr>
        <w:spacing w:after="0"/>
        <w:jc w:val="center"/>
        <w:rPr>
          <w:rFonts w:ascii="Tw Cen MT Condensed" w:hAnsi="Tw Cen MT Condensed"/>
          <w:b/>
          <w:sz w:val="28"/>
          <w:szCs w:val="28"/>
          <w:u w:val="single"/>
        </w:rPr>
      </w:pPr>
    </w:p>
    <w:p w:rsidR="00E364FD" w:rsidRDefault="004B061B" w:rsidP="00405EF1">
      <w:pPr>
        <w:spacing w:after="0"/>
        <w:rPr>
          <w:rFonts w:ascii="Tw Cen MT Condensed" w:hAnsi="Tw Cen MT Condensed"/>
          <w:b/>
          <w:sz w:val="28"/>
          <w:szCs w:val="28"/>
          <w:u w:val="single"/>
        </w:rPr>
      </w:pPr>
      <w:r>
        <w:rPr>
          <w:rFonts w:ascii="Tw Cen MT Condensed" w:hAnsi="Tw Cen MT Condensed"/>
          <w:b/>
          <w:sz w:val="28"/>
          <w:szCs w:val="28"/>
          <w:u w:val="single"/>
        </w:rPr>
        <w:br w:type="page"/>
      </w:r>
      <w:r w:rsidR="00E364FD" w:rsidRPr="00611B1B">
        <w:rPr>
          <w:rFonts w:ascii="Tw Cen MT Condensed" w:hAnsi="Tw Cen MT Condensed"/>
          <w:b/>
          <w:sz w:val="28"/>
          <w:szCs w:val="28"/>
          <w:u w:val="single"/>
        </w:rPr>
        <w:lastRenderedPageBreak/>
        <w:t>Employer Industries</w:t>
      </w:r>
    </w:p>
    <w:p w:rsidR="003663AC" w:rsidRPr="00611B1B" w:rsidRDefault="003663AC" w:rsidP="00405EF1">
      <w:pPr>
        <w:spacing w:after="0"/>
        <w:rPr>
          <w:rFonts w:ascii="Tw Cen MT Condensed" w:hAnsi="Tw Cen MT Condensed"/>
          <w:b/>
          <w:sz w:val="28"/>
          <w:szCs w:val="28"/>
          <w:u w:val="single"/>
        </w:rPr>
      </w:pPr>
    </w:p>
    <w:p w:rsidR="00E364FD" w:rsidRPr="00145C30" w:rsidRDefault="00E364FD" w:rsidP="00E364FD">
      <w:r w:rsidRPr="00611B1B">
        <w:rPr>
          <w:rFonts w:ascii="Tw Cen MT Condensed" w:hAnsi="Tw Cen MT Condensed"/>
          <w:sz w:val="28"/>
          <w:szCs w:val="28"/>
        </w:rPr>
        <w:t xml:space="preserve">Table </w:t>
      </w:r>
      <w:r w:rsidR="00B13B01">
        <w:rPr>
          <w:rFonts w:ascii="Tw Cen MT Condensed" w:hAnsi="Tw Cen MT Condensed"/>
          <w:sz w:val="28"/>
          <w:szCs w:val="28"/>
        </w:rPr>
        <w:t>5</w:t>
      </w:r>
      <w:r w:rsidRPr="00611B1B">
        <w:rPr>
          <w:rFonts w:ascii="Tw Cen MT Condensed" w:hAnsi="Tw Cen MT Condensed"/>
          <w:sz w:val="28"/>
          <w:szCs w:val="28"/>
        </w:rPr>
        <w:t xml:space="preserve"> provides claim incident numbers for chemical and </w:t>
      </w:r>
      <w:r w:rsidR="008323BD">
        <w:rPr>
          <w:rFonts w:ascii="Tw Cen MT Condensed" w:hAnsi="Tw Cen MT Condensed"/>
          <w:sz w:val="28"/>
          <w:szCs w:val="28"/>
        </w:rPr>
        <w:t>related</w:t>
      </w:r>
      <w:r w:rsidRPr="00611B1B">
        <w:rPr>
          <w:rFonts w:ascii="Tw Cen MT Condensed" w:hAnsi="Tw Cen MT Condensed"/>
          <w:sz w:val="28"/>
          <w:szCs w:val="28"/>
        </w:rPr>
        <w:t xml:space="preserve"> claims by employer industries</w:t>
      </w:r>
      <w:r w:rsidR="00304C16">
        <w:rPr>
          <w:rFonts w:ascii="Tw Cen MT Condensed" w:hAnsi="Tw Cen MT Condensed"/>
          <w:sz w:val="28"/>
          <w:szCs w:val="28"/>
        </w:rPr>
        <w:t xml:space="preserve"> based on the North American Industrial Classification System</w:t>
      </w:r>
      <w:r w:rsidRPr="00611B1B">
        <w:rPr>
          <w:rFonts w:ascii="Tw Cen MT Condensed" w:hAnsi="Tw Cen MT Condensed"/>
          <w:sz w:val="28"/>
          <w:szCs w:val="28"/>
        </w:rPr>
        <w:t>.</w:t>
      </w:r>
    </w:p>
    <w:tbl>
      <w:tblPr>
        <w:tblW w:w="10195" w:type="dxa"/>
        <w:jc w:val="center"/>
        <w:tblInd w:w="24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537"/>
        <w:gridCol w:w="1240"/>
        <w:gridCol w:w="1022"/>
        <w:gridCol w:w="1291"/>
        <w:gridCol w:w="1105"/>
      </w:tblGrid>
      <w:tr w:rsidR="00961BC4" w:rsidRPr="00145C30" w:rsidTr="003663AC">
        <w:trPr>
          <w:trHeight w:val="629"/>
          <w:jc w:val="center"/>
        </w:trPr>
        <w:tc>
          <w:tcPr>
            <w:tcW w:w="10195" w:type="dxa"/>
            <w:gridSpan w:val="5"/>
            <w:shd w:val="clear" w:color="auto" w:fill="C4BC96" w:themeFill="background2" w:themeFillShade="BF"/>
          </w:tcPr>
          <w:p w:rsidR="00961BC4" w:rsidRPr="00E84FB4" w:rsidRDefault="00A33D64" w:rsidP="00FF6F52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4FB4">
              <w:rPr>
                <w:b/>
                <w:bCs/>
                <w:color w:val="000000"/>
                <w:sz w:val="28"/>
                <w:szCs w:val="28"/>
              </w:rPr>
              <w:t xml:space="preserve">TABLE </w:t>
            </w:r>
            <w:r w:rsidR="00B13B01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  <w:p w:rsidR="00961BC4" w:rsidRDefault="00961BC4" w:rsidP="00FF6F5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86A3F">
              <w:rPr>
                <w:b/>
                <w:bCs/>
                <w:color w:val="000000"/>
                <w:sz w:val="20"/>
                <w:szCs w:val="20"/>
              </w:rPr>
              <w:t xml:space="preserve">TOP EMPLOYER INDUSTRIES INVOLVED WITH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WORKERS' COMPENSATION CLAIMS </w:t>
            </w:r>
            <w:r w:rsidRPr="0086092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FROM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EXPOSURE TO HAZARDOUS CHEMICALS OR ADVERSE ENVIRONMENTAL/MICROBIOLOGICAL CONDITIONS </w:t>
            </w:r>
          </w:p>
          <w:p w:rsidR="00961BC4" w:rsidRPr="00986A3F" w:rsidRDefault="00961BC4" w:rsidP="00FF6F52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92B">
              <w:rPr>
                <w:rFonts w:cs="Calibri"/>
                <w:b/>
                <w:bCs/>
                <w:color w:val="000000"/>
                <w:sz w:val="20"/>
                <w:szCs w:val="20"/>
              </w:rPr>
              <w:t>(2012–2013)</w:t>
            </w:r>
          </w:p>
        </w:tc>
      </w:tr>
      <w:tr w:rsidR="00AB1A4C" w:rsidRPr="00145C30" w:rsidTr="003663AC">
        <w:trPr>
          <w:trHeight w:val="533"/>
          <w:jc w:val="center"/>
        </w:trPr>
        <w:tc>
          <w:tcPr>
            <w:tcW w:w="5537" w:type="dxa"/>
            <w:shd w:val="clear" w:color="auto" w:fill="C4BC96" w:themeFill="background2" w:themeFillShade="BF"/>
            <w:vAlign w:val="center"/>
            <w:hideMark/>
          </w:tcPr>
          <w:p w:rsidR="00AB1A4C" w:rsidRPr="004F13B5" w:rsidRDefault="00AB1A4C" w:rsidP="00AB1A4C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F13B5">
              <w:rPr>
                <w:bCs/>
                <w:color w:val="000000"/>
                <w:sz w:val="18"/>
                <w:szCs w:val="18"/>
              </w:rPr>
              <w:t>INDUSTRY</w:t>
            </w:r>
            <w:r w:rsidR="00C010B6">
              <w:rPr>
                <w:bCs/>
                <w:color w:val="000000"/>
                <w:sz w:val="18"/>
                <w:szCs w:val="18"/>
              </w:rPr>
              <w:t xml:space="preserve"> (NAICS CODE)</w:t>
            </w:r>
          </w:p>
        </w:tc>
        <w:tc>
          <w:tcPr>
            <w:tcW w:w="1240" w:type="dxa"/>
            <w:shd w:val="clear" w:color="auto" w:fill="C4BC96" w:themeFill="background2" w:themeFillShade="BF"/>
            <w:vAlign w:val="center"/>
          </w:tcPr>
          <w:p w:rsidR="00AB1A4C" w:rsidRPr="004F13B5" w:rsidRDefault="00AB1A4C" w:rsidP="00AB1A4C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F13B5">
              <w:rPr>
                <w:bCs/>
                <w:color w:val="000000"/>
                <w:sz w:val="18"/>
                <w:szCs w:val="18"/>
              </w:rPr>
              <w:t>NUMBER OF INCIDENTS</w:t>
            </w:r>
          </w:p>
        </w:tc>
        <w:tc>
          <w:tcPr>
            <w:tcW w:w="1022" w:type="dxa"/>
            <w:shd w:val="clear" w:color="auto" w:fill="C4BC96" w:themeFill="background2" w:themeFillShade="BF"/>
            <w:vAlign w:val="center"/>
          </w:tcPr>
          <w:p w:rsidR="00AB1A4C" w:rsidRPr="004F13B5" w:rsidRDefault="00AB1A4C" w:rsidP="00AB1A4C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F13B5">
              <w:rPr>
                <w:bCs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291" w:type="dxa"/>
            <w:shd w:val="clear" w:color="auto" w:fill="C4BC96" w:themeFill="background2" w:themeFillShade="BF"/>
            <w:vAlign w:val="center"/>
            <w:hideMark/>
          </w:tcPr>
          <w:p w:rsidR="00AB1A4C" w:rsidRPr="004F13B5" w:rsidRDefault="00AB1A4C" w:rsidP="00AB1A4C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F13B5">
              <w:rPr>
                <w:bCs/>
                <w:color w:val="000000"/>
                <w:sz w:val="18"/>
                <w:szCs w:val="18"/>
              </w:rPr>
              <w:t>PRIVATE SECTOR</w:t>
            </w:r>
          </w:p>
        </w:tc>
        <w:tc>
          <w:tcPr>
            <w:tcW w:w="1105" w:type="dxa"/>
            <w:shd w:val="clear" w:color="auto" w:fill="C4BC96" w:themeFill="background2" w:themeFillShade="BF"/>
            <w:vAlign w:val="center"/>
            <w:hideMark/>
          </w:tcPr>
          <w:p w:rsidR="00AB1A4C" w:rsidRPr="004F13B5" w:rsidRDefault="00AB1A4C" w:rsidP="00AB1A4C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F13B5">
              <w:rPr>
                <w:bCs/>
                <w:color w:val="000000"/>
                <w:sz w:val="18"/>
                <w:szCs w:val="18"/>
              </w:rPr>
              <w:t>PUBLIC SECTOR</w:t>
            </w:r>
          </w:p>
        </w:tc>
      </w:tr>
      <w:tr w:rsidR="00AB1A4C" w:rsidRPr="00145C30" w:rsidTr="003663AC">
        <w:trPr>
          <w:trHeight w:val="122"/>
          <w:jc w:val="center"/>
        </w:trPr>
        <w:tc>
          <w:tcPr>
            <w:tcW w:w="5537" w:type="dxa"/>
            <w:shd w:val="clear" w:color="auto" w:fill="auto"/>
            <w:vAlign w:val="bottom"/>
          </w:tcPr>
          <w:p w:rsidR="00AB1A4C" w:rsidRPr="00986A3F" w:rsidRDefault="00901C6B" w:rsidP="00986A3F">
            <w:pPr>
              <w:spacing w:after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Hospitals</w:t>
            </w:r>
            <w:r w:rsidR="00C010B6">
              <w:rPr>
                <w:bCs/>
                <w:color w:val="000000"/>
                <w:sz w:val="18"/>
                <w:szCs w:val="18"/>
              </w:rPr>
              <w:t xml:space="preserve"> (622000)</w:t>
            </w:r>
          </w:p>
        </w:tc>
        <w:tc>
          <w:tcPr>
            <w:tcW w:w="1240" w:type="dxa"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22" w:type="dxa"/>
            <w:vAlign w:val="center"/>
          </w:tcPr>
          <w:p w:rsidR="00AB1A4C" w:rsidRPr="00986A3F" w:rsidRDefault="0059453A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13.5%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AB1A4C" w:rsidRPr="00145C30" w:rsidTr="003663AC">
        <w:trPr>
          <w:trHeight w:val="122"/>
          <w:jc w:val="center"/>
        </w:trPr>
        <w:tc>
          <w:tcPr>
            <w:tcW w:w="5537" w:type="dxa"/>
            <w:shd w:val="clear" w:color="auto" w:fill="auto"/>
            <w:vAlign w:val="bottom"/>
          </w:tcPr>
          <w:p w:rsidR="00AB1A4C" w:rsidRPr="00986A3F" w:rsidRDefault="00901C6B" w:rsidP="00986A3F">
            <w:pPr>
              <w:spacing w:after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Public Administration</w:t>
            </w:r>
            <w:r w:rsidR="00C010B6">
              <w:rPr>
                <w:bCs/>
                <w:color w:val="000000"/>
                <w:sz w:val="18"/>
                <w:szCs w:val="18"/>
              </w:rPr>
              <w:t xml:space="preserve"> (920000)</w:t>
            </w:r>
          </w:p>
        </w:tc>
        <w:tc>
          <w:tcPr>
            <w:tcW w:w="1240" w:type="dxa"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22" w:type="dxa"/>
            <w:vAlign w:val="center"/>
          </w:tcPr>
          <w:p w:rsidR="00AB1A4C" w:rsidRPr="00986A3F" w:rsidRDefault="0059453A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12.6%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AB1A4C" w:rsidRPr="00145C30" w:rsidTr="003663AC">
        <w:trPr>
          <w:trHeight w:val="122"/>
          <w:jc w:val="center"/>
        </w:trPr>
        <w:tc>
          <w:tcPr>
            <w:tcW w:w="5537" w:type="dxa"/>
            <w:shd w:val="clear" w:color="auto" w:fill="auto"/>
            <w:vAlign w:val="bottom"/>
          </w:tcPr>
          <w:p w:rsidR="00AB1A4C" w:rsidRPr="00986A3F" w:rsidRDefault="00901C6B" w:rsidP="00986A3F">
            <w:pPr>
              <w:spacing w:after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Education</w:t>
            </w:r>
            <w:r w:rsidR="00C010B6">
              <w:rPr>
                <w:bCs/>
                <w:color w:val="000000"/>
                <w:sz w:val="18"/>
                <w:szCs w:val="18"/>
              </w:rPr>
              <w:t xml:space="preserve"> (610000)</w:t>
            </w:r>
          </w:p>
        </w:tc>
        <w:tc>
          <w:tcPr>
            <w:tcW w:w="1240" w:type="dxa"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22" w:type="dxa"/>
            <w:vAlign w:val="center"/>
          </w:tcPr>
          <w:p w:rsidR="00AB1A4C" w:rsidRPr="00986A3F" w:rsidRDefault="0059453A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10.3%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</w:t>
            </w:r>
          </w:p>
        </w:tc>
      </w:tr>
      <w:tr w:rsidR="00AB1A4C" w:rsidRPr="00145C30" w:rsidTr="003663AC">
        <w:trPr>
          <w:trHeight w:val="122"/>
          <w:jc w:val="center"/>
        </w:trPr>
        <w:tc>
          <w:tcPr>
            <w:tcW w:w="5537" w:type="dxa"/>
            <w:shd w:val="clear" w:color="auto" w:fill="auto"/>
            <w:vAlign w:val="bottom"/>
          </w:tcPr>
          <w:p w:rsidR="00AB1A4C" w:rsidRPr="00986A3F" w:rsidRDefault="00901C6B" w:rsidP="00986A3F">
            <w:pPr>
              <w:spacing w:after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Manufacturing</w:t>
            </w:r>
            <w:r w:rsidR="00C010B6">
              <w:rPr>
                <w:bCs/>
                <w:color w:val="000000"/>
                <w:sz w:val="18"/>
                <w:szCs w:val="18"/>
              </w:rPr>
              <w:t xml:space="preserve"> (310000 – 330000)</w:t>
            </w:r>
          </w:p>
        </w:tc>
        <w:tc>
          <w:tcPr>
            <w:tcW w:w="1240" w:type="dxa"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22" w:type="dxa"/>
            <w:vAlign w:val="center"/>
          </w:tcPr>
          <w:p w:rsidR="00AB1A4C" w:rsidRPr="00986A3F" w:rsidRDefault="0059453A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9.6%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AB1A4C" w:rsidRPr="00145C30" w:rsidTr="003663AC">
        <w:trPr>
          <w:trHeight w:val="122"/>
          <w:jc w:val="center"/>
        </w:trPr>
        <w:tc>
          <w:tcPr>
            <w:tcW w:w="5537" w:type="dxa"/>
            <w:shd w:val="clear" w:color="auto" w:fill="auto"/>
            <w:vAlign w:val="bottom"/>
          </w:tcPr>
          <w:p w:rsidR="00AB1A4C" w:rsidRPr="00986A3F" w:rsidRDefault="00901C6B" w:rsidP="00986A3F">
            <w:pPr>
              <w:spacing w:after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Ambulatory Services</w:t>
            </w:r>
            <w:r w:rsidR="00C010B6">
              <w:rPr>
                <w:bCs/>
                <w:color w:val="000000"/>
                <w:sz w:val="18"/>
                <w:szCs w:val="18"/>
              </w:rPr>
              <w:t xml:space="preserve">  (621000)</w:t>
            </w:r>
          </w:p>
        </w:tc>
        <w:tc>
          <w:tcPr>
            <w:tcW w:w="1240" w:type="dxa"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22" w:type="dxa"/>
            <w:vAlign w:val="center"/>
          </w:tcPr>
          <w:p w:rsidR="00AB1A4C" w:rsidRPr="00986A3F" w:rsidRDefault="0059453A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7.1%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AB1A4C" w:rsidRPr="00986A3F" w:rsidRDefault="00D8368A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AB1A4C" w:rsidRPr="00986A3F" w:rsidRDefault="00D8368A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AB1A4C" w:rsidRPr="00145C30" w:rsidTr="003663AC">
        <w:trPr>
          <w:trHeight w:val="122"/>
          <w:jc w:val="center"/>
        </w:trPr>
        <w:tc>
          <w:tcPr>
            <w:tcW w:w="5537" w:type="dxa"/>
            <w:shd w:val="clear" w:color="auto" w:fill="auto"/>
            <w:vAlign w:val="bottom"/>
          </w:tcPr>
          <w:p w:rsidR="00AB1A4C" w:rsidRPr="00986A3F" w:rsidRDefault="00901C6B" w:rsidP="00986A3F">
            <w:pPr>
              <w:spacing w:after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Administrative support waste management and remediation</w:t>
            </w:r>
            <w:r w:rsidR="00C010B6">
              <w:rPr>
                <w:bCs/>
                <w:color w:val="000000"/>
                <w:sz w:val="18"/>
                <w:szCs w:val="18"/>
              </w:rPr>
              <w:t xml:space="preserve"> (560000)</w:t>
            </w:r>
          </w:p>
        </w:tc>
        <w:tc>
          <w:tcPr>
            <w:tcW w:w="1240" w:type="dxa"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22" w:type="dxa"/>
            <w:vAlign w:val="center"/>
          </w:tcPr>
          <w:p w:rsidR="00AB1A4C" w:rsidRPr="00986A3F" w:rsidRDefault="0059453A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6.4%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AB1A4C" w:rsidRPr="00145C30" w:rsidTr="003663AC">
        <w:trPr>
          <w:trHeight w:val="122"/>
          <w:jc w:val="center"/>
        </w:trPr>
        <w:tc>
          <w:tcPr>
            <w:tcW w:w="5537" w:type="dxa"/>
            <w:shd w:val="clear" w:color="auto" w:fill="auto"/>
            <w:vAlign w:val="bottom"/>
          </w:tcPr>
          <w:p w:rsidR="00AB1A4C" w:rsidRPr="00986A3F" w:rsidRDefault="00901C6B" w:rsidP="000C7D8B">
            <w:pPr>
              <w:spacing w:after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Retail trade (non-food</w:t>
            </w:r>
            <w:r w:rsidR="000C7D8B">
              <w:rPr>
                <w:bCs/>
                <w:color w:val="000000"/>
                <w:sz w:val="18"/>
                <w:szCs w:val="18"/>
              </w:rPr>
              <w:t>/</w:t>
            </w:r>
            <w:r>
              <w:rPr>
                <w:bCs/>
                <w:color w:val="000000"/>
                <w:sz w:val="18"/>
                <w:szCs w:val="18"/>
              </w:rPr>
              <w:t xml:space="preserve"> beverage)</w:t>
            </w:r>
            <w:r w:rsidR="00C010B6">
              <w:rPr>
                <w:bCs/>
                <w:color w:val="000000"/>
                <w:sz w:val="18"/>
                <w:szCs w:val="18"/>
              </w:rPr>
              <w:t xml:space="preserve"> (440000 – 450000 excluding 445000)</w:t>
            </w:r>
          </w:p>
        </w:tc>
        <w:tc>
          <w:tcPr>
            <w:tcW w:w="1240" w:type="dxa"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22" w:type="dxa"/>
            <w:vAlign w:val="center"/>
          </w:tcPr>
          <w:p w:rsidR="00AB1A4C" w:rsidRPr="00986A3F" w:rsidRDefault="0059453A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6.2%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901C6B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AB1A4C" w:rsidRPr="00145C30" w:rsidTr="003663AC">
        <w:trPr>
          <w:trHeight w:val="122"/>
          <w:jc w:val="center"/>
        </w:trPr>
        <w:tc>
          <w:tcPr>
            <w:tcW w:w="5537" w:type="dxa"/>
            <w:shd w:val="clear" w:color="auto" w:fill="auto"/>
            <w:vAlign w:val="bottom"/>
          </w:tcPr>
          <w:p w:rsidR="00AB1A4C" w:rsidRPr="00986A3F" w:rsidRDefault="00901C6B" w:rsidP="00986A3F">
            <w:pPr>
              <w:spacing w:after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Accommodation and food services</w:t>
            </w:r>
            <w:r w:rsidR="00C010B6">
              <w:rPr>
                <w:bCs/>
                <w:color w:val="000000"/>
                <w:sz w:val="18"/>
                <w:szCs w:val="18"/>
              </w:rPr>
              <w:t xml:space="preserve"> (720000)</w:t>
            </w:r>
          </w:p>
        </w:tc>
        <w:tc>
          <w:tcPr>
            <w:tcW w:w="1240" w:type="dxa"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22" w:type="dxa"/>
            <w:vAlign w:val="center"/>
          </w:tcPr>
          <w:p w:rsidR="00AB1A4C" w:rsidRPr="00986A3F" w:rsidRDefault="0059453A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5.7%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AB1A4C" w:rsidRPr="00145C30" w:rsidTr="003663AC">
        <w:trPr>
          <w:trHeight w:val="122"/>
          <w:jc w:val="center"/>
        </w:trPr>
        <w:tc>
          <w:tcPr>
            <w:tcW w:w="5537" w:type="dxa"/>
            <w:shd w:val="clear" w:color="auto" w:fill="auto"/>
            <w:vAlign w:val="bottom"/>
          </w:tcPr>
          <w:p w:rsidR="00AB1A4C" w:rsidRPr="00986A3F" w:rsidRDefault="00901C6B" w:rsidP="00986A3F">
            <w:pPr>
              <w:spacing w:after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Retail food and beverage</w:t>
            </w:r>
            <w:r w:rsidR="00C010B6">
              <w:rPr>
                <w:bCs/>
                <w:color w:val="000000"/>
                <w:sz w:val="18"/>
                <w:szCs w:val="18"/>
              </w:rPr>
              <w:t xml:space="preserve"> (445000)</w:t>
            </w:r>
          </w:p>
        </w:tc>
        <w:tc>
          <w:tcPr>
            <w:tcW w:w="1240" w:type="dxa"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2" w:type="dxa"/>
            <w:vAlign w:val="center"/>
          </w:tcPr>
          <w:p w:rsidR="00AB1A4C" w:rsidRPr="00986A3F" w:rsidRDefault="0059453A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4.9%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AB1A4C" w:rsidRPr="00145C30" w:rsidTr="003663AC">
        <w:trPr>
          <w:trHeight w:val="122"/>
          <w:jc w:val="center"/>
        </w:trPr>
        <w:tc>
          <w:tcPr>
            <w:tcW w:w="5537" w:type="dxa"/>
            <w:shd w:val="clear" w:color="auto" w:fill="auto"/>
            <w:vAlign w:val="bottom"/>
          </w:tcPr>
          <w:p w:rsidR="00AB1A4C" w:rsidRPr="00986A3F" w:rsidRDefault="00901C6B" w:rsidP="00986A3F">
            <w:pPr>
              <w:spacing w:after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Nursing and residential health care</w:t>
            </w:r>
            <w:r w:rsidR="00C010B6">
              <w:rPr>
                <w:bCs/>
                <w:color w:val="000000"/>
                <w:sz w:val="18"/>
                <w:szCs w:val="18"/>
              </w:rPr>
              <w:t xml:space="preserve"> (623000)</w:t>
            </w:r>
          </w:p>
        </w:tc>
        <w:tc>
          <w:tcPr>
            <w:tcW w:w="1240" w:type="dxa"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2" w:type="dxa"/>
            <w:vAlign w:val="center"/>
          </w:tcPr>
          <w:p w:rsidR="00AB1A4C" w:rsidRPr="00986A3F" w:rsidRDefault="0059453A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4.9%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AB1A4C" w:rsidRPr="00145C30" w:rsidTr="003663AC">
        <w:trPr>
          <w:trHeight w:val="122"/>
          <w:jc w:val="center"/>
        </w:trPr>
        <w:tc>
          <w:tcPr>
            <w:tcW w:w="5537" w:type="dxa"/>
            <w:shd w:val="clear" w:color="auto" w:fill="auto"/>
            <w:vAlign w:val="bottom"/>
            <w:hideMark/>
          </w:tcPr>
          <w:p w:rsidR="00AB1A4C" w:rsidRPr="00986A3F" w:rsidRDefault="00901C6B" w:rsidP="00986A3F">
            <w:pPr>
              <w:spacing w:after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Construction</w:t>
            </w:r>
            <w:r w:rsidR="00C010B6">
              <w:rPr>
                <w:bCs/>
                <w:color w:val="000000"/>
                <w:sz w:val="18"/>
                <w:szCs w:val="18"/>
              </w:rPr>
              <w:t xml:space="preserve"> (230000)</w:t>
            </w:r>
          </w:p>
        </w:tc>
        <w:tc>
          <w:tcPr>
            <w:tcW w:w="1240" w:type="dxa"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2" w:type="dxa"/>
            <w:vAlign w:val="center"/>
          </w:tcPr>
          <w:p w:rsidR="00AB1A4C" w:rsidRPr="00986A3F" w:rsidRDefault="0059453A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3.2%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AB1A4C" w:rsidRPr="00145C30" w:rsidTr="003663AC">
        <w:trPr>
          <w:trHeight w:val="122"/>
          <w:jc w:val="center"/>
        </w:trPr>
        <w:tc>
          <w:tcPr>
            <w:tcW w:w="5537" w:type="dxa"/>
            <w:shd w:val="clear" w:color="auto" w:fill="auto"/>
            <w:vAlign w:val="bottom"/>
            <w:hideMark/>
          </w:tcPr>
          <w:p w:rsidR="00AB1A4C" w:rsidRPr="00986A3F" w:rsidRDefault="00901C6B" w:rsidP="00986A3F">
            <w:pPr>
              <w:spacing w:after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Professional, scientific</w:t>
            </w:r>
            <w:r w:rsidR="00B13B01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 xml:space="preserve"> and real estate</w:t>
            </w:r>
            <w:r w:rsidR="00C010B6">
              <w:rPr>
                <w:bCs/>
                <w:color w:val="000000"/>
                <w:sz w:val="18"/>
                <w:szCs w:val="18"/>
              </w:rPr>
              <w:t xml:space="preserve"> (540000)</w:t>
            </w:r>
          </w:p>
        </w:tc>
        <w:tc>
          <w:tcPr>
            <w:tcW w:w="1240" w:type="dxa"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2" w:type="dxa"/>
            <w:vAlign w:val="center"/>
          </w:tcPr>
          <w:p w:rsidR="00AB1A4C" w:rsidRPr="00986A3F" w:rsidRDefault="0059453A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AB1A4C" w:rsidRPr="00145C30" w:rsidTr="003663AC">
        <w:trPr>
          <w:trHeight w:val="122"/>
          <w:jc w:val="center"/>
        </w:trPr>
        <w:tc>
          <w:tcPr>
            <w:tcW w:w="5537" w:type="dxa"/>
            <w:shd w:val="clear" w:color="auto" w:fill="auto"/>
            <w:vAlign w:val="bottom"/>
            <w:hideMark/>
          </w:tcPr>
          <w:p w:rsidR="00AB1A4C" w:rsidRPr="00986A3F" w:rsidRDefault="00901C6B" w:rsidP="00C010B6">
            <w:pPr>
              <w:spacing w:after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Repair, maintenance, </w:t>
            </w:r>
            <w:r w:rsidR="00C010B6">
              <w:rPr>
                <w:bCs/>
                <w:color w:val="000000"/>
                <w:sz w:val="18"/>
                <w:szCs w:val="18"/>
              </w:rPr>
              <w:t>and other</w:t>
            </w:r>
            <w:r>
              <w:rPr>
                <w:bCs/>
                <w:color w:val="000000"/>
                <w:sz w:val="18"/>
                <w:szCs w:val="18"/>
              </w:rPr>
              <w:t xml:space="preserve"> service</w:t>
            </w:r>
            <w:r w:rsidR="00C010B6">
              <w:rPr>
                <w:bCs/>
                <w:color w:val="000000"/>
                <w:sz w:val="18"/>
                <w:szCs w:val="18"/>
              </w:rPr>
              <w:t xml:space="preserve"> (810000)</w:t>
            </w:r>
          </w:p>
        </w:tc>
        <w:tc>
          <w:tcPr>
            <w:tcW w:w="1240" w:type="dxa"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2" w:type="dxa"/>
            <w:vAlign w:val="center"/>
          </w:tcPr>
          <w:p w:rsidR="00AB1A4C" w:rsidRPr="00986A3F" w:rsidRDefault="0059453A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2.7%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AB1A4C" w:rsidRPr="00145C30" w:rsidTr="003663AC">
        <w:trPr>
          <w:trHeight w:val="122"/>
          <w:jc w:val="center"/>
        </w:trPr>
        <w:tc>
          <w:tcPr>
            <w:tcW w:w="5537" w:type="dxa"/>
            <w:shd w:val="clear" w:color="auto" w:fill="auto"/>
            <w:vAlign w:val="bottom"/>
            <w:hideMark/>
          </w:tcPr>
          <w:p w:rsidR="00AB1A4C" w:rsidRPr="00986A3F" w:rsidRDefault="00901C6B" w:rsidP="00986A3F">
            <w:pPr>
              <w:spacing w:after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Wholesale trade</w:t>
            </w:r>
            <w:r w:rsidR="00C010B6">
              <w:rPr>
                <w:bCs/>
                <w:color w:val="000000"/>
                <w:sz w:val="18"/>
                <w:szCs w:val="18"/>
              </w:rPr>
              <w:t xml:space="preserve"> (420000)</w:t>
            </w:r>
          </w:p>
        </w:tc>
        <w:tc>
          <w:tcPr>
            <w:tcW w:w="1240" w:type="dxa"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2" w:type="dxa"/>
            <w:vAlign w:val="center"/>
          </w:tcPr>
          <w:p w:rsidR="00AB1A4C" w:rsidRPr="00986A3F" w:rsidRDefault="0059453A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2.2%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AB1A4C" w:rsidRPr="00145C30" w:rsidTr="003663AC">
        <w:trPr>
          <w:trHeight w:val="122"/>
          <w:jc w:val="center"/>
        </w:trPr>
        <w:tc>
          <w:tcPr>
            <w:tcW w:w="5537" w:type="dxa"/>
            <w:shd w:val="clear" w:color="auto" w:fill="auto"/>
            <w:vAlign w:val="bottom"/>
            <w:hideMark/>
          </w:tcPr>
          <w:p w:rsidR="00AB1A4C" w:rsidRPr="00986A3F" w:rsidRDefault="00901C6B" w:rsidP="00A543D8">
            <w:pPr>
              <w:spacing w:after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Transportation and warehousing</w:t>
            </w:r>
            <w:r w:rsidR="00C010B6">
              <w:rPr>
                <w:bCs/>
                <w:color w:val="000000"/>
                <w:sz w:val="18"/>
                <w:szCs w:val="18"/>
              </w:rPr>
              <w:t xml:space="preserve"> (480000 – 490000)</w:t>
            </w:r>
          </w:p>
        </w:tc>
        <w:tc>
          <w:tcPr>
            <w:tcW w:w="1240" w:type="dxa"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2" w:type="dxa"/>
            <w:vAlign w:val="center"/>
          </w:tcPr>
          <w:p w:rsidR="00AB1A4C" w:rsidRPr="00986A3F" w:rsidRDefault="0059453A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2.0%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AB1A4C" w:rsidRPr="00145C30" w:rsidTr="003663AC">
        <w:trPr>
          <w:trHeight w:val="122"/>
          <w:jc w:val="center"/>
        </w:trPr>
        <w:tc>
          <w:tcPr>
            <w:tcW w:w="5537" w:type="dxa"/>
            <w:shd w:val="clear" w:color="auto" w:fill="auto"/>
            <w:vAlign w:val="bottom"/>
            <w:hideMark/>
          </w:tcPr>
          <w:p w:rsidR="00AB1A4C" w:rsidRPr="00986A3F" w:rsidRDefault="00901C6B" w:rsidP="00986A3F">
            <w:pPr>
              <w:spacing w:after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Social assistance</w:t>
            </w:r>
            <w:r w:rsidR="00C010B6">
              <w:rPr>
                <w:bCs/>
                <w:color w:val="000000"/>
                <w:sz w:val="18"/>
                <w:szCs w:val="18"/>
              </w:rPr>
              <w:t xml:space="preserve"> (624000)</w:t>
            </w:r>
          </w:p>
        </w:tc>
        <w:tc>
          <w:tcPr>
            <w:tcW w:w="1240" w:type="dxa"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2" w:type="dxa"/>
            <w:vAlign w:val="center"/>
          </w:tcPr>
          <w:p w:rsidR="00AB1A4C" w:rsidRPr="00986A3F" w:rsidRDefault="0059453A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2.0%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AB1A4C" w:rsidRPr="00145C30" w:rsidTr="003663AC">
        <w:trPr>
          <w:trHeight w:val="122"/>
          <w:jc w:val="center"/>
        </w:trPr>
        <w:tc>
          <w:tcPr>
            <w:tcW w:w="5537" w:type="dxa"/>
            <w:shd w:val="clear" w:color="auto" w:fill="auto"/>
            <w:vAlign w:val="bottom"/>
            <w:hideMark/>
          </w:tcPr>
          <w:p w:rsidR="00AB1A4C" w:rsidRPr="00986A3F" w:rsidRDefault="00901C6B" w:rsidP="00986A3F">
            <w:pPr>
              <w:spacing w:after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Information, finance</w:t>
            </w:r>
            <w:r w:rsidR="00B13B01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 xml:space="preserve"> and insurance</w:t>
            </w:r>
            <w:r w:rsidR="00C010B6">
              <w:rPr>
                <w:bCs/>
                <w:color w:val="000000"/>
                <w:sz w:val="18"/>
                <w:szCs w:val="18"/>
              </w:rPr>
              <w:t xml:space="preserve"> (510000 and 520000)</w:t>
            </w:r>
          </w:p>
        </w:tc>
        <w:tc>
          <w:tcPr>
            <w:tcW w:w="1240" w:type="dxa"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2" w:type="dxa"/>
            <w:vAlign w:val="center"/>
          </w:tcPr>
          <w:p w:rsidR="00AB1A4C" w:rsidRPr="00986A3F" w:rsidRDefault="0059453A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1.2%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AB1A4C" w:rsidRPr="00145C30" w:rsidTr="003663AC">
        <w:trPr>
          <w:trHeight w:val="122"/>
          <w:jc w:val="center"/>
        </w:trPr>
        <w:tc>
          <w:tcPr>
            <w:tcW w:w="5537" w:type="dxa"/>
            <w:shd w:val="clear" w:color="auto" w:fill="auto"/>
            <w:vAlign w:val="bottom"/>
            <w:hideMark/>
          </w:tcPr>
          <w:p w:rsidR="00AB1A4C" w:rsidRPr="00986A3F" w:rsidRDefault="00901C6B" w:rsidP="00986A3F">
            <w:pPr>
              <w:spacing w:after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Management</w:t>
            </w:r>
            <w:r w:rsidR="00C010B6">
              <w:rPr>
                <w:bCs/>
                <w:color w:val="000000"/>
                <w:sz w:val="18"/>
                <w:szCs w:val="18"/>
              </w:rPr>
              <w:t xml:space="preserve"> (550000)</w:t>
            </w:r>
          </w:p>
        </w:tc>
        <w:tc>
          <w:tcPr>
            <w:tcW w:w="1240" w:type="dxa"/>
            <w:vAlign w:val="center"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2" w:type="dxa"/>
            <w:vAlign w:val="center"/>
          </w:tcPr>
          <w:p w:rsidR="00AB1A4C" w:rsidRPr="00986A3F" w:rsidRDefault="0059453A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1.0%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AB1A4C" w:rsidRPr="00986A3F" w:rsidRDefault="00901C6B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AB1A4C" w:rsidRPr="00145C30" w:rsidTr="003663AC">
        <w:trPr>
          <w:trHeight w:val="122"/>
          <w:jc w:val="center"/>
        </w:trPr>
        <w:tc>
          <w:tcPr>
            <w:tcW w:w="5537" w:type="dxa"/>
            <w:shd w:val="clear" w:color="auto" w:fill="auto"/>
            <w:vAlign w:val="bottom"/>
            <w:hideMark/>
          </w:tcPr>
          <w:p w:rsidR="00AB1A4C" w:rsidRPr="00986A3F" w:rsidRDefault="00F5666C" w:rsidP="00F5666C">
            <w:pPr>
              <w:spacing w:after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Agriculture, forestry</w:t>
            </w:r>
            <w:r w:rsidR="00B13B01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 xml:space="preserve"> and fishing</w:t>
            </w:r>
            <w:r w:rsidR="00C010B6">
              <w:rPr>
                <w:bCs/>
                <w:color w:val="000000"/>
                <w:sz w:val="18"/>
                <w:szCs w:val="18"/>
              </w:rPr>
              <w:t xml:space="preserve"> (110000)</w:t>
            </w:r>
          </w:p>
        </w:tc>
        <w:tc>
          <w:tcPr>
            <w:tcW w:w="1240" w:type="dxa"/>
            <w:vAlign w:val="center"/>
          </w:tcPr>
          <w:p w:rsidR="00AB1A4C" w:rsidRPr="00986A3F" w:rsidRDefault="00F5666C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2" w:type="dxa"/>
            <w:vAlign w:val="center"/>
          </w:tcPr>
          <w:p w:rsidR="00AB1A4C" w:rsidRPr="00986A3F" w:rsidRDefault="0059453A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0.5%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AB1A4C" w:rsidRPr="00986A3F" w:rsidRDefault="00F5666C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AB1A4C" w:rsidRPr="00986A3F" w:rsidRDefault="00F5666C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F5666C" w:rsidRPr="00145C30" w:rsidTr="003663AC">
        <w:trPr>
          <w:trHeight w:val="122"/>
          <w:jc w:val="center"/>
        </w:trPr>
        <w:tc>
          <w:tcPr>
            <w:tcW w:w="5537" w:type="dxa"/>
            <w:shd w:val="clear" w:color="auto" w:fill="auto"/>
            <w:vAlign w:val="bottom"/>
          </w:tcPr>
          <w:p w:rsidR="00F5666C" w:rsidRPr="00986A3F" w:rsidRDefault="00F5666C" w:rsidP="00986A3F">
            <w:pPr>
              <w:spacing w:after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Arts, entertainment</w:t>
            </w:r>
            <w:r w:rsidR="00B13B01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 xml:space="preserve"> and recreation</w:t>
            </w:r>
            <w:r w:rsidR="00C010B6">
              <w:rPr>
                <w:bCs/>
                <w:color w:val="000000"/>
                <w:sz w:val="18"/>
                <w:szCs w:val="18"/>
              </w:rPr>
              <w:t xml:space="preserve"> (710000)</w:t>
            </w:r>
          </w:p>
        </w:tc>
        <w:tc>
          <w:tcPr>
            <w:tcW w:w="1240" w:type="dxa"/>
            <w:vAlign w:val="center"/>
          </w:tcPr>
          <w:p w:rsidR="00F5666C" w:rsidRPr="00986A3F" w:rsidRDefault="00F5666C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2" w:type="dxa"/>
            <w:vAlign w:val="center"/>
          </w:tcPr>
          <w:p w:rsidR="00F5666C" w:rsidRPr="00986A3F" w:rsidRDefault="0059453A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0.5%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5666C" w:rsidRPr="00986A3F" w:rsidRDefault="00F5666C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F5666C" w:rsidRPr="00986A3F" w:rsidRDefault="00F5666C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5666C" w:rsidRPr="00145C30" w:rsidTr="003663AC">
        <w:trPr>
          <w:trHeight w:val="122"/>
          <w:jc w:val="center"/>
        </w:trPr>
        <w:tc>
          <w:tcPr>
            <w:tcW w:w="5537" w:type="dxa"/>
            <w:shd w:val="clear" w:color="auto" w:fill="auto"/>
            <w:vAlign w:val="bottom"/>
          </w:tcPr>
          <w:p w:rsidR="00F5666C" w:rsidRPr="00986A3F" w:rsidRDefault="00F5666C" w:rsidP="00986A3F">
            <w:pPr>
              <w:spacing w:after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Unclassified</w:t>
            </w:r>
            <w:r w:rsidR="00C010B6">
              <w:rPr>
                <w:bCs/>
                <w:color w:val="000000"/>
                <w:sz w:val="18"/>
                <w:szCs w:val="18"/>
              </w:rPr>
              <w:t xml:space="preserve"> (999999)</w:t>
            </w:r>
          </w:p>
        </w:tc>
        <w:tc>
          <w:tcPr>
            <w:tcW w:w="1240" w:type="dxa"/>
            <w:vAlign w:val="center"/>
          </w:tcPr>
          <w:p w:rsidR="00F5666C" w:rsidRPr="00986A3F" w:rsidRDefault="00F5666C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2" w:type="dxa"/>
            <w:vAlign w:val="center"/>
          </w:tcPr>
          <w:p w:rsidR="00F5666C" w:rsidRPr="00986A3F" w:rsidRDefault="0059453A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0.5%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5666C" w:rsidRPr="00986A3F" w:rsidRDefault="00F5666C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F5666C" w:rsidRPr="00986A3F" w:rsidRDefault="00F5666C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AB1A4C" w:rsidRPr="00145C30" w:rsidTr="003663AC">
        <w:trPr>
          <w:trHeight w:val="122"/>
          <w:jc w:val="center"/>
        </w:trPr>
        <w:tc>
          <w:tcPr>
            <w:tcW w:w="5537" w:type="dxa"/>
            <w:shd w:val="clear" w:color="auto" w:fill="auto"/>
            <w:vAlign w:val="bottom"/>
            <w:hideMark/>
          </w:tcPr>
          <w:p w:rsidR="00AB1A4C" w:rsidRPr="00986A3F" w:rsidRDefault="00AB1A4C" w:rsidP="00986A3F">
            <w:pPr>
              <w:spacing w:after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AB1A4C" w:rsidRPr="00986A3F" w:rsidRDefault="00AB1A4C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AB1A4C" w:rsidRPr="00986A3F" w:rsidRDefault="00AB1A4C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AB1A4C" w:rsidRPr="00986A3F" w:rsidRDefault="00AB1A4C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AB1A4C" w:rsidRPr="00986A3F" w:rsidRDefault="00AB1A4C" w:rsidP="000C7D8B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B1A4C" w:rsidRPr="00145C30" w:rsidTr="003663AC">
        <w:trPr>
          <w:trHeight w:val="122"/>
          <w:jc w:val="center"/>
        </w:trPr>
        <w:tc>
          <w:tcPr>
            <w:tcW w:w="5537" w:type="dxa"/>
            <w:shd w:val="clear" w:color="auto" w:fill="C4BC96" w:themeFill="background2" w:themeFillShade="BF"/>
            <w:noWrap/>
            <w:vAlign w:val="bottom"/>
            <w:hideMark/>
          </w:tcPr>
          <w:p w:rsidR="00AB1A4C" w:rsidRPr="00986A3F" w:rsidRDefault="00AB1A4C" w:rsidP="00A543D8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  <w:r w:rsidRPr="00986A3F">
              <w:rPr>
                <w:b/>
                <w:bCs/>
                <w:color w:val="000000"/>
                <w:sz w:val="18"/>
                <w:szCs w:val="18"/>
              </w:rPr>
              <w:t>Grand Total:</w:t>
            </w:r>
          </w:p>
        </w:tc>
        <w:tc>
          <w:tcPr>
            <w:tcW w:w="1240" w:type="dxa"/>
            <w:shd w:val="clear" w:color="auto" w:fill="C4BC96" w:themeFill="background2" w:themeFillShade="BF"/>
            <w:vAlign w:val="center"/>
          </w:tcPr>
          <w:p w:rsidR="00AB1A4C" w:rsidRPr="00986A3F" w:rsidRDefault="00F5666C" w:rsidP="000C7D8B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b/>
                <w:bCs/>
                <w:color w:val="000000"/>
                <w:sz w:val="18"/>
                <w:szCs w:val="18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406</w:t>
            </w:r>
            <w:r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22" w:type="dxa"/>
            <w:shd w:val="clear" w:color="auto" w:fill="C4BC96" w:themeFill="background2" w:themeFillShade="BF"/>
            <w:vAlign w:val="center"/>
          </w:tcPr>
          <w:p w:rsidR="00AB1A4C" w:rsidRPr="00986A3F" w:rsidRDefault="00AB1A4C" w:rsidP="000C7D8B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C4BC96" w:themeFill="background2" w:themeFillShade="BF"/>
            <w:noWrap/>
            <w:vAlign w:val="center"/>
            <w:hideMark/>
          </w:tcPr>
          <w:p w:rsidR="00AB1A4C" w:rsidRPr="00986A3F" w:rsidRDefault="00D8368A" w:rsidP="000C7D8B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b/>
                <w:bCs/>
                <w:color w:val="000000"/>
                <w:sz w:val="18"/>
                <w:szCs w:val="18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311</w:t>
            </w:r>
            <w:r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05" w:type="dxa"/>
            <w:shd w:val="clear" w:color="auto" w:fill="C4BC96" w:themeFill="background2" w:themeFillShade="BF"/>
            <w:noWrap/>
            <w:vAlign w:val="center"/>
            <w:hideMark/>
          </w:tcPr>
          <w:p w:rsidR="00AB1A4C" w:rsidRPr="00986A3F" w:rsidRDefault="00D8368A" w:rsidP="000C7D8B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b/>
                <w:bCs/>
                <w:color w:val="000000"/>
                <w:sz w:val="18"/>
                <w:szCs w:val="18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95</w:t>
            </w:r>
            <w:r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405EF1" w:rsidRDefault="00405EF1" w:rsidP="00E4672F">
      <w:pPr>
        <w:rPr>
          <w:sz w:val="22"/>
          <w:szCs w:val="22"/>
        </w:rPr>
      </w:pPr>
    </w:p>
    <w:p w:rsidR="00D6127D" w:rsidRDefault="00E364FD" w:rsidP="00D6127D">
      <w:pPr>
        <w:rPr>
          <w:rFonts w:ascii="Tw Cen MT Condensed" w:hAnsi="Tw Cen MT Condensed"/>
          <w:sz w:val="28"/>
          <w:szCs w:val="28"/>
        </w:rPr>
      </w:pPr>
      <w:r w:rsidRPr="00604C73">
        <w:rPr>
          <w:rFonts w:ascii="Tw Cen MT Condensed" w:hAnsi="Tw Cen MT Condensed"/>
          <w:sz w:val="28"/>
          <w:szCs w:val="28"/>
        </w:rPr>
        <w:t>The</w:t>
      </w:r>
      <w:r w:rsidR="005C36D0">
        <w:rPr>
          <w:rFonts w:ascii="Tw Cen MT Condensed" w:hAnsi="Tw Cen MT Condensed"/>
          <w:sz w:val="28"/>
          <w:szCs w:val="28"/>
        </w:rPr>
        <w:t xml:space="preserve"> hospital</w:t>
      </w:r>
      <w:r w:rsidRPr="00604C73">
        <w:rPr>
          <w:rFonts w:ascii="Tw Cen MT Condensed" w:hAnsi="Tw Cen MT Condensed"/>
          <w:sz w:val="28"/>
          <w:szCs w:val="28"/>
        </w:rPr>
        <w:t xml:space="preserve"> industry</w:t>
      </w:r>
      <w:r w:rsidR="005C36D0">
        <w:rPr>
          <w:rFonts w:ascii="Tw Cen MT Condensed" w:hAnsi="Tw Cen MT Condensed"/>
          <w:sz w:val="28"/>
          <w:szCs w:val="28"/>
        </w:rPr>
        <w:t xml:space="preserve"> was the largest </w:t>
      </w:r>
      <w:r w:rsidRPr="00604C73">
        <w:rPr>
          <w:rFonts w:ascii="Tw Cen MT Condensed" w:hAnsi="Tw Cen MT Condensed"/>
          <w:sz w:val="28"/>
          <w:szCs w:val="28"/>
        </w:rPr>
        <w:t>category with 1</w:t>
      </w:r>
      <w:r w:rsidR="005C36D0">
        <w:rPr>
          <w:rFonts w:ascii="Tw Cen MT Condensed" w:hAnsi="Tw Cen MT Condensed"/>
          <w:sz w:val="28"/>
          <w:szCs w:val="28"/>
        </w:rPr>
        <w:t xml:space="preserve">3.5 </w:t>
      </w:r>
      <w:r w:rsidRPr="00604C73">
        <w:rPr>
          <w:rFonts w:ascii="Tw Cen MT Condensed" w:hAnsi="Tw Cen MT Condensed"/>
          <w:sz w:val="28"/>
          <w:szCs w:val="28"/>
        </w:rPr>
        <w:t xml:space="preserve">percent of the total claim incidents.  This was followed by </w:t>
      </w:r>
      <w:r w:rsidR="005C36D0">
        <w:rPr>
          <w:rFonts w:ascii="Tw Cen MT Condensed" w:hAnsi="Tw Cen MT Condensed"/>
          <w:i/>
          <w:sz w:val="28"/>
          <w:szCs w:val="28"/>
        </w:rPr>
        <w:t xml:space="preserve">Public Administration </w:t>
      </w:r>
      <w:r w:rsidR="005C36D0" w:rsidRPr="005C36D0">
        <w:rPr>
          <w:rFonts w:ascii="Tw Cen MT Condensed" w:hAnsi="Tw Cen MT Condensed"/>
          <w:sz w:val="28"/>
          <w:szCs w:val="28"/>
        </w:rPr>
        <w:t>with</w:t>
      </w:r>
      <w:r w:rsidRPr="005C36D0">
        <w:rPr>
          <w:rFonts w:ascii="Tw Cen MT Condensed" w:hAnsi="Tw Cen MT Condensed"/>
          <w:sz w:val="28"/>
          <w:szCs w:val="28"/>
        </w:rPr>
        <w:t xml:space="preserve"> </w:t>
      </w:r>
      <w:r w:rsidR="005C36D0">
        <w:rPr>
          <w:rFonts w:ascii="Tw Cen MT Condensed" w:hAnsi="Tw Cen MT Condensed"/>
          <w:sz w:val="28"/>
          <w:szCs w:val="28"/>
        </w:rPr>
        <w:t>12.6</w:t>
      </w:r>
      <w:r w:rsidRPr="00604C73">
        <w:rPr>
          <w:rFonts w:ascii="Tw Cen MT Condensed" w:hAnsi="Tw Cen MT Condensed"/>
          <w:sz w:val="28"/>
          <w:szCs w:val="28"/>
        </w:rPr>
        <w:t xml:space="preserve"> </w:t>
      </w:r>
      <w:r w:rsidR="00E3041E" w:rsidRPr="00604C73">
        <w:rPr>
          <w:rFonts w:ascii="Tw Cen MT Condensed" w:hAnsi="Tw Cen MT Condensed"/>
          <w:sz w:val="28"/>
          <w:szCs w:val="28"/>
        </w:rPr>
        <w:t>percent</w:t>
      </w:r>
      <w:r w:rsidRPr="00604C73">
        <w:rPr>
          <w:rFonts w:ascii="Tw Cen MT Condensed" w:hAnsi="Tw Cen MT Condensed"/>
          <w:sz w:val="28"/>
          <w:szCs w:val="28"/>
        </w:rPr>
        <w:t xml:space="preserve"> and </w:t>
      </w:r>
      <w:r w:rsidR="005C36D0">
        <w:rPr>
          <w:rFonts w:ascii="Tw Cen MT Condensed" w:hAnsi="Tw Cen MT Condensed"/>
          <w:i/>
          <w:sz w:val="28"/>
          <w:szCs w:val="28"/>
        </w:rPr>
        <w:t xml:space="preserve">Education </w:t>
      </w:r>
      <w:r w:rsidRPr="00604C73">
        <w:rPr>
          <w:rFonts w:ascii="Tw Cen MT Condensed" w:hAnsi="Tw Cen MT Condensed"/>
          <w:sz w:val="28"/>
          <w:szCs w:val="28"/>
        </w:rPr>
        <w:t xml:space="preserve">with </w:t>
      </w:r>
      <w:r w:rsidR="005C36D0">
        <w:rPr>
          <w:rFonts w:ascii="Tw Cen MT Condensed" w:hAnsi="Tw Cen MT Condensed"/>
          <w:sz w:val="28"/>
          <w:szCs w:val="28"/>
        </w:rPr>
        <w:t>10.3</w:t>
      </w:r>
      <w:r w:rsidRPr="00604C73">
        <w:rPr>
          <w:rFonts w:ascii="Tw Cen MT Condensed" w:hAnsi="Tw Cen MT Condensed"/>
          <w:sz w:val="28"/>
          <w:szCs w:val="28"/>
        </w:rPr>
        <w:t xml:space="preserve"> percent.</w:t>
      </w:r>
    </w:p>
    <w:p w:rsidR="00D6127D" w:rsidRDefault="00D6127D" w:rsidP="00D6127D">
      <w:pPr>
        <w:jc w:val="center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noProof/>
          <w:sz w:val="28"/>
          <w:szCs w:val="28"/>
        </w:rPr>
        <w:drawing>
          <wp:inline distT="0" distB="0" distL="0" distR="0" wp14:anchorId="6F1A3E49" wp14:editId="5CD45800">
            <wp:extent cx="2220686" cy="1482408"/>
            <wp:effectExtent l="0" t="0" r="8255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_000031257918XXXLarg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833" cy="150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27D" w:rsidRPr="00604C73" w:rsidRDefault="00D6127D" w:rsidP="00E4672F">
      <w:pPr>
        <w:rPr>
          <w:rFonts w:ascii="Tw Cen MT Condensed" w:hAnsi="Tw Cen MT Condensed"/>
          <w:sz w:val="28"/>
          <w:szCs w:val="28"/>
        </w:rPr>
      </w:pPr>
      <w:r w:rsidRPr="00604C7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D9067A" wp14:editId="35DA3257">
                <wp:simplePos x="0" y="0"/>
                <wp:positionH relativeFrom="column">
                  <wp:posOffset>2077720</wp:posOffset>
                </wp:positionH>
                <wp:positionV relativeFrom="paragraph">
                  <wp:posOffset>43180</wp:posOffset>
                </wp:positionV>
                <wp:extent cx="2717800" cy="317500"/>
                <wp:effectExtent l="0" t="0" r="6350" b="635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317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4079" w:rsidRPr="00234029" w:rsidRDefault="00014079" w:rsidP="00D6127D">
                            <w:pPr>
                              <w:pStyle w:val="Caption"/>
                              <w:rPr>
                                <w:rFonts w:ascii="Tw Cen MT Condensed" w:hAnsi="Tw Cen MT Condensed"/>
                                <w:noProof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34029">
                              <w:rPr>
                                <w:rFonts w:ascii="Tw Cen MT Condensed" w:hAnsi="Tw Cen MT Condensed"/>
                                <w:sz w:val="24"/>
                                <w:szCs w:val="24"/>
                              </w:rPr>
                              <w:t>Figure7.  Reagent bottles in a medical lab</w:t>
                            </w:r>
                          </w:p>
                          <w:p w:rsidR="00014079" w:rsidRDefault="00014079" w:rsidP="00D6127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163.6pt;margin-top:3.4pt;width:214pt;height: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" stroked="f">
                <v:textbox inset="0,0,0,0">
                  <w:txbxContent>
                    <w:p w:rsidR="00014079" w:rsidRPr="00234029" w:rsidRDefault="00014079" w:rsidP="00D6127D">
                      <w:pPr>
                        <w:pStyle w:val="Caption"/>
                        <w:rPr>
                          <w:rFonts w:ascii="Tw Cen MT Condensed" w:hAnsi="Tw Cen MT Condensed"/>
                          <w:noProof/>
                          <w:sz w:val="24"/>
                          <w:szCs w:val="24"/>
                          <w:u w:val="single"/>
                        </w:rPr>
                      </w:pPr>
                      <w:r w:rsidRPr="00234029">
                        <w:rPr>
                          <w:rFonts w:ascii="Tw Cen MT Condensed" w:hAnsi="Tw Cen MT Condensed"/>
                          <w:sz w:val="24"/>
                          <w:szCs w:val="24"/>
                        </w:rPr>
                        <w:t>Figure7.  Reagent bottles in a medical lab</w:t>
                      </w:r>
                    </w:p>
                    <w:p w:rsidR="00014079" w:rsidRDefault="00014079" w:rsidP="00D6127D"/>
                  </w:txbxContent>
                </v:textbox>
                <w10:wrap type="square"/>
              </v:shape>
            </w:pict>
          </mc:Fallback>
        </mc:AlternateContent>
      </w:r>
    </w:p>
    <w:p w:rsidR="000E79CD" w:rsidRPr="00145C30" w:rsidRDefault="000E79CD" w:rsidP="000E79CD">
      <w:pPr>
        <w:pStyle w:val="Heading2"/>
      </w:pPr>
      <w:r w:rsidRPr="00145C30">
        <w:lastRenderedPageBreak/>
        <w:t>COSTS</w:t>
      </w:r>
    </w:p>
    <w:p w:rsidR="000E79CD" w:rsidRDefault="000E79CD" w:rsidP="000E79CD">
      <w:pPr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>Of the</w:t>
      </w:r>
      <w:r w:rsidRPr="00611B1B">
        <w:rPr>
          <w:rFonts w:ascii="Tw Cen MT Condensed" w:hAnsi="Tw Cen MT Condensed"/>
          <w:sz w:val="28"/>
          <w:szCs w:val="28"/>
        </w:rPr>
        <w:t xml:space="preserve"> claims filed </w:t>
      </w:r>
      <w:r>
        <w:rPr>
          <w:rFonts w:ascii="Tw Cen MT Condensed" w:hAnsi="Tw Cen MT Condensed"/>
          <w:sz w:val="28"/>
          <w:szCs w:val="28"/>
        </w:rPr>
        <w:t>with the Workers</w:t>
      </w:r>
      <w:r w:rsidR="00B13B01">
        <w:rPr>
          <w:rFonts w:ascii="Tw Cen MT Condensed" w:hAnsi="Tw Cen MT Condensed"/>
          <w:sz w:val="28"/>
          <w:szCs w:val="28"/>
        </w:rPr>
        <w:t>’</w:t>
      </w:r>
      <w:r w:rsidR="003010A5">
        <w:rPr>
          <w:rFonts w:ascii="Tw Cen MT Condensed" w:hAnsi="Tw Cen MT Condensed"/>
          <w:sz w:val="28"/>
          <w:szCs w:val="28"/>
        </w:rPr>
        <w:t xml:space="preserve"> Compensation Board </w:t>
      </w:r>
      <w:r>
        <w:rPr>
          <w:rFonts w:ascii="Tw Cen MT Condensed" w:hAnsi="Tw Cen MT Condensed"/>
          <w:sz w:val="28"/>
          <w:szCs w:val="28"/>
        </w:rPr>
        <w:t>fo</w:t>
      </w:r>
      <w:r w:rsidRPr="00611B1B">
        <w:rPr>
          <w:rFonts w:ascii="Tw Cen MT Condensed" w:hAnsi="Tw Cen MT Condensed"/>
          <w:sz w:val="28"/>
          <w:szCs w:val="28"/>
        </w:rPr>
        <w:t xml:space="preserve">r illnesses and injuries caused by </w:t>
      </w:r>
      <w:r>
        <w:rPr>
          <w:rFonts w:ascii="Tw Cen MT Condensed" w:hAnsi="Tw Cen MT Condensed"/>
          <w:sz w:val="28"/>
          <w:szCs w:val="28"/>
        </w:rPr>
        <w:t xml:space="preserve">workplace exposure to hazardous </w:t>
      </w:r>
      <w:r w:rsidRPr="00611B1B">
        <w:rPr>
          <w:rFonts w:ascii="Tw Cen MT Condensed" w:hAnsi="Tw Cen MT Condensed"/>
          <w:sz w:val="28"/>
          <w:szCs w:val="28"/>
        </w:rPr>
        <w:t xml:space="preserve">chemicals or </w:t>
      </w:r>
      <w:r>
        <w:rPr>
          <w:rFonts w:ascii="Tw Cen MT Condensed" w:hAnsi="Tw Cen MT Condensed"/>
          <w:sz w:val="28"/>
          <w:szCs w:val="28"/>
        </w:rPr>
        <w:t>adverse environmental/microbiological conditions</w:t>
      </w:r>
      <w:r w:rsidRPr="0029560A">
        <w:rPr>
          <w:rFonts w:ascii="Tw Cen MT Condensed" w:hAnsi="Tw Cen MT Condensed"/>
          <w:sz w:val="28"/>
          <w:szCs w:val="28"/>
        </w:rPr>
        <w:t xml:space="preserve"> </w:t>
      </w:r>
      <w:r>
        <w:rPr>
          <w:rFonts w:ascii="Tw Cen MT Condensed" w:hAnsi="Tw Cen MT Condensed"/>
          <w:sz w:val="28"/>
          <w:szCs w:val="28"/>
        </w:rPr>
        <w:t>in 2012 and 2013</w:t>
      </w:r>
      <w:r w:rsidRPr="00611B1B">
        <w:rPr>
          <w:rFonts w:ascii="Tw Cen MT Condensed" w:hAnsi="Tw Cen MT Condensed"/>
          <w:sz w:val="28"/>
          <w:szCs w:val="28"/>
        </w:rPr>
        <w:t>, 46 resulted in</w:t>
      </w:r>
      <w:r>
        <w:rPr>
          <w:rFonts w:ascii="Tw Cen MT Condensed" w:hAnsi="Tw Cen MT Condensed"/>
          <w:sz w:val="28"/>
          <w:szCs w:val="28"/>
        </w:rPr>
        <w:t xml:space="preserve"> workers’ compensation </w:t>
      </w:r>
      <w:r w:rsidRPr="00611B1B">
        <w:rPr>
          <w:rFonts w:ascii="Tw Cen MT Condensed" w:hAnsi="Tw Cen MT Condensed"/>
          <w:sz w:val="28"/>
          <w:szCs w:val="28"/>
        </w:rPr>
        <w:t>awards total</w:t>
      </w:r>
      <w:r>
        <w:rPr>
          <w:rFonts w:ascii="Tw Cen MT Condensed" w:hAnsi="Tw Cen MT Condensed"/>
          <w:sz w:val="28"/>
          <w:szCs w:val="28"/>
        </w:rPr>
        <w:t>ing</w:t>
      </w:r>
      <w:r w:rsidRPr="00611B1B">
        <w:rPr>
          <w:rFonts w:ascii="Tw Cen MT Condensed" w:hAnsi="Tw Cen MT Condensed"/>
          <w:sz w:val="28"/>
          <w:szCs w:val="28"/>
        </w:rPr>
        <w:t xml:space="preserve"> </w:t>
      </w:r>
      <w:r>
        <w:rPr>
          <w:rFonts w:ascii="Tw Cen MT Condensed" w:hAnsi="Tw Cen MT Condensed"/>
          <w:sz w:val="28"/>
          <w:szCs w:val="28"/>
        </w:rPr>
        <w:t>$665,564.22 and averaging $14,469 per awarded incident</w:t>
      </w:r>
      <w:r w:rsidR="003010A5">
        <w:rPr>
          <w:rFonts w:ascii="Tw Cen MT Condensed" w:hAnsi="Tw Cen MT Condensed"/>
          <w:sz w:val="28"/>
          <w:szCs w:val="28"/>
        </w:rPr>
        <w:t>.</w:t>
      </w:r>
      <w:r w:rsidRPr="00611B1B">
        <w:rPr>
          <w:rFonts w:ascii="Tw Cen MT Condensed" w:hAnsi="Tw Cen MT Condensed"/>
          <w:sz w:val="28"/>
          <w:szCs w:val="28"/>
        </w:rPr>
        <w:t xml:space="preserve"> </w:t>
      </w:r>
      <w:r>
        <w:rPr>
          <w:rFonts w:ascii="Tw Cen MT Condensed" w:hAnsi="Tw Cen MT Condensed"/>
          <w:sz w:val="28"/>
          <w:szCs w:val="28"/>
        </w:rPr>
        <w:t xml:space="preserve"> Awarded costs</w:t>
      </w:r>
      <w:r w:rsidRPr="00611B1B">
        <w:rPr>
          <w:rFonts w:ascii="Tw Cen MT Condensed" w:hAnsi="Tw Cen MT Condensed"/>
          <w:sz w:val="28"/>
          <w:szCs w:val="28"/>
        </w:rPr>
        <w:t xml:space="preserve"> include wage replacement benefits for days that emp</w:t>
      </w:r>
      <w:r w:rsidR="00B13B01">
        <w:rPr>
          <w:rFonts w:ascii="Tw Cen MT Condensed" w:hAnsi="Tw Cen MT Condensed"/>
          <w:sz w:val="28"/>
          <w:szCs w:val="28"/>
        </w:rPr>
        <w:t>loyees are unable to work, lump-</w:t>
      </w:r>
      <w:r w:rsidRPr="00611B1B">
        <w:rPr>
          <w:rFonts w:ascii="Tw Cen MT Condensed" w:hAnsi="Tw Cen MT Condensed"/>
          <w:sz w:val="28"/>
          <w:szCs w:val="28"/>
        </w:rPr>
        <w:t xml:space="preserve">sum settlement payments, medical, rehabilitation, legal, and </w:t>
      </w:r>
      <w:r>
        <w:rPr>
          <w:rFonts w:ascii="Tw Cen MT Condensed" w:hAnsi="Tw Cen MT Condensed"/>
          <w:sz w:val="28"/>
          <w:szCs w:val="28"/>
        </w:rPr>
        <w:t>other related</w:t>
      </w:r>
      <w:r w:rsidRPr="00611B1B">
        <w:rPr>
          <w:rFonts w:ascii="Tw Cen MT Condensed" w:hAnsi="Tw Cen MT Condensed"/>
          <w:sz w:val="28"/>
          <w:szCs w:val="28"/>
        </w:rPr>
        <w:t xml:space="preserve"> </w:t>
      </w:r>
      <w:r>
        <w:rPr>
          <w:rFonts w:ascii="Tw Cen MT Condensed" w:hAnsi="Tw Cen MT Condensed"/>
          <w:sz w:val="28"/>
          <w:szCs w:val="28"/>
        </w:rPr>
        <w:t>expenses</w:t>
      </w:r>
      <w:r w:rsidRPr="00611B1B">
        <w:rPr>
          <w:rFonts w:ascii="Tw Cen MT Condensed" w:hAnsi="Tw Cen MT Condensed"/>
          <w:sz w:val="28"/>
          <w:szCs w:val="28"/>
        </w:rPr>
        <w:t>.</w:t>
      </w:r>
    </w:p>
    <w:p w:rsidR="000E79CD" w:rsidRDefault="000E79CD" w:rsidP="000E79CD">
      <w:pPr>
        <w:rPr>
          <w:rFonts w:ascii="Tw Cen MT Condensed" w:hAnsi="Tw Cen MT Condensed"/>
          <w:b/>
          <w:sz w:val="28"/>
          <w:szCs w:val="28"/>
          <w:u w:val="single"/>
        </w:rPr>
      </w:pPr>
      <w:r w:rsidRPr="00611B1B">
        <w:rPr>
          <w:rFonts w:ascii="Tw Cen MT Condensed" w:hAnsi="Tw Cen MT Condensed"/>
          <w:sz w:val="28"/>
          <w:szCs w:val="28"/>
        </w:rPr>
        <w:t>In order to protect the privacy of affected workers, the Workers</w:t>
      </w:r>
      <w:r w:rsidR="00B13B01">
        <w:rPr>
          <w:rFonts w:ascii="Tw Cen MT Condensed" w:hAnsi="Tw Cen MT Condensed"/>
          <w:sz w:val="28"/>
          <w:szCs w:val="28"/>
        </w:rPr>
        <w:t>’</w:t>
      </w:r>
      <w:r w:rsidRPr="00611B1B">
        <w:rPr>
          <w:rFonts w:ascii="Tw Cen MT Condensed" w:hAnsi="Tw Cen MT Condensed"/>
          <w:sz w:val="28"/>
          <w:szCs w:val="28"/>
        </w:rPr>
        <w:t xml:space="preserve"> Compensation Board has asked R&amp;S to limit the reporting of Workers</w:t>
      </w:r>
      <w:r w:rsidR="00B13B01">
        <w:rPr>
          <w:rFonts w:ascii="Tw Cen MT Condensed" w:hAnsi="Tw Cen MT Condensed"/>
          <w:sz w:val="28"/>
          <w:szCs w:val="28"/>
        </w:rPr>
        <w:t>’</w:t>
      </w:r>
      <w:r w:rsidRPr="00611B1B">
        <w:rPr>
          <w:rFonts w:ascii="Tw Cen MT Condensed" w:hAnsi="Tw Cen MT Condensed"/>
          <w:sz w:val="28"/>
          <w:szCs w:val="28"/>
        </w:rPr>
        <w:t xml:space="preserve"> Comp Injury data to aggregates of 10 or more incidents</w:t>
      </w:r>
      <w:r>
        <w:rPr>
          <w:rFonts w:ascii="Tw Cen MT Condensed" w:hAnsi="Tw Cen MT Condensed"/>
          <w:sz w:val="28"/>
          <w:szCs w:val="28"/>
        </w:rPr>
        <w:t xml:space="preserve"> when analyzing costs and compensation awards</w:t>
      </w:r>
      <w:r w:rsidRPr="00611B1B">
        <w:rPr>
          <w:rFonts w:ascii="Tw Cen MT Condensed" w:hAnsi="Tw Cen MT Condensed"/>
          <w:sz w:val="28"/>
          <w:szCs w:val="28"/>
        </w:rPr>
        <w:t>.</w:t>
      </w:r>
    </w:p>
    <w:p w:rsidR="000E79CD" w:rsidRDefault="000E79CD" w:rsidP="000E79CD">
      <w:pPr>
        <w:spacing w:after="0"/>
        <w:rPr>
          <w:rFonts w:ascii="Tw Cen MT Condensed" w:hAnsi="Tw Cen MT Condensed"/>
          <w:b/>
          <w:sz w:val="28"/>
          <w:szCs w:val="28"/>
          <w:u w:val="single"/>
        </w:rPr>
      </w:pPr>
    </w:p>
    <w:p w:rsidR="000E79CD" w:rsidRPr="00611B1B" w:rsidRDefault="000E79CD" w:rsidP="000E79CD">
      <w:pPr>
        <w:rPr>
          <w:rFonts w:ascii="Tw Cen MT Condensed" w:hAnsi="Tw Cen MT Condensed"/>
          <w:b/>
          <w:sz w:val="28"/>
          <w:szCs w:val="28"/>
          <w:u w:val="single"/>
        </w:rPr>
      </w:pPr>
      <w:r w:rsidRPr="00611B1B">
        <w:rPr>
          <w:rFonts w:ascii="Tw Cen MT Condensed" w:hAnsi="Tw Cen MT Condensed"/>
          <w:b/>
          <w:sz w:val="28"/>
          <w:szCs w:val="28"/>
          <w:u w:val="single"/>
        </w:rPr>
        <w:t>Public</w:t>
      </w:r>
      <w:r>
        <w:rPr>
          <w:rFonts w:ascii="Tw Cen MT Condensed" w:hAnsi="Tw Cen MT Condensed"/>
          <w:b/>
          <w:sz w:val="28"/>
          <w:szCs w:val="28"/>
          <w:u w:val="single"/>
        </w:rPr>
        <w:t xml:space="preserve"> Employer Worker Claims in 2012</w:t>
      </w:r>
      <w:r w:rsidR="003010A5">
        <w:rPr>
          <w:rFonts w:ascii="Tw Cen MT Condensed" w:hAnsi="Tw Cen MT Condensed"/>
          <w:b/>
          <w:sz w:val="28"/>
          <w:szCs w:val="28"/>
          <w:u w:val="single"/>
        </w:rPr>
        <w:t>–</w:t>
      </w:r>
      <w:r w:rsidRPr="00611B1B">
        <w:rPr>
          <w:rFonts w:ascii="Tw Cen MT Condensed" w:hAnsi="Tw Cen MT Condensed"/>
          <w:b/>
          <w:sz w:val="28"/>
          <w:szCs w:val="28"/>
          <w:u w:val="single"/>
        </w:rPr>
        <w:t>2013</w:t>
      </w:r>
    </w:p>
    <w:p w:rsidR="000E79CD" w:rsidRPr="00611B1B" w:rsidRDefault="000E79CD" w:rsidP="000E79CD">
      <w:pPr>
        <w:rPr>
          <w:rFonts w:ascii="Tw Cen MT Condensed" w:hAnsi="Tw Cen MT Condensed"/>
          <w:sz w:val="28"/>
          <w:szCs w:val="28"/>
        </w:rPr>
      </w:pPr>
      <w:r w:rsidRPr="00611B1B">
        <w:rPr>
          <w:rFonts w:ascii="Tw Cen MT Condensed" w:hAnsi="Tw Cen MT Condensed"/>
          <w:sz w:val="28"/>
          <w:szCs w:val="28"/>
        </w:rPr>
        <w:t xml:space="preserve">In 2012 and 2013, sixteen claims for </w:t>
      </w:r>
      <w:r>
        <w:rPr>
          <w:rFonts w:ascii="Tw Cen MT Condensed" w:hAnsi="Tw Cen MT Condensed"/>
          <w:sz w:val="28"/>
          <w:szCs w:val="28"/>
        </w:rPr>
        <w:t>such</w:t>
      </w:r>
      <w:r w:rsidRPr="00611B1B">
        <w:rPr>
          <w:rFonts w:ascii="Tw Cen MT Condensed" w:hAnsi="Tw Cen MT Condensed"/>
          <w:sz w:val="28"/>
          <w:szCs w:val="28"/>
        </w:rPr>
        <w:t xml:space="preserve"> illnesses and injuries </w:t>
      </w:r>
      <w:r>
        <w:rPr>
          <w:rFonts w:ascii="Tw Cen MT Condensed" w:hAnsi="Tw Cen MT Condensed"/>
          <w:sz w:val="28"/>
          <w:szCs w:val="28"/>
        </w:rPr>
        <w:t>were awarded to</w:t>
      </w:r>
      <w:r w:rsidRPr="00611B1B">
        <w:rPr>
          <w:rFonts w:ascii="Tw Cen MT Condensed" w:hAnsi="Tw Cen MT Condensed"/>
          <w:sz w:val="28"/>
          <w:szCs w:val="28"/>
        </w:rPr>
        <w:t xml:space="preserve"> public sector employees. These resulted in </w:t>
      </w:r>
      <w:r>
        <w:rPr>
          <w:rFonts w:ascii="Tw Cen MT Condensed" w:hAnsi="Tw Cen MT Condensed"/>
          <w:sz w:val="28"/>
          <w:szCs w:val="28"/>
        </w:rPr>
        <w:t>w</w:t>
      </w:r>
      <w:r w:rsidRPr="00611B1B">
        <w:rPr>
          <w:rFonts w:ascii="Tw Cen MT Condensed" w:hAnsi="Tw Cen MT Condensed"/>
          <w:sz w:val="28"/>
          <w:szCs w:val="28"/>
        </w:rPr>
        <w:t xml:space="preserve">orkers’ </w:t>
      </w:r>
      <w:r>
        <w:rPr>
          <w:rFonts w:ascii="Tw Cen MT Condensed" w:hAnsi="Tw Cen MT Condensed"/>
          <w:sz w:val="28"/>
          <w:szCs w:val="28"/>
        </w:rPr>
        <w:t>c</w:t>
      </w:r>
      <w:r w:rsidRPr="00611B1B">
        <w:rPr>
          <w:rFonts w:ascii="Tw Cen MT Condensed" w:hAnsi="Tw Cen MT Condensed"/>
          <w:sz w:val="28"/>
          <w:szCs w:val="28"/>
        </w:rPr>
        <w:t xml:space="preserve">ompensation </w:t>
      </w:r>
      <w:r>
        <w:rPr>
          <w:rFonts w:ascii="Tw Cen MT Condensed" w:hAnsi="Tw Cen MT Condensed"/>
          <w:sz w:val="28"/>
          <w:szCs w:val="28"/>
        </w:rPr>
        <w:t>payments</w:t>
      </w:r>
      <w:r w:rsidRPr="00611B1B">
        <w:rPr>
          <w:rFonts w:ascii="Tw Cen MT Condensed" w:hAnsi="Tw Cen MT Condensed"/>
          <w:sz w:val="28"/>
          <w:szCs w:val="28"/>
        </w:rPr>
        <w:t xml:space="preserve"> totaling $45,769.65.  </w:t>
      </w:r>
    </w:p>
    <w:p w:rsidR="000E79CD" w:rsidRPr="00611B1B" w:rsidRDefault="000E79CD" w:rsidP="000E79CD">
      <w:pPr>
        <w:rPr>
          <w:rFonts w:ascii="Tw Cen MT Condensed" w:hAnsi="Tw Cen MT Condensed"/>
          <w:b/>
          <w:sz w:val="28"/>
          <w:szCs w:val="28"/>
          <w:u w:val="single"/>
        </w:rPr>
      </w:pPr>
      <w:r w:rsidRPr="00611B1B">
        <w:rPr>
          <w:rFonts w:ascii="Tw Cen MT Condensed" w:hAnsi="Tw Cen MT Condensed"/>
          <w:b/>
          <w:sz w:val="28"/>
          <w:szCs w:val="28"/>
          <w:u w:val="single"/>
        </w:rPr>
        <w:t>Private</w:t>
      </w:r>
      <w:r>
        <w:rPr>
          <w:rFonts w:ascii="Tw Cen MT Condensed" w:hAnsi="Tw Cen MT Condensed"/>
          <w:b/>
          <w:sz w:val="28"/>
          <w:szCs w:val="28"/>
          <w:u w:val="single"/>
        </w:rPr>
        <w:t xml:space="preserve"> Employer Worker Claims in 2012</w:t>
      </w:r>
      <w:r w:rsidR="003010A5">
        <w:rPr>
          <w:rFonts w:ascii="Tw Cen MT Condensed" w:hAnsi="Tw Cen MT Condensed"/>
          <w:b/>
          <w:sz w:val="28"/>
          <w:szCs w:val="28"/>
          <w:u w:val="single"/>
        </w:rPr>
        <w:t>–</w:t>
      </w:r>
      <w:r w:rsidRPr="00611B1B">
        <w:rPr>
          <w:rFonts w:ascii="Tw Cen MT Condensed" w:hAnsi="Tw Cen MT Condensed"/>
          <w:b/>
          <w:sz w:val="28"/>
          <w:szCs w:val="28"/>
          <w:u w:val="single"/>
        </w:rPr>
        <w:t>2013</w:t>
      </w:r>
    </w:p>
    <w:p w:rsidR="000E79CD" w:rsidRDefault="000E79CD" w:rsidP="000E79CD">
      <w:pPr>
        <w:rPr>
          <w:rFonts w:ascii="Tw Cen MT Condensed" w:hAnsi="Tw Cen MT Condensed"/>
          <w:sz w:val="28"/>
          <w:szCs w:val="28"/>
        </w:rPr>
      </w:pPr>
      <w:r w:rsidRPr="00611B1B">
        <w:rPr>
          <w:rFonts w:ascii="Tw Cen MT Condensed" w:hAnsi="Tw Cen MT Condensed"/>
          <w:sz w:val="28"/>
          <w:szCs w:val="28"/>
        </w:rPr>
        <w:t xml:space="preserve">In 2012 and 2013, thirty </w:t>
      </w:r>
      <w:r>
        <w:rPr>
          <w:rFonts w:ascii="Tw Cen MT Condensed" w:hAnsi="Tw Cen MT Condensed"/>
          <w:sz w:val="28"/>
          <w:szCs w:val="28"/>
        </w:rPr>
        <w:t>claims for such</w:t>
      </w:r>
      <w:r w:rsidRPr="00611B1B">
        <w:rPr>
          <w:rFonts w:ascii="Tw Cen MT Condensed" w:hAnsi="Tw Cen MT Condensed"/>
          <w:sz w:val="28"/>
          <w:szCs w:val="28"/>
        </w:rPr>
        <w:t xml:space="preserve"> injuries and illnesses </w:t>
      </w:r>
      <w:r>
        <w:rPr>
          <w:rFonts w:ascii="Tw Cen MT Condensed" w:hAnsi="Tw Cen MT Condensed"/>
          <w:sz w:val="28"/>
          <w:szCs w:val="28"/>
        </w:rPr>
        <w:t xml:space="preserve">were awarded to private sector </w:t>
      </w:r>
      <w:r w:rsidRPr="00611B1B">
        <w:rPr>
          <w:rFonts w:ascii="Tw Cen MT Condensed" w:hAnsi="Tw Cen MT Condensed"/>
          <w:sz w:val="28"/>
          <w:szCs w:val="28"/>
        </w:rPr>
        <w:t xml:space="preserve">employees.  These resulted in </w:t>
      </w:r>
      <w:r>
        <w:rPr>
          <w:rFonts w:ascii="Tw Cen MT Condensed" w:hAnsi="Tw Cen MT Condensed"/>
          <w:sz w:val="28"/>
          <w:szCs w:val="28"/>
        </w:rPr>
        <w:t>w</w:t>
      </w:r>
      <w:r w:rsidRPr="00611B1B">
        <w:rPr>
          <w:rFonts w:ascii="Tw Cen MT Condensed" w:hAnsi="Tw Cen MT Condensed"/>
          <w:sz w:val="28"/>
          <w:szCs w:val="28"/>
        </w:rPr>
        <w:t xml:space="preserve">orkers’ </w:t>
      </w:r>
      <w:r>
        <w:rPr>
          <w:rFonts w:ascii="Tw Cen MT Condensed" w:hAnsi="Tw Cen MT Condensed"/>
          <w:sz w:val="28"/>
          <w:szCs w:val="28"/>
        </w:rPr>
        <w:t>c</w:t>
      </w:r>
      <w:r w:rsidRPr="00611B1B">
        <w:rPr>
          <w:rFonts w:ascii="Tw Cen MT Condensed" w:hAnsi="Tw Cen MT Condensed"/>
          <w:sz w:val="28"/>
          <w:szCs w:val="28"/>
        </w:rPr>
        <w:t xml:space="preserve">ompensation </w:t>
      </w:r>
      <w:r>
        <w:rPr>
          <w:rFonts w:ascii="Tw Cen MT Condensed" w:hAnsi="Tw Cen MT Condensed"/>
          <w:sz w:val="28"/>
          <w:szCs w:val="28"/>
        </w:rPr>
        <w:t>payments</w:t>
      </w:r>
      <w:r w:rsidRPr="00611B1B">
        <w:rPr>
          <w:rFonts w:ascii="Tw Cen MT Condensed" w:hAnsi="Tw Cen MT Condensed"/>
          <w:sz w:val="28"/>
          <w:szCs w:val="28"/>
        </w:rPr>
        <w:t xml:space="preserve"> totaling $619,794.57.  </w:t>
      </w:r>
      <w:r w:rsidR="00160C3B">
        <w:rPr>
          <w:rFonts w:ascii="Tw Cen MT Condensed" w:hAnsi="Tw Cen MT Condensed"/>
          <w:sz w:val="28"/>
          <w:szCs w:val="28"/>
        </w:rPr>
        <w:t xml:space="preserve">Table </w:t>
      </w:r>
      <w:r w:rsidR="003010A5">
        <w:rPr>
          <w:rFonts w:ascii="Tw Cen MT Condensed" w:hAnsi="Tw Cen MT Condensed"/>
          <w:sz w:val="28"/>
          <w:szCs w:val="28"/>
        </w:rPr>
        <w:t>6</w:t>
      </w:r>
      <w:r w:rsidRPr="00611B1B">
        <w:rPr>
          <w:rFonts w:ascii="Tw Cen MT Condensed" w:hAnsi="Tw Cen MT Condensed"/>
          <w:sz w:val="28"/>
          <w:szCs w:val="28"/>
        </w:rPr>
        <w:t xml:space="preserve"> provides a further breakdown of payments for </w:t>
      </w:r>
      <w:r>
        <w:rPr>
          <w:rFonts w:ascii="Tw Cen MT Condensed" w:hAnsi="Tw Cen MT Condensed"/>
          <w:sz w:val="28"/>
          <w:szCs w:val="28"/>
        </w:rPr>
        <w:t>these</w:t>
      </w:r>
      <w:r w:rsidRPr="00611B1B">
        <w:rPr>
          <w:rFonts w:ascii="Tw Cen MT Condensed" w:hAnsi="Tw Cen MT Condensed"/>
          <w:sz w:val="28"/>
          <w:szCs w:val="28"/>
        </w:rPr>
        <w:t xml:space="preserve"> claims. </w:t>
      </w:r>
    </w:p>
    <w:tbl>
      <w:tblPr>
        <w:tblpPr w:leftFromText="180" w:rightFromText="180" w:vertAnchor="page" w:horzAnchor="margin" w:tblpY="8328"/>
        <w:tblW w:w="10347" w:type="dxa"/>
        <w:tblLook w:val="04A0" w:firstRow="1" w:lastRow="0" w:firstColumn="1" w:lastColumn="0" w:noHBand="0" w:noVBand="1"/>
      </w:tblPr>
      <w:tblGrid>
        <w:gridCol w:w="1818"/>
        <w:gridCol w:w="1202"/>
        <w:gridCol w:w="1858"/>
        <w:gridCol w:w="1623"/>
        <w:gridCol w:w="1350"/>
        <w:gridCol w:w="1368"/>
        <w:gridCol w:w="1128"/>
      </w:tblGrid>
      <w:tr w:rsidR="005C36D0" w:rsidRPr="00145C30" w:rsidTr="00405EF1">
        <w:trPr>
          <w:trHeight w:val="701"/>
        </w:trPr>
        <w:tc>
          <w:tcPr>
            <w:tcW w:w="10347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C36D0" w:rsidRPr="00671F55" w:rsidRDefault="005C36D0" w:rsidP="00405EF1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671F55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TABLE </w:t>
            </w:r>
            <w:r w:rsidR="003010A5">
              <w:rPr>
                <w:rFonts w:cs="Calibri"/>
                <w:b/>
                <w:bCs/>
                <w:color w:val="000000"/>
                <w:sz w:val="28"/>
                <w:szCs w:val="28"/>
              </w:rPr>
              <w:t>6</w:t>
            </w:r>
          </w:p>
          <w:p w:rsidR="005C36D0" w:rsidRDefault="005C36D0" w:rsidP="00405EF1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6092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COST </w:t>
            </w:r>
            <w:r w:rsidRPr="0086092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DATA *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FOR</w:t>
            </w:r>
            <w:r w:rsidRPr="0086092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WORKERS' COMPENSATION CLAIMSFROM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EXPOSURE TO HAZARDOUS CHEMICALS OR ADVERSE ENVIRONMENTAL/MICROBIOLOGICAL CONDITIONS</w:t>
            </w:r>
            <w:r w:rsidRPr="0086092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5C36D0" w:rsidRPr="0086092B" w:rsidRDefault="005C36D0" w:rsidP="00405EF1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6092B">
              <w:rPr>
                <w:rFonts w:cs="Calibri"/>
                <w:b/>
                <w:bCs/>
                <w:color w:val="000000"/>
                <w:sz w:val="20"/>
                <w:szCs w:val="20"/>
              </w:rPr>
              <w:t>(2012–2013)</w:t>
            </w:r>
          </w:p>
        </w:tc>
      </w:tr>
      <w:tr w:rsidR="005C36D0" w:rsidRPr="00145C30" w:rsidTr="00405EF1">
        <w:trPr>
          <w:trHeight w:val="980"/>
        </w:trPr>
        <w:tc>
          <w:tcPr>
            <w:tcW w:w="1818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C36D0" w:rsidRPr="00961BC4" w:rsidRDefault="005C36D0" w:rsidP="00405EF1">
            <w:pPr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61BC4">
              <w:rPr>
                <w:rFonts w:cs="Calibri"/>
                <w:bCs/>
                <w:color w:val="000000"/>
                <w:sz w:val="20"/>
                <w:szCs w:val="20"/>
              </w:rPr>
              <w:t>EMPLOYER SECTOR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C36D0" w:rsidRPr="00961BC4" w:rsidRDefault="005C36D0" w:rsidP="00405EF1">
            <w:pPr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61BC4">
              <w:rPr>
                <w:rFonts w:cs="Calibri"/>
                <w:bCs/>
                <w:color w:val="000000"/>
                <w:sz w:val="20"/>
                <w:szCs w:val="20"/>
              </w:rPr>
              <w:t>NUMBER OF PAID CLAIMS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C36D0" w:rsidRPr="00961BC4" w:rsidRDefault="005C36D0" w:rsidP="00405EF1">
            <w:pPr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61BC4">
              <w:rPr>
                <w:rFonts w:cs="Calibri"/>
                <w:bCs/>
                <w:color w:val="000000"/>
                <w:sz w:val="20"/>
                <w:szCs w:val="20"/>
              </w:rPr>
              <w:t>MEDICAL/ REHABILITATION COSTS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C36D0" w:rsidRPr="00961BC4" w:rsidRDefault="005C36D0" w:rsidP="00405EF1">
            <w:pPr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61BC4">
              <w:rPr>
                <w:rFonts w:cs="Calibri"/>
                <w:bCs/>
                <w:color w:val="000000"/>
                <w:sz w:val="20"/>
                <w:szCs w:val="20"/>
              </w:rPr>
              <w:t>WAGE REPLACEMENT BENEFIT COSTS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C36D0" w:rsidRPr="00961BC4" w:rsidRDefault="005C36D0" w:rsidP="00405EF1">
            <w:pPr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61BC4">
              <w:rPr>
                <w:rFonts w:cs="Calibri"/>
                <w:bCs/>
                <w:color w:val="000000"/>
                <w:sz w:val="20"/>
                <w:szCs w:val="20"/>
              </w:rPr>
              <w:t xml:space="preserve">TOTAL LEGAL AND OTHER COSTS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C36D0" w:rsidRPr="00961BC4" w:rsidRDefault="005C36D0" w:rsidP="00405EF1">
            <w:pPr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61BC4">
              <w:rPr>
                <w:rFonts w:cs="Calibri"/>
                <w:bCs/>
                <w:color w:val="000000"/>
                <w:sz w:val="20"/>
                <w:szCs w:val="20"/>
              </w:rPr>
              <w:t xml:space="preserve">TOTAL CLAIM COSTS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4BC96" w:themeFill="background2" w:themeFillShade="BF"/>
            <w:vAlign w:val="center"/>
          </w:tcPr>
          <w:p w:rsidR="005C36D0" w:rsidRPr="00961BC4" w:rsidRDefault="005C36D0" w:rsidP="00405EF1">
            <w:pPr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61BC4">
              <w:rPr>
                <w:rFonts w:cs="Calibri"/>
                <w:bCs/>
                <w:color w:val="000000"/>
                <w:sz w:val="20"/>
                <w:szCs w:val="20"/>
              </w:rPr>
              <w:t>AVERAGE</w:t>
            </w:r>
          </w:p>
        </w:tc>
      </w:tr>
      <w:tr w:rsidR="005C36D0" w:rsidRPr="00145C30" w:rsidTr="00405EF1">
        <w:trPr>
          <w:trHeight w:val="144"/>
        </w:trPr>
        <w:tc>
          <w:tcPr>
            <w:tcW w:w="1818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36D0" w:rsidRPr="00961BC4" w:rsidRDefault="005C36D0" w:rsidP="00405EF1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Public Employers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6D0" w:rsidRPr="00961BC4" w:rsidRDefault="005C36D0" w:rsidP="00671F55">
            <w:pPr>
              <w:spacing w:after="0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61BC4">
              <w:rPr>
                <w:rFonts w:cs="Calibri"/>
                <w:bCs/>
                <w:color w:val="000000"/>
                <w:sz w:val="20"/>
                <w:szCs w:val="20"/>
              </w:rPr>
              <w:t>1</w:t>
            </w:r>
            <w:r w:rsidR="00671F55">
              <w:rPr>
                <w:rFonts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6D0" w:rsidRPr="00961BC4" w:rsidRDefault="005C36D0" w:rsidP="00671F55">
            <w:pPr>
              <w:spacing w:after="0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61BC4">
              <w:rPr>
                <w:rFonts w:cs="Calibri"/>
                <w:bCs/>
                <w:color w:val="000000"/>
                <w:sz w:val="20"/>
                <w:szCs w:val="20"/>
              </w:rPr>
              <w:t xml:space="preserve"> $        </w:t>
            </w:r>
            <w:r w:rsidR="00671F55">
              <w:rPr>
                <w:rFonts w:cs="Calibri"/>
                <w:bCs/>
                <w:color w:val="000000"/>
                <w:sz w:val="20"/>
                <w:szCs w:val="20"/>
              </w:rPr>
              <w:t>14,949.17</w:t>
            </w:r>
            <w:r w:rsidRPr="00961BC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6D0" w:rsidRPr="00961BC4" w:rsidRDefault="005C36D0" w:rsidP="00671F55">
            <w:pPr>
              <w:spacing w:after="0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61BC4">
              <w:rPr>
                <w:rFonts w:cs="Calibri"/>
                <w:bCs/>
                <w:color w:val="000000"/>
                <w:sz w:val="20"/>
                <w:szCs w:val="20"/>
              </w:rPr>
              <w:t xml:space="preserve"> $    </w:t>
            </w:r>
            <w:r w:rsidR="00671F55">
              <w:rPr>
                <w:rFonts w:cs="Calibri"/>
                <w:bCs/>
                <w:color w:val="000000"/>
                <w:sz w:val="20"/>
                <w:szCs w:val="20"/>
              </w:rPr>
              <w:t>22,703.99</w:t>
            </w:r>
            <w:r w:rsidRPr="00961BC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6D0" w:rsidRPr="00961BC4" w:rsidRDefault="005C36D0" w:rsidP="00671F55">
            <w:pPr>
              <w:spacing w:after="0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61BC4">
              <w:rPr>
                <w:rFonts w:cs="Calibri"/>
                <w:bCs/>
                <w:color w:val="000000"/>
                <w:sz w:val="20"/>
                <w:szCs w:val="20"/>
              </w:rPr>
              <w:t xml:space="preserve"> $    2,</w:t>
            </w:r>
            <w:r w:rsidR="00671F55">
              <w:rPr>
                <w:rFonts w:cs="Calibri"/>
                <w:bCs/>
                <w:color w:val="000000"/>
                <w:sz w:val="20"/>
                <w:szCs w:val="20"/>
              </w:rPr>
              <w:t>658.88</w:t>
            </w:r>
            <w:r w:rsidRPr="00961BC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6D0" w:rsidRPr="00961BC4" w:rsidRDefault="005C36D0" w:rsidP="00671F55">
            <w:pPr>
              <w:spacing w:after="0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61BC4">
              <w:rPr>
                <w:rFonts w:cs="Calibri"/>
                <w:bCs/>
                <w:color w:val="000000"/>
                <w:sz w:val="20"/>
                <w:szCs w:val="20"/>
              </w:rPr>
              <w:t xml:space="preserve"> $   </w:t>
            </w:r>
            <w:r w:rsidR="00671F55">
              <w:rPr>
                <w:rFonts w:cs="Calibri"/>
                <w:bCs/>
                <w:color w:val="000000"/>
                <w:sz w:val="20"/>
                <w:szCs w:val="20"/>
              </w:rPr>
              <w:t>40,312.04</w:t>
            </w:r>
            <w:r w:rsidRPr="00961BC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C36D0" w:rsidRPr="00961BC4" w:rsidRDefault="005C36D0" w:rsidP="00671F55">
            <w:pPr>
              <w:spacing w:after="0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61BC4">
              <w:rPr>
                <w:rFonts w:cs="Calibri"/>
                <w:bCs/>
                <w:color w:val="000000"/>
                <w:sz w:val="20"/>
                <w:szCs w:val="20"/>
              </w:rPr>
              <w:t>$2,8</w:t>
            </w:r>
            <w:r w:rsidR="00671F55">
              <w:rPr>
                <w:rFonts w:cs="Calibri"/>
                <w:bCs/>
                <w:color w:val="000000"/>
                <w:sz w:val="20"/>
                <w:szCs w:val="20"/>
              </w:rPr>
              <w:t>79</w:t>
            </w:r>
          </w:p>
        </w:tc>
      </w:tr>
      <w:tr w:rsidR="005C36D0" w:rsidRPr="00145C30" w:rsidTr="00405EF1">
        <w:trPr>
          <w:trHeight w:val="144"/>
        </w:trPr>
        <w:tc>
          <w:tcPr>
            <w:tcW w:w="1818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36D0" w:rsidRPr="00961BC4" w:rsidRDefault="005C36D0" w:rsidP="00405EF1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Private Employers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6D0" w:rsidRPr="00961BC4" w:rsidRDefault="005C36D0" w:rsidP="00405EF1">
            <w:pPr>
              <w:spacing w:after="0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61BC4"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6D0" w:rsidRPr="00961BC4" w:rsidRDefault="005C36D0" w:rsidP="00405EF1">
            <w:pPr>
              <w:spacing w:after="0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61BC4">
              <w:rPr>
                <w:rFonts w:cs="Calibri"/>
                <w:bCs/>
                <w:color w:val="000000"/>
                <w:sz w:val="20"/>
                <w:szCs w:val="20"/>
              </w:rPr>
              <w:t xml:space="preserve"> $     409,605.59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6D0" w:rsidRPr="00961BC4" w:rsidRDefault="005C36D0" w:rsidP="00405EF1">
            <w:pPr>
              <w:spacing w:after="0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61BC4">
              <w:rPr>
                <w:rFonts w:cs="Calibri"/>
                <w:bCs/>
                <w:color w:val="000000"/>
                <w:sz w:val="20"/>
                <w:szCs w:val="20"/>
              </w:rPr>
              <w:t xml:space="preserve"> $  169,668.56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6D0" w:rsidRPr="00961BC4" w:rsidRDefault="005C36D0" w:rsidP="00405EF1">
            <w:pPr>
              <w:spacing w:after="0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61BC4">
              <w:rPr>
                <w:rFonts w:cs="Calibri"/>
                <w:bCs/>
                <w:color w:val="000000"/>
                <w:sz w:val="20"/>
                <w:szCs w:val="20"/>
              </w:rPr>
              <w:t xml:space="preserve"> $ 40,520.42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6D0" w:rsidRPr="00961BC4" w:rsidRDefault="005C36D0" w:rsidP="00405EF1">
            <w:pPr>
              <w:spacing w:after="0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61BC4">
              <w:rPr>
                <w:rFonts w:cs="Calibri"/>
                <w:bCs/>
                <w:color w:val="000000"/>
                <w:sz w:val="20"/>
                <w:szCs w:val="20"/>
              </w:rPr>
              <w:t xml:space="preserve"> $ 619,794.57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C36D0" w:rsidRPr="00961BC4" w:rsidRDefault="005C36D0" w:rsidP="00405EF1">
            <w:pPr>
              <w:spacing w:after="0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61BC4">
              <w:rPr>
                <w:rFonts w:cs="Calibri"/>
                <w:bCs/>
                <w:color w:val="000000"/>
                <w:sz w:val="20"/>
                <w:szCs w:val="20"/>
              </w:rPr>
              <w:t>$20.660</w:t>
            </w:r>
          </w:p>
        </w:tc>
      </w:tr>
      <w:tr w:rsidR="005C36D0" w:rsidRPr="00145C30" w:rsidTr="00405EF1">
        <w:trPr>
          <w:trHeight w:val="144"/>
        </w:trPr>
        <w:tc>
          <w:tcPr>
            <w:tcW w:w="18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bottom"/>
            <w:hideMark/>
          </w:tcPr>
          <w:p w:rsidR="005C36D0" w:rsidRPr="00961BC4" w:rsidRDefault="005C36D0" w:rsidP="00405EF1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61BC4">
              <w:rPr>
                <w:rFonts w:cs="Calibri"/>
                <w:b/>
                <w:bCs/>
                <w:color w:val="000000"/>
                <w:sz w:val="20"/>
                <w:szCs w:val="20"/>
              </w:rPr>
              <w:t>ALL EMPLOYERS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6D0" w:rsidRPr="00961BC4" w:rsidRDefault="005C36D0" w:rsidP="00405EF1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61BC4">
              <w:rPr>
                <w:rFonts w:cs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6D0" w:rsidRPr="00961BC4" w:rsidRDefault="005C36D0" w:rsidP="00671F55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61BC4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$     42</w:t>
            </w:r>
            <w:r w:rsidR="00671F55"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  <w:r w:rsidRPr="00961BC4">
              <w:rPr>
                <w:rFonts w:cs="Calibri"/>
                <w:b/>
                <w:bCs/>
                <w:color w:val="000000"/>
                <w:sz w:val="20"/>
                <w:szCs w:val="20"/>
              </w:rPr>
              <w:t>,</w:t>
            </w:r>
            <w:r w:rsidR="00671F55">
              <w:rPr>
                <w:rFonts w:cs="Calibri"/>
                <w:b/>
                <w:bCs/>
                <w:color w:val="000000"/>
                <w:sz w:val="20"/>
                <w:szCs w:val="20"/>
              </w:rPr>
              <w:t>554.76</w:t>
            </w:r>
            <w:r w:rsidRPr="00961BC4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6D0" w:rsidRPr="00961BC4" w:rsidRDefault="005C36D0" w:rsidP="00671F55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61BC4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$  19</w:t>
            </w:r>
            <w:r w:rsidR="00671F55"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  <w:r w:rsidRPr="00961BC4">
              <w:rPr>
                <w:rFonts w:cs="Calibri"/>
                <w:b/>
                <w:bCs/>
                <w:color w:val="000000"/>
                <w:sz w:val="20"/>
                <w:szCs w:val="20"/>
              </w:rPr>
              <w:t>,</w:t>
            </w:r>
            <w:r w:rsidR="00671F55">
              <w:rPr>
                <w:rFonts w:cs="Calibri"/>
                <w:b/>
                <w:bCs/>
                <w:color w:val="000000"/>
                <w:sz w:val="20"/>
                <w:szCs w:val="20"/>
              </w:rPr>
              <w:t>372.55</w:t>
            </w:r>
            <w:r w:rsidRPr="00961BC4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6D0" w:rsidRPr="00961BC4" w:rsidRDefault="005C36D0" w:rsidP="00671F55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61BC4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$ 43,</w:t>
            </w:r>
            <w:r w:rsidR="00671F55">
              <w:rPr>
                <w:rFonts w:cs="Calibri"/>
                <w:b/>
                <w:bCs/>
                <w:color w:val="000000"/>
                <w:sz w:val="20"/>
                <w:szCs w:val="20"/>
              </w:rPr>
              <w:t>179.3</w:t>
            </w:r>
            <w:r w:rsidRPr="00961BC4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6D0" w:rsidRPr="00961BC4" w:rsidRDefault="00671F55" w:rsidP="00671F55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$ 660</w:t>
            </w:r>
            <w:r w:rsidR="005C36D0" w:rsidRPr="00961BC4">
              <w:rPr>
                <w:rFonts w:cs="Calibri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106.61</w:t>
            </w:r>
            <w:r w:rsidR="005C36D0" w:rsidRPr="00961BC4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5C36D0" w:rsidRPr="00961BC4" w:rsidRDefault="005C36D0" w:rsidP="00671F55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61BC4">
              <w:rPr>
                <w:rFonts w:cs="Calibri"/>
                <w:b/>
                <w:bCs/>
                <w:color w:val="000000"/>
                <w:sz w:val="20"/>
                <w:szCs w:val="20"/>
              </w:rPr>
              <w:t>$14,</w:t>
            </w:r>
            <w:r w:rsidR="00671F55">
              <w:rPr>
                <w:rFonts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</w:tr>
    </w:tbl>
    <w:p w:rsidR="000C7D8B" w:rsidRDefault="00284E56" w:rsidP="00E4672F">
      <w:pPr>
        <w:rPr>
          <w:rFonts w:cs="Calibri"/>
          <w:b/>
          <w:bCs/>
          <w:color w:val="000000"/>
          <w:sz w:val="18"/>
          <w:szCs w:val="18"/>
        </w:rPr>
      </w:pPr>
      <w:r>
        <w:rPr>
          <w:rFonts w:cs="Calibri"/>
          <w:b/>
          <w:bCs/>
          <w:color w:val="000000"/>
          <w:sz w:val="18"/>
          <w:szCs w:val="18"/>
        </w:rPr>
        <w:t>‘</w:t>
      </w:r>
    </w:p>
    <w:p w:rsidR="0044319C" w:rsidRPr="00E4672F" w:rsidRDefault="005C36D0" w:rsidP="00E4672F">
      <w:pPr>
        <w:rPr>
          <w:rFonts w:ascii="Tw Cen MT Condensed" w:hAnsi="Tw Cen MT Condensed"/>
          <w:sz w:val="28"/>
          <w:szCs w:val="28"/>
        </w:rPr>
      </w:pPr>
      <w:r w:rsidRPr="0086092B">
        <w:rPr>
          <w:rFonts w:cs="Calibri"/>
          <w:b/>
          <w:bCs/>
          <w:color w:val="000000"/>
          <w:sz w:val="18"/>
          <w:szCs w:val="18"/>
        </w:rPr>
        <w:t xml:space="preserve">*Cost data as </w:t>
      </w:r>
      <w:r w:rsidR="000C7D8B" w:rsidRPr="0086092B">
        <w:rPr>
          <w:rFonts w:cs="Calibri"/>
          <w:b/>
          <w:bCs/>
          <w:color w:val="000000"/>
          <w:sz w:val="18"/>
          <w:szCs w:val="18"/>
        </w:rPr>
        <w:t xml:space="preserve">of </w:t>
      </w:r>
      <w:r w:rsidR="000C7D8B">
        <w:rPr>
          <w:rFonts w:cs="Calibri"/>
          <w:b/>
          <w:bCs/>
          <w:color w:val="000000"/>
          <w:sz w:val="18"/>
          <w:szCs w:val="18"/>
        </w:rPr>
        <w:t>April 2014 (36</w:t>
      </w:r>
      <w:r w:rsidR="00671F55">
        <w:rPr>
          <w:rFonts w:cs="Calibri"/>
          <w:b/>
          <w:bCs/>
          <w:color w:val="000000"/>
          <w:sz w:val="18"/>
          <w:szCs w:val="18"/>
        </w:rPr>
        <w:t>4</w:t>
      </w:r>
      <w:r w:rsidR="000C7D8B">
        <w:rPr>
          <w:rFonts w:cs="Calibri"/>
          <w:b/>
          <w:bCs/>
          <w:color w:val="000000"/>
          <w:sz w:val="18"/>
          <w:szCs w:val="18"/>
        </w:rPr>
        <w:t xml:space="preserve"> total claims).</w:t>
      </w:r>
      <w:r w:rsidR="0044319C">
        <w:br w:type="page"/>
      </w:r>
    </w:p>
    <w:p w:rsidR="00E364FD" w:rsidRPr="00145C30" w:rsidRDefault="00E364FD" w:rsidP="00F74019">
      <w:pPr>
        <w:pStyle w:val="Heading2"/>
      </w:pPr>
      <w:r w:rsidRPr="00145C30">
        <w:lastRenderedPageBreak/>
        <w:t>KEY POINTS</w:t>
      </w:r>
    </w:p>
    <w:p w:rsidR="004F46F5" w:rsidRDefault="004F46F5" w:rsidP="00A7155F">
      <w:pPr>
        <w:pStyle w:val="ListParagraph"/>
        <w:numPr>
          <w:ilvl w:val="0"/>
          <w:numId w:val="14"/>
        </w:numPr>
        <w:spacing w:after="120" w:line="240" w:lineRule="auto"/>
        <w:rPr>
          <w:rFonts w:ascii="Tw Cen MT Condensed" w:hAnsi="Tw Cen MT Condensed" w:cs="Times New Roman"/>
          <w:sz w:val="28"/>
          <w:szCs w:val="28"/>
        </w:rPr>
      </w:pPr>
      <w:r>
        <w:rPr>
          <w:rFonts w:ascii="Tw Cen MT Condensed" w:hAnsi="Tw Cen MT Condensed" w:cs="Times New Roman"/>
          <w:sz w:val="28"/>
          <w:szCs w:val="28"/>
        </w:rPr>
        <w:t xml:space="preserve">With regard to </w:t>
      </w:r>
      <w:r w:rsidRPr="00230074">
        <w:rPr>
          <w:rFonts w:ascii="Tw Cen MT Condensed" w:hAnsi="Tw Cen MT Condensed" w:cs="Times New Roman"/>
          <w:b/>
          <w:sz w:val="28"/>
          <w:szCs w:val="28"/>
        </w:rPr>
        <w:t>nature</w:t>
      </w:r>
      <w:r>
        <w:rPr>
          <w:rFonts w:ascii="Tw Cen MT Condensed" w:hAnsi="Tw Cen MT Condensed" w:cs="Times New Roman"/>
          <w:sz w:val="28"/>
          <w:szCs w:val="28"/>
        </w:rPr>
        <w:t xml:space="preserve"> of illnesses or injuries, the largest category by far was </w:t>
      </w:r>
      <w:r w:rsidRPr="0092761E">
        <w:rPr>
          <w:rFonts w:ascii="Tw Cen MT Condensed" w:hAnsi="Tw Cen MT Condensed" w:cs="Times New Roman"/>
          <w:i/>
          <w:sz w:val="28"/>
          <w:szCs w:val="28"/>
        </w:rPr>
        <w:t>respiratory problems/ ailments</w:t>
      </w:r>
      <w:r>
        <w:rPr>
          <w:rFonts w:ascii="Tw Cen MT Condensed" w:hAnsi="Tw Cen MT Condensed" w:cs="Times New Roman"/>
          <w:sz w:val="28"/>
          <w:szCs w:val="28"/>
        </w:rPr>
        <w:t xml:space="preserve"> </w:t>
      </w:r>
      <w:r w:rsidR="00B3221F">
        <w:rPr>
          <w:rFonts w:ascii="Tw Cen MT Condensed" w:hAnsi="Tw Cen MT Condensed" w:cs="Times New Roman"/>
          <w:sz w:val="28"/>
          <w:szCs w:val="28"/>
        </w:rPr>
        <w:t xml:space="preserve">at </w:t>
      </w:r>
      <w:r>
        <w:rPr>
          <w:rFonts w:ascii="Tw Cen MT Condensed" w:hAnsi="Tw Cen MT Condensed" w:cs="Times New Roman"/>
          <w:sz w:val="28"/>
          <w:szCs w:val="28"/>
        </w:rPr>
        <w:t xml:space="preserve">33.5 percent.  </w:t>
      </w:r>
      <w:r w:rsidR="00B3221F">
        <w:rPr>
          <w:rFonts w:ascii="Tw Cen MT Condensed" w:hAnsi="Tw Cen MT Condensed" w:cs="Times New Roman"/>
          <w:sz w:val="28"/>
          <w:szCs w:val="28"/>
        </w:rPr>
        <w:t>The other categories were evenly distributed and none</w:t>
      </w:r>
      <w:r>
        <w:rPr>
          <w:rFonts w:ascii="Tw Cen MT Condensed" w:hAnsi="Tw Cen MT Condensed" w:cs="Times New Roman"/>
          <w:sz w:val="28"/>
          <w:szCs w:val="28"/>
        </w:rPr>
        <w:t xml:space="preserve"> </w:t>
      </w:r>
      <w:r w:rsidR="00B3221F">
        <w:rPr>
          <w:rFonts w:ascii="Tw Cen MT Condensed" w:hAnsi="Tw Cen MT Condensed" w:cs="Times New Roman"/>
          <w:sz w:val="28"/>
          <w:szCs w:val="28"/>
        </w:rPr>
        <w:t>comprised more than 14 percent of the cases.</w:t>
      </w:r>
    </w:p>
    <w:p w:rsidR="004F46F5" w:rsidRDefault="004F46F5" w:rsidP="004F46F5">
      <w:pPr>
        <w:pStyle w:val="ListParagraph"/>
        <w:spacing w:after="120" w:line="240" w:lineRule="auto"/>
        <w:rPr>
          <w:rFonts w:ascii="Tw Cen MT Condensed" w:hAnsi="Tw Cen MT Condensed" w:cs="Times New Roman"/>
          <w:sz w:val="28"/>
          <w:szCs w:val="28"/>
        </w:rPr>
      </w:pPr>
    </w:p>
    <w:p w:rsidR="004F46F5" w:rsidRDefault="00B3221F" w:rsidP="004F46F5">
      <w:pPr>
        <w:pStyle w:val="ListParagraph"/>
        <w:numPr>
          <w:ilvl w:val="0"/>
          <w:numId w:val="14"/>
        </w:numPr>
        <w:spacing w:after="120" w:line="240" w:lineRule="auto"/>
        <w:rPr>
          <w:rFonts w:ascii="Tw Cen MT Condensed" w:hAnsi="Tw Cen MT Condensed" w:cs="Times New Roman"/>
          <w:sz w:val="28"/>
          <w:szCs w:val="28"/>
        </w:rPr>
      </w:pPr>
      <w:r>
        <w:rPr>
          <w:rFonts w:ascii="Tw Cen MT Condensed" w:hAnsi="Tw Cen MT Condensed" w:cs="Times New Roman"/>
          <w:sz w:val="28"/>
          <w:szCs w:val="28"/>
        </w:rPr>
        <w:t xml:space="preserve">The largest overall </w:t>
      </w:r>
      <w:r w:rsidRPr="00F00848">
        <w:rPr>
          <w:rFonts w:ascii="Tw Cen MT Condensed" w:hAnsi="Tw Cen MT Condensed" w:cs="Times New Roman"/>
          <w:b/>
          <w:sz w:val="28"/>
          <w:szCs w:val="28"/>
        </w:rPr>
        <w:t>source</w:t>
      </w:r>
      <w:r>
        <w:rPr>
          <w:rFonts w:ascii="Tw Cen MT Condensed" w:hAnsi="Tw Cen MT Condensed" w:cs="Times New Roman"/>
          <w:sz w:val="28"/>
          <w:szCs w:val="28"/>
        </w:rPr>
        <w:t xml:space="preserve"> group </w:t>
      </w:r>
      <w:r w:rsidR="00F00848">
        <w:rPr>
          <w:rFonts w:ascii="Tw Cen MT Condensed" w:hAnsi="Tw Cen MT Condensed" w:cs="Times New Roman"/>
          <w:sz w:val="28"/>
          <w:szCs w:val="28"/>
        </w:rPr>
        <w:t>was</w:t>
      </w:r>
      <w:r>
        <w:rPr>
          <w:rFonts w:ascii="Tw Cen MT Condensed" w:hAnsi="Tw Cen MT Condensed" w:cs="Times New Roman"/>
          <w:sz w:val="28"/>
          <w:szCs w:val="28"/>
        </w:rPr>
        <w:t xml:space="preserve"> </w:t>
      </w:r>
      <w:r w:rsidR="00F00848">
        <w:rPr>
          <w:rFonts w:ascii="Tw Cen MT Condensed" w:hAnsi="Tw Cen MT Condensed" w:cs="Times New Roman"/>
          <w:sz w:val="28"/>
          <w:szCs w:val="28"/>
        </w:rPr>
        <w:t>the combination</w:t>
      </w:r>
      <w:r>
        <w:rPr>
          <w:rFonts w:ascii="Tw Cen MT Condensed" w:hAnsi="Tw Cen MT Condensed" w:cs="Times New Roman"/>
          <w:sz w:val="28"/>
          <w:szCs w:val="28"/>
        </w:rPr>
        <w:t xml:space="preserve"> </w:t>
      </w:r>
      <w:r w:rsidR="00F00848">
        <w:rPr>
          <w:rFonts w:ascii="Tw Cen MT Condensed" w:hAnsi="Tw Cen MT Condensed" w:cs="Times New Roman"/>
          <w:sz w:val="28"/>
          <w:szCs w:val="28"/>
        </w:rPr>
        <w:t>of unexplained</w:t>
      </w:r>
      <w:r w:rsidRPr="00230074">
        <w:rPr>
          <w:rFonts w:ascii="Tw Cen MT Condensed" w:hAnsi="Tw Cen MT Condensed" w:cs="Times New Roman"/>
          <w:sz w:val="28"/>
          <w:szCs w:val="28"/>
        </w:rPr>
        <w:t xml:space="preserve"> </w:t>
      </w:r>
      <w:r w:rsidRPr="00F00848">
        <w:rPr>
          <w:rFonts w:ascii="Tw Cen MT Condensed" w:hAnsi="Tw Cen MT Condensed" w:cs="Times New Roman"/>
          <w:i/>
          <w:sz w:val="28"/>
          <w:szCs w:val="28"/>
        </w:rPr>
        <w:t>ambient conditions and unspecified or unclassified chemicals</w:t>
      </w:r>
      <w:r w:rsidR="00DB65EF">
        <w:rPr>
          <w:rFonts w:ascii="Tw Cen MT Condensed" w:hAnsi="Tw Cen MT Condensed" w:cs="Times New Roman"/>
          <w:sz w:val="28"/>
          <w:szCs w:val="28"/>
        </w:rPr>
        <w:t xml:space="preserve"> at 16.3 percent</w:t>
      </w:r>
      <w:r w:rsidRPr="00230074">
        <w:rPr>
          <w:rFonts w:ascii="Tw Cen MT Condensed" w:hAnsi="Tw Cen MT Condensed" w:cs="Times New Roman"/>
          <w:sz w:val="28"/>
          <w:szCs w:val="28"/>
        </w:rPr>
        <w:t xml:space="preserve">.  </w:t>
      </w:r>
      <w:r w:rsidR="00F00848">
        <w:rPr>
          <w:rFonts w:ascii="Tw Cen MT Condensed" w:hAnsi="Tw Cen MT Condensed" w:cs="Times New Roman"/>
          <w:sz w:val="28"/>
          <w:szCs w:val="28"/>
        </w:rPr>
        <w:t xml:space="preserve"> Th</w:t>
      </w:r>
      <w:r w:rsidR="00DB65EF">
        <w:rPr>
          <w:rFonts w:ascii="Tw Cen MT Condensed" w:hAnsi="Tw Cen MT Condensed" w:cs="Times New Roman"/>
          <w:sz w:val="28"/>
          <w:szCs w:val="28"/>
        </w:rPr>
        <w:t>is was followed by</w:t>
      </w:r>
      <w:r w:rsidR="00DB65EF" w:rsidRPr="00F00848">
        <w:rPr>
          <w:rFonts w:ascii="Tw Cen MT Condensed" w:hAnsi="Tw Cen MT Condensed" w:cs="Times New Roman"/>
          <w:i/>
          <w:sz w:val="28"/>
          <w:szCs w:val="28"/>
        </w:rPr>
        <w:t xml:space="preserve"> cleaning</w:t>
      </w:r>
      <w:r w:rsidR="004F46F5" w:rsidRPr="00F00848">
        <w:rPr>
          <w:rFonts w:ascii="Tw Cen MT Condensed" w:hAnsi="Tw Cen MT Condensed" w:cs="Times New Roman"/>
          <w:i/>
          <w:sz w:val="28"/>
          <w:szCs w:val="28"/>
        </w:rPr>
        <w:t xml:space="preserve"> and polishing agents</w:t>
      </w:r>
      <w:r w:rsidR="004F46F5" w:rsidRPr="00230074">
        <w:rPr>
          <w:rFonts w:ascii="Tw Cen MT Condensed" w:hAnsi="Tw Cen MT Condensed" w:cs="Times New Roman"/>
          <w:sz w:val="28"/>
          <w:szCs w:val="28"/>
        </w:rPr>
        <w:t xml:space="preserve"> </w:t>
      </w:r>
      <w:r>
        <w:rPr>
          <w:rFonts w:ascii="Tw Cen MT Condensed" w:hAnsi="Tw Cen MT Condensed" w:cs="Times New Roman"/>
          <w:sz w:val="28"/>
          <w:szCs w:val="28"/>
        </w:rPr>
        <w:t xml:space="preserve">at 15 percent, </w:t>
      </w:r>
      <w:r w:rsidR="00DB65EF">
        <w:rPr>
          <w:rFonts w:ascii="Tw Cen MT Condensed" w:hAnsi="Tw Cen MT Condensed" w:cs="Times New Roman"/>
          <w:sz w:val="28"/>
          <w:szCs w:val="28"/>
        </w:rPr>
        <w:t>and</w:t>
      </w:r>
      <w:r>
        <w:rPr>
          <w:rFonts w:ascii="Tw Cen MT Condensed" w:hAnsi="Tw Cen MT Condensed" w:cs="Times New Roman"/>
          <w:sz w:val="28"/>
          <w:szCs w:val="28"/>
        </w:rPr>
        <w:t xml:space="preserve"> </w:t>
      </w:r>
      <w:r w:rsidRPr="00F00848">
        <w:rPr>
          <w:rFonts w:ascii="Tw Cen MT Condensed" w:hAnsi="Tw Cen MT Condensed" w:cs="Times New Roman"/>
          <w:i/>
          <w:sz w:val="28"/>
          <w:szCs w:val="28"/>
        </w:rPr>
        <w:t>mold</w:t>
      </w:r>
      <w:r w:rsidR="00F00848" w:rsidRPr="00F00848">
        <w:rPr>
          <w:rFonts w:ascii="Tw Cen MT Condensed" w:hAnsi="Tw Cen MT Condensed" w:cs="Times New Roman"/>
          <w:i/>
          <w:sz w:val="28"/>
          <w:szCs w:val="28"/>
        </w:rPr>
        <w:t xml:space="preserve"> and </w:t>
      </w:r>
      <w:r w:rsidR="00DB65EF" w:rsidRPr="00F00848">
        <w:rPr>
          <w:rFonts w:ascii="Tw Cen MT Condensed" w:hAnsi="Tw Cen MT Condensed" w:cs="Times New Roman"/>
          <w:i/>
          <w:sz w:val="28"/>
          <w:szCs w:val="28"/>
        </w:rPr>
        <w:t>fungi</w:t>
      </w:r>
      <w:r w:rsidR="00DB65EF">
        <w:rPr>
          <w:rFonts w:ascii="Tw Cen MT Condensed" w:hAnsi="Tw Cen MT Condensed" w:cs="Times New Roman"/>
          <w:sz w:val="28"/>
          <w:szCs w:val="28"/>
        </w:rPr>
        <w:t xml:space="preserve"> at</w:t>
      </w:r>
      <w:r>
        <w:rPr>
          <w:rFonts w:ascii="Tw Cen MT Condensed" w:hAnsi="Tw Cen MT Condensed" w:cs="Times New Roman"/>
          <w:sz w:val="28"/>
          <w:szCs w:val="28"/>
        </w:rPr>
        <w:t xml:space="preserve"> 14.3 percent.  </w:t>
      </w:r>
    </w:p>
    <w:p w:rsidR="004F46F5" w:rsidRPr="004F46F5" w:rsidRDefault="004F46F5" w:rsidP="004F46F5">
      <w:pPr>
        <w:pStyle w:val="ListParagraph"/>
        <w:rPr>
          <w:rFonts w:ascii="Tw Cen MT Condensed" w:hAnsi="Tw Cen MT Condensed" w:cs="Times New Roman"/>
          <w:sz w:val="28"/>
          <w:szCs w:val="28"/>
        </w:rPr>
      </w:pPr>
    </w:p>
    <w:p w:rsidR="004F46F5" w:rsidRPr="004F46F5" w:rsidRDefault="004F46F5" w:rsidP="004F46F5">
      <w:pPr>
        <w:pStyle w:val="ListParagraph"/>
        <w:numPr>
          <w:ilvl w:val="0"/>
          <w:numId w:val="14"/>
        </w:numPr>
        <w:spacing w:after="120" w:line="240" w:lineRule="auto"/>
        <w:rPr>
          <w:rFonts w:ascii="Tw Cen MT Condensed" w:hAnsi="Tw Cen MT Condensed" w:cs="Times New Roman"/>
          <w:sz w:val="28"/>
          <w:szCs w:val="28"/>
        </w:rPr>
      </w:pPr>
      <w:r>
        <w:rPr>
          <w:rFonts w:ascii="Tw Cen MT Condensed" w:hAnsi="Tw Cen MT Condensed" w:cs="Times New Roman"/>
          <w:sz w:val="28"/>
          <w:szCs w:val="28"/>
        </w:rPr>
        <w:t xml:space="preserve">The </w:t>
      </w:r>
      <w:r w:rsidRPr="0092761E">
        <w:rPr>
          <w:rFonts w:ascii="Tw Cen MT Condensed" w:hAnsi="Tw Cen MT Condensed" w:cs="Times New Roman"/>
          <w:b/>
          <w:sz w:val="28"/>
          <w:szCs w:val="28"/>
        </w:rPr>
        <w:t>body part</w:t>
      </w:r>
      <w:r>
        <w:rPr>
          <w:rFonts w:ascii="Tw Cen MT Condensed" w:hAnsi="Tw Cen MT Condensed" w:cs="Times New Roman"/>
          <w:sz w:val="28"/>
          <w:szCs w:val="28"/>
        </w:rPr>
        <w:t xml:space="preserve"> most affected by chemical and microbiological sources was the category called </w:t>
      </w:r>
      <w:r w:rsidRPr="0092761E">
        <w:rPr>
          <w:rFonts w:ascii="Tw Cen MT Condensed" w:hAnsi="Tw Cen MT Condensed" w:cs="Times New Roman"/>
          <w:i/>
          <w:sz w:val="28"/>
          <w:szCs w:val="28"/>
        </w:rPr>
        <w:t>body systems</w:t>
      </w:r>
      <w:r>
        <w:rPr>
          <w:rFonts w:ascii="Tw Cen MT Condensed" w:hAnsi="Tw Cen MT Condensed" w:cs="Times New Roman"/>
          <w:sz w:val="28"/>
          <w:szCs w:val="28"/>
        </w:rPr>
        <w:t xml:space="preserve"> which accounted for the respiratory, digestive and other maladies caused the chemicals and microbes.</w:t>
      </w:r>
      <w:r w:rsidRPr="004F46F5">
        <w:rPr>
          <w:rFonts w:ascii="Tw Cen MT Condensed" w:hAnsi="Tw Cen MT Condensed" w:cs="Times New Roman"/>
          <w:i/>
          <w:sz w:val="28"/>
          <w:szCs w:val="28"/>
        </w:rPr>
        <w:t xml:space="preserve"> </w:t>
      </w:r>
      <w:r>
        <w:rPr>
          <w:rFonts w:ascii="Tw Cen MT Condensed" w:hAnsi="Tw Cen MT Condensed" w:cs="Times New Roman"/>
          <w:i/>
          <w:sz w:val="28"/>
          <w:szCs w:val="28"/>
        </w:rPr>
        <w:t>Chest/</w:t>
      </w:r>
      <w:r w:rsidR="00F00848">
        <w:rPr>
          <w:rFonts w:ascii="Tw Cen MT Condensed" w:hAnsi="Tw Cen MT Condensed" w:cs="Times New Roman"/>
          <w:i/>
          <w:sz w:val="28"/>
          <w:szCs w:val="28"/>
        </w:rPr>
        <w:t>trunk</w:t>
      </w:r>
      <w:r w:rsidR="00F00848">
        <w:rPr>
          <w:rFonts w:ascii="Tw Cen MT Condensed" w:hAnsi="Tw Cen MT Condensed" w:cs="Times New Roman"/>
          <w:sz w:val="28"/>
          <w:szCs w:val="28"/>
        </w:rPr>
        <w:t xml:space="preserve"> was</w:t>
      </w:r>
      <w:r w:rsidR="00B3221F">
        <w:rPr>
          <w:rFonts w:ascii="Tw Cen MT Condensed" w:hAnsi="Tw Cen MT Condensed" w:cs="Times New Roman"/>
          <w:sz w:val="28"/>
          <w:szCs w:val="28"/>
        </w:rPr>
        <w:t xml:space="preserve"> the next most-affected </w:t>
      </w:r>
      <w:r w:rsidR="00DB65EF">
        <w:rPr>
          <w:rFonts w:ascii="Tw Cen MT Condensed" w:hAnsi="Tw Cen MT Condensed" w:cs="Times New Roman"/>
          <w:sz w:val="28"/>
          <w:szCs w:val="28"/>
        </w:rPr>
        <w:t>category of</w:t>
      </w:r>
      <w:r w:rsidR="00F00848">
        <w:rPr>
          <w:rFonts w:ascii="Tw Cen MT Condensed" w:hAnsi="Tw Cen MT Condensed" w:cs="Times New Roman"/>
          <w:sz w:val="28"/>
          <w:szCs w:val="28"/>
        </w:rPr>
        <w:t xml:space="preserve"> body parts</w:t>
      </w:r>
      <w:r w:rsidR="00B3221F">
        <w:rPr>
          <w:rFonts w:ascii="Tw Cen MT Condensed" w:hAnsi="Tw Cen MT Condensed" w:cs="Times New Roman"/>
          <w:sz w:val="28"/>
          <w:szCs w:val="28"/>
        </w:rPr>
        <w:t>.</w:t>
      </w:r>
    </w:p>
    <w:p w:rsidR="004F46F5" w:rsidRPr="004F46F5" w:rsidRDefault="004F46F5" w:rsidP="004F46F5">
      <w:pPr>
        <w:pStyle w:val="ListParagraph"/>
        <w:rPr>
          <w:rFonts w:ascii="Tw Cen MT Condensed" w:hAnsi="Tw Cen MT Condensed" w:cs="Times New Roman"/>
          <w:i/>
          <w:sz w:val="28"/>
          <w:szCs w:val="28"/>
        </w:rPr>
      </w:pPr>
    </w:p>
    <w:p w:rsidR="004F46F5" w:rsidRDefault="004F46F5" w:rsidP="004F46F5">
      <w:pPr>
        <w:pStyle w:val="ListParagraph"/>
        <w:numPr>
          <w:ilvl w:val="0"/>
          <w:numId w:val="14"/>
        </w:numPr>
        <w:spacing w:after="120" w:line="240" w:lineRule="auto"/>
        <w:rPr>
          <w:rFonts w:ascii="Tw Cen MT Condensed" w:hAnsi="Tw Cen MT Condensed" w:cs="Times New Roman"/>
          <w:sz w:val="28"/>
          <w:szCs w:val="28"/>
        </w:rPr>
      </w:pPr>
      <w:r w:rsidRPr="004F46F5">
        <w:rPr>
          <w:rFonts w:ascii="Tw Cen MT Condensed" w:hAnsi="Tw Cen MT Condensed" w:cs="Times New Roman"/>
          <w:sz w:val="28"/>
          <w:szCs w:val="28"/>
        </w:rPr>
        <w:t xml:space="preserve">Office and administrative workers accounted for the largest number of claims by individual </w:t>
      </w:r>
      <w:r w:rsidRPr="004F46F5">
        <w:rPr>
          <w:rFonts w:ascii="Tw Cen MT Condensed" w:hAnsi="Tw Cen MT Condensed" w:cs="Times New Roman"/>
          <w:b/>
          <w:sz w:val="28"/>
          <w:szCs w:val="28"/>
        </w:rPr>
        <w:t xml:space="preserve">occupation </w:t>
      </w:r>
      <w:r w:rsidRPr="004F46F5">
        <w:rPr>
          <w:rFonts w:ascii="Tw Cen MT Condensed" w:hAnsi="Tw Cen MT Condensed" w:cs="Times New Roman"/>
          <w:sz w:val="28"/>
          <w:szCs w:val="28"/>
        </w:rPr>
        <w:t>category with 12.3 percent of the total</w:t>
      </w:r>
      <w:r>
        <w:rPr>
          <w:rFonts w:ascii="Tw Cen MT Condensed" w:hAnsi="Tw Cen MT Condensed" w:cs="Times New Roman"/>
          <w:sz w:val="28"/>
          <w:szCs w:val="28"/>
        </w:rPr>
        <w:t>.  H</w:t>
      </w:r>
      <w:r w:rsidRPr="004F46F5">
        <w:rPr>
          <w:rFonts w:ascii="Tw Cen MT Condensed" w:hAnsi="Tw Cen MT Condensed" w:cs="Times New Roman"/>
          <w:sz w:val="28"/>
          <w:szCs w:val="28"/>
        </w:rPr>
        <w:t>owever</w:t>
      </w:r>
      <w:r w:rsidR="00DB65EF">
        <w:rPr>
          <w:rFonts w:ascii="Tw Cen MT Condensed" w:hAnsi="Tw Cen MT Condensed" w:cs="Times New Roman"/>
          <w:sz w:val="28"/>
          <w:szCs w:val="28"/>
        </w:rPr>
        <w:t>,</w:t>
      </w:r>
      <w:r w:rsidR="00DB65EF" w:rsidRPr="004F46F5">
        <w:rPr>
          <w:rFonts w:ascii="Tw Cen MT Condensed" w:hAnsi="Tw Cen MT Condensed" w:cs="Times New Roman"/>
          <w:sz w:val="28"/>
          <w:szCs w:val="28"/>
        </w:rPr>
        <w:t xml:space="preserve"> the</w:t>
      </w:r>
      <w:r w:rsidRPr="004F46F5">
        <w:rPr>
          <w:rFonts w:ascii="Tw Cen MT Condensed" w:hAnsi="Tw Cen MT Condensed" w:cs="Times New Roman"/>
          <w:sz w:val="28"/>
          <w:szCs w:val="28"/>
        </w:rPr>
        <w:t xml:space="preserve"> two </w:t>
      </w:r>
      <w:r>
        <w:rPr>
          <w:rFonts w:ascii="Tw Cen MT Condensed" w:hAnsi="Tw Cen MT Condensed" w:cs="Times New Roman"/>
          <w:sz w:val="28"/>
          <w:szCs w:val="28"/>
        </w:rPr>
        <w:t xml:space="preserve">occupational </w:t>
      </w:r>
      <w:r w:rsidRPr="004F46F5">
        <w:rPr>
          <w:rFonts w:ascii="Tw Cen MT Condensed" w:hAnsi="Tw Cen MT Condensed" w:cs="Times New Roman"/>
          <w:sz w:val="28"/>
          <w:szCs w:val="28"/>
        </w:rPr>
        <w:t xml:space="preserve">categories </w:t>
      </w:r>
      <w:r>
        <w:rPr>
          <w:rFonts w:ascii="Tw Cen MT Condensed" w:hAnsi="Tw Cen MT Condensed" w:cs="Times New Roman"/>
          <w:sz w:val="28"/>
          <w:szCs w:val="28"/>
        </w:rPr>
        <w:t xml:space="preserve">that </w:t>
      </w:r>
      <w:r w:rsidR="00DB65EF">
        <w:rPr>
          <w:rFonts w:ascii="Tw Cen MT Condensed" w:hAnsi="Tw Cen MT Condensed" w:cs="Times New Roman"/>
          <w:sz w:val="28"/>
          <w:szCs w:val="28"/>
        </w:rPr>
        <w:t xml:space="preserve">comprise </w:t>
      </w:r>
      <w:r w:rsidR="00DB65EF" w:rsidRPr="004F46F5">
        <w:rPr>
          <w:rFonts w:ascii="Tw Cen MT Condensed" w:hAnsi="Tw Cen MT Condensed" w:cs="Times New Roman"/>
          <w:sz w:val="28"/>
          <w:szCs w:val="28"/>
        </w:rPr>
        <w:t>healthcare</w:t>
      </w:r>
      <w:r w:rsidRPr="004F46F5">
        <w:rPr>
          <w:rFonts w:ascii="Tw Cen MT Condensed" w:hAnsi="Tw Cen MT Condensed" w:cs="Times New Roman"/>
          <w:sz w:val="28"/>
          <w:szCs w:val="28"/>
        </w:rPr>
        <w:t xml:space="preserve"> </w:t>
      </w:r>
      <w:r w:rsidR="00DB65EF" w:rsidRPr="004F46F5">
        <w:rPr>
          <w:rFonts w:ascii="Tw Cen MT Condensed" w:hAnsi="Tw Cen MT Condensed" w:cs="Times New Roman"/>
          <w:sz w:val="28"/>
          <w:szCs w:val="28"/>
        </w:rPr>
        <w:t>workers (</w:t>
      </w:r>
      <w:r>
        <w:rPr>
          <w:rFonts w:ascii="Tw Cen MT Condensed" w:hAnsi="Tw Cen MT Condensed" w:cs="Times New Roman"/>
          <w:sz w:val="28"/>
          <w:szCs w:val="28"/>
        </w:rPr>
        <w:t xml:space="preserve">health </w:t>
      </w:r>
      <w:r w:rsidRPr="004F46F5">
        <w:rPr>
          <w:rFonts w:ascii="Tw Cen MT Condensed" w:hAnsi="Tw Cen MT Condensed" w:cs="Times New Roman"/>
          <w:sz w:val="28"/>
          <w:szCs w:val="28"/>
        </w:rPr>
        <w:t xml:space="preserve">practitioners/ technicians and </w:t>
      </w:r>
      <w:r>
        <w:rPr>
          <w:rFonts w:ascii="Tw Cen MT Condensed" w:hAnsi="Tw Cen MT Condensed" w:cs="Times New Roman"/>
          <w:sz w:val="28"/>
          <w:szCs w:val="28"/>
        </w:rPr>
        <w:t xml:space="preserve">healthcare </w:t>
      </w:r>
      <w:r w:rsidRPr="004F46F5">
        <w:rPr>
          <w:rFonts w:ascii="Tw Cen MT Condensed" w:hAnsi="Tw Cen MT Condensed" w:cs="Times New Roman"/>
          <w:sz w:val="28"/>
          <w:szCs w:val="28"/>
        </w:rPr>
        <w:t>support workers)</w:t>
      </w:r>
      <w:r w:rsidR="003010A5">
        <w:rPr>
          <w:rFonts w:ascii="Tw Cen MT Condensed" w:hAnsi="Tw Cen MT Condensed" w:cs="Times New Roman"/>
          <w:sz w:val="28"/>
          <w:szCs w:val="28"/>
        </w:rPr>
        <w:t>,</w:t>
      </w:r>
      <w:r w:rsidRPr="004F46F5">
        <w:rPr>
          <w:rFonts w:ascii="Tw Cen MT Condensed" w:hAnsi="Tw Cen MT Condensed" w:cs="Times New Roman"/>
          <w:sz w:val="28"/>
          <w:szCs w:val="28"/>
        </w:rPr>
        <w:t xml:space="preserve"> </w:t>
      </w:r>
      <w:r>
        <w:rPr>
          <w:rFonts w:ascii="Tw Cen MT Condensed" w:hAnsi="Tw Cen MT Condensed" w:cs="Times New Roman"/>
          <w:sz w:val="28"/>
          <w:szCs w:val="28"/>
        </w:rPr>
        <w:t>if combined</w:t>
      </w:r>
      <w:r w:rsidR="003010A5">
        <w:rPr>
          <w:rFonts w:ascii="Tw Cen MT Condensed" w:hAnsi="Tw Cen MT Condensed" w:cs="Times New Roman"/>
          <w:sz w:val="28"/>
          <w:szCs w:val="28"/>
        </w:rPr>
        <w:t>,</w:t>
      </w:r>
      <w:r>
        <w:rPr>
          <w:rFonts w:ascii="Tw Cen MT Condensed" w:hAnsi="Tw Cen MT Condensed" w:cs="Times New Roman"/>
          <w:sz w:val="28"/>
          <w:szCs w:val="28"/>
        </w:rPr>
        <w:t xml:space="preserve"> would be</w:t>
      </w:r>
      <w:r w:rsidRPr="004F46F5">
        <w:rPr>
          <w:rFonts w:ascii="Tw Cen MT Condensed" w:hAnsi="Tw Cen MT Condensed" w:cs="Times New Roman"/>
          <w:sz w:val="28"/>
          <w:szCs w:val="28"/>
        </w:rPr>
        <w:t xml:space="preserve"> the largest group at 15.8 percent</w:t>
      </w:r>
      <w:r>
        <w:rPr>
          <w:rFonts w:ascii="Tw Cen MT Condensed" w:hAnsi="Tw Cen MT Condensed" w:cs="Times New Roman"/>
          <w:sz w:val="28"/>
          <w:szCs w:val="28"/>
        </w:rPr>
        <w:t>.</w:t>
      </w:r>
    </w:p>
    <w:p w:rsidR="004F46F5" w:rsidRPr="004F46F5" w:rsidRDefault="004F46F5" w:rsidP="004F46F5">
      <w:pPr>
        <w:pStyle w:val="ListParagraph"/>
        <w:rPr>
          <w:rFonts w:ascii="Tw Cen MT Condensed" w:hAnsi="Tw Cen MT Condensed" w:cs="Times New Roman"/>
          <w:sz w:val="28"/>
          <w:szCs w:val="28"/>
        </w:rPr>
      </w:pPr>
    </w:p>
    <w:p w:rsidR="004F46F5" w:rsidRPr="004F46F5" w:rsidRDefault="00F00848" w:rsidP="004F46F5">
      <w:pPr>
        <w:pStyle w:val="ListParagraph"/>
        <w:numPr>
          <w:ilvl w:val="0"/>
          <w:numId w:val="14"/>
        </w:numPr>
        <w:spacing w:after="120" w:line="240" w:lineRule="auto"/>
        <w:rPr>
          <w:rFonts w:ascii="Tw Cen MT Condensed" w:hAnsi="Tw Cen MT Condensed" w:cs="Times New Roman"/>
          <w:sz w:val="28"/>
          <w:szCs w:val="28"/>
        </w:rPr>
      </w:pPr>
      <w:r>
        <w:rPr>
          <w:rFonts w:ascii="Tw Cen MT Condensed" w:hAnsi="Tw Cen MT Condensed" w:cs="Times New Roman"/>
          <w:sz w:val="28"/>
          <w:szCs w:val="28"/>
        </w:rPr>
        <w:t>I</w:t>
      </w:r>
      <w:r w:rsidR="004F46F5" w:rsidRPr="004F46F5">
        <w:rPr>
          <w:rFonts w:ascii="Tw Cen MT Condensed" w:hAnsi="Tw Cen MT Condensed" w:cs="Times New Roman"/>
          <w:sz w:val="28"/>
          <w:szCs w:val="28"/>
        </w:rPr>
        <w:t xml:space="preserve">njury and illness claims were distributed evenly amongst a sizeable number of </w:t>
      </w:r>
      <w:r w:rsidR="004F46F5" w:rsidRPr="004F46F5">
        <w:rPr>
          <w:rFonts w:ascii="Tw Cen MT Condensed" w:hAnsi="Tw Cen MT Condensed" w:cs="Times New Roman"/>
          <w:b/>
          <w:sz w:val="28"/>
          <w:szCs w:val="28"/>
        </w:rPr>
        <w:t>industry</w:t>
      </w:r>
      <w:r w:rsidR="004F46F5" w:rsidRPr="004F46F5">
        <w:rPr>
          <w:rFonts w:ascii="Tw Cen MT Condensed" w:hAnsi="Tw Cen MT Condensed" w:cs="Times New Roman"/>
          <w:sz w:val="28"/>
          <w:szCs w:val="28"/>
        </w:rPr>
        <w:t xml:space="preserve"> types</w:t>
      </w:r>
      <w:r w:rsidR="004F46F5" w:rsidRPr="004F46F5">
        <w:rPr>
          <w:rFonts w:ascii="Tw Cen MT Condensed" w:hAnsi="Tw Cen MT Condensed" w:cs="Times New Roman"/>
          <w:i/>
          <w:sz w:val="28"/>
          <w:szCs w:val="28"/>
        </w:rPr>
        <w:t>.  Hospitals</w:t>
      </w:r>
      <w:r w:rsidR="004F46F5" w:rsidRPr="004F46F5">
        <w:rPr>
          <w:rFonts w:ascii="Tw Cen MT Condensed" w:hAnsi="Tw Cen MT Condensed" w:cs="Times New Roman"/>
          <w:sz w:val="28"/>
          <w:szCs w:val="28"/>
        </w:rPr>
        <w:t xml:space="preserve"> accounted for the largest number of claims</w:t>
      </w:r>
      <w:r>
        <w:rPr>
          <w:rFonts w:ascii="Tw Cen MT Condensed" w:hAnsi="Tw Cen MT Condensed" w:cs="Times New Roman"/>
          <w:sz w:val="28"/>
          <w:szCs w:val="28"/>
        </w:rPr>
        <w:t xml:space="preserve"> at 13.5 percent </w:t>
      </w:r>
      <w:r w:rsidRPr="004F46F5">
        <w:rPr>
          <w:rFonts w:ascii="Tw Cen MT Condensed" w:hAnsi="Tw Cen MT Condensed" w:cs="Times New Roman"/>
          <w:sz w:val="28"/>
          <w:szCs w:val="28"/>
        </w:rPr>
        <w:t>followed</w:t>
      </w:r>
      <w:r w:rsidR="004F46F5" w:rsidRPr="004F46F5">
        <w:rPr>
          <w:rFonts w:ascii="Tw Cen MT Condensed" w:hAnsi="Tw Cen MT Condensed" w:cs="Times New Roman"/>
          <w:sz w:val="28"/>
          <w:szCs w:val="28"/>
        </w:rPr>
        <w:t xml:space="preserve"> </w:t>
      </w:r>
      <w:r w:rsidR="004F46F5" w:rsidRPr="004F46F5">
        <w:rPr>
          <w:rFonts w:ascii="Tw Cen MT Condensed" w:hAnsi="Tw Cen MT Condensed" w:cs="Times New Roman"/>
          <w:i/>
          <w:sz w:val="28"/>
          <w:szCs w:val="28"/>
        </w:rPr>
        <w:t>public administration, education</w:t>
      </w:r>
      <w:r w:rsidR="004F46F5" w:rsidRPr="004F46F5">
        <w:rPr>
          <w:rFonts w:ascii="Tw Cen MT Condensed" w:hAnsi="Tw Cen MT Condensed" w:cs="Times New Roman"/>
          <w:sz w:val="28"/>
          <w:szCs w:val="28"/>
        </w:rPr>
        <w:t xml:space="preserve"> and </w:t>
      </w:r>
      <w:r w:rsidR="004F46F5" w:rsidRPr="004F46F5">
        <w:rPr>
          <w:rFonts w:ascii="Tw Cen MT Condensed" w:hAnsi="Tw Cen MT Condensed" w:cs="Times New Roman"/>
          <w:i/>
          <w:sz w:val="28"/>
          <w:szCs w:val="28"/>
        </w:rPr>
        <w:t>manufacturing</w:t>
      </w:r>
      <w:r w:rsidR="004F46F5" w:rsidRPr="004F46F5">
        <w:rPr>
          <w:rFonts w:ascii="Tw Cen MT Condensed" w:hAnsi="Tw Cen MT Condensed" w:cs="Times New Roman"/>
          <w:sz w:val="28"/>
          <w:szCs w:val="28"/>
        </w:rPr>
        <w:t>.</w:t>
      </w:r>
    </w:p>
    <w:p w:rsidR="004F46F5" w:rsidRDefault="004F46F5" w:rsidP="004F46F5">
      <w:pPr>
        <w:pStyle w:val="ListParagraph"/>
        <w:spacing w:after="120" w:line="240" w:lineRule="auto"/>
        <w:rPr>
          <w:rFonts w:ascii="Tw Cen MT Condensed" w:hAnsi="Tw Cen MT Condensed" w:cs="Times New Roman"/>
          <w:sz w:val="28"/>
          <w:szCs w:val="28"/>
        </w:rPr>
      </w:pPr>
    </w:p>
    <w:p w:rsidR="00E364FD" w:rsidRPr="00611B1B" w:rsidRDefault="00772207" w:rsidP="00A7155F">
      <w:pPr>
        <w:pStyle w:val="ListParagraph"/>
        <w:numPr>
          <w:ilvl w:val="0"/>
          <w:numId w:val="14"/>
        </w:numPr>
        <w:spacing w:after="120" w:line="240" w:lineRule="auto"/>
        <w:rPr>
          <w:rFonts w:ascii="Tw Cen MT Condensed" w:hAnsi="Tw Cen MT Condensed" w:cs="Times New Roman"/>
          <w:sz w:val="28"/>
          <w:szCs w:val="28"/>
        </w:rPr>
      </w:pPr>
      <w:r>
        <w:rPr>
          <w:rFonts w:ascii="Tw Cen MT Condensed" w:hAnsi="Tw Cen MT Condensed" w:cs="Times New Roman"/>
          <w:sz w:val="28"/>
          <w:szCs w:val="28"/>
        </w:rPr>
        <w:t xml:space="preserve">Of the </w:t>
      </w:r>
      <w:r w:rsidR="00E364FD" w:rsidRPr="00611B1B">
        <w:rPr>
          <w:rFonts w:ascii="Tw Cen MT Condensed" w:hAnsi="Tw Cen MT Condensed" w:cs="Times New Roman"/>
          <w:sz w:val="28"/>
          <w:szCs w:val="28"/>
        </w:rPr>
        <w:t xml:space="preserve">Workers’ Compensation claims for chemical and </w:t>
      </w:r>
      <w:r w:rsidR="008323BD">
        <w:rPr>
          <w:rFonts w:ascii="Tw Cen MT Condensed" w:hAnsi="Tw Cen MT Condensed" w:cs="Times New Roman"/>
          <w:sz w:val="28"/>
          <w:szCs w:val="28"/>
        </w:rPr>
        <w:t>related</w:t>
      </w:r>
      <w:r w:rsidR="00F00848">
        <w:rPr>
          <w:rFonts w:ascii="Tw Cen MT Condensed" w:hAnsi="Tw Cen MT Condensed" w:cs="Times New Roman"/>
          <w:sz w:val="28"/>
          <w:szCs w:val="28"/>
        </w:rPr>
        <w:t xml:space="preserve"> </w:t>
      </w:r>
      <w:r w:rsidR="00E364FD" w:rsidRPr="00611B1B">
        <w:rPr>
          <w:rFonts w:ascii="Tw Cen MT Condensed" w:hAnsi="Tw Cen MT Condensed" w:cs="Times New Roman"/>
          <w:sz w:val="28"/>
          <w:szCs w:val="28"/>
        </w:rPr>
        <w:t>injuries and illness</w:t>
      </w:r>
      <w:r w:rsidR="00DB65EF">
        <w:rPr>
          <w:rFonts w:ascii="Tw Cen MT Condensed" w:hAnsi="Tw Cen MT Condensed" w:cs="Times New Roman"/>
          <w:sz w:val="28"/>
          <w:szCs w:val="28"/>
        </w:rPr>
        <w:t>es</w:t>
      </w:r>
      <w:r w:rsidR="00E364FD" w:rsidRPr="00611B1B">
        <w:rPr>
          <w:rFonts w:ascii="Tw Cen MT Condensed" w:hAnsi="Tw Cen MT Condensed" w:cs="Times New Roman"/>
          <w:sz w:val="28"/>
          <w:szCs w:val="28"/>
        </w:rPr>
        <w:t xml:space="preserve"> in 2012</w:t>
      </w:r>
      <w:r w:rsidR="003010A5">
        <w:rPr>
          <w:rFonts w:ascii="Tw Cen MT Condensed" w:hAnsi="Tw Cen MT Condensed" w:cs="Times New Roman"/>
          <w:sz w:val="28"/>
          <w:szCs w:val="28"/>
        </w:rPr>
        <w:t>–</w:t>
      </w:r>
      <w:r w:rsidR="00E364FD" w:rsidRPr="00611B1B">
        <w:rPr>
          <w:rFonts w:ascii="Tw Cen MT Condensed" w:hAnsi="Tw Cen MT Condensed" w:cs="Times New Roman"/>
          <w:sz w:val="28"/>
          <w:szCs w:val="28"/>
        </w:rPr>
        <w:t>2013</w:t>
      </w:r>
      <w:r>
        <w:rPr>
          <w:rFonts w:ascii="Tw Cen MT Condensed" w:hAnsi="Tw Cen MT Condensed" w:cs="Times New Roman"/>
          <w:sz w:val="28"/>
          <w:szCs w:val="28"/>
        </w:rPr>
        <w:t>, roughly 12</w:t>
      </w:r>
      <w:r w:rsidR="00E364FD" w:rsidRPr="00611B1B">
        <w:rPr>
          <w:rFonts w:ascii="Tw Cen MT Condensed" w:hAnsi="Tw Cen MT Condensed" w:cs="Times New Roman"/>
          <w:sz w:val="28"/>
          <w:szCs w:val="28"/>
        </w:rPr>
        <w:t xml:space="preserve"> percent resulted in the payme</w:t>
      </w:r>
      <w:r w:rsidR="00F00848">
        <w:rPr>
          <w:rFonts w:ascii="Tw Cen MT Condensed" w:hAnsi="Tw Cen MT Condensed" w:cs="Times New Roman"/>
          <w:sz w:val="28"/>
          <w:szCs w:val="28"/>
        </w:rPr>
        <w:t>nt of employee wage replacement</w:t>
      </w:r>
      <w:r w:rsidR="00E364FD" w:rsidRPr="00611B1B">
        <w:rPr>
          <w:rFonts w:ascii="Tw Cen MT Condensed" w:hAnsi="Tw Cen MT Condensed" w:cs="Times New Roman"/>
          <w:sz w:val="28"/>
          <w:szCs w:val="28"/>
        </w:rPr>
        <w:t xml:space="preserve"> benefits and other claim-related costs.</w:t>
      </w:r>
    </w:p>
    <w:p w:rsidR="00E364FD" w:rsidRPr="00611B1B" w:rsidRDefault="00E364FD" w:rsidP="00A7155F">
      <w:pPr>
        <w:pStyle w:val="ListParagraph"/>
        <w:spacing w:after="120" w:line="240" w:lineRule="auto"/>
        <w:rPr>
          <w:rFonts w:ascii="Tw Cen MT Condensed" w:hAnsi="Tw Cen MT Condensed" w:cs="Times New Roman"/>
          <w:sz w:val="28"/>
          <w:szCs w:val="28"/>
        </w:rPr>
      </w:pPr>
    </w:p>
    <w:p w:rsidR="00230074" w:rsidRPr="004F46F5" w:rsidRDefault="00772207" w:rsidP="004F46F5">
      <w:pPr>
        <w:pStyle w:val="ListParagraph"/>
        <w:numPr>
          <w:ilvl w:val="0"/>
          <w:numId w:val="14"/>
        </w:numPr>
        <w:spacing w:after="120" w:line="240" w:lineRule="auto"/>
        <w:rPr>
          <w:rFonts w:ascii="Tw Cen MT Condensed" w:hAnsi="Tw Cen MT Condensed" w:cs="Times New Roman"/>
          <w:sz w:val="28"/>
          <w:szCs w:val="28"/>
        </w:rPr>
      </w:pPr>
      <w:r>
        <w:rPr>
          <w:rFonts w:ascii="Tw Cen MT Condensed" w:hAnsi="Tw Cen MT Condensed" w:cs="Times New Roman"/>
          <w:sz w:val="28"/>
          <w:szCs w:val="28"/>
        </w:rPr>
        <w:t>C</w:t>
      </w:r>
      <w:r w:rsidR="00E364FD" w:rsidRPr="00611B1B">
        <w:rPr>
          <w:rFonts w:ascii="Tw Cen MT Condensed" w:hAnsi="Tw Cen MT Condensed" w:cs="Times New Roman"/>
          <w:sz w:val="28"/>
          <w:szCs w:val="28"/>
        </w:rPr>
        <w:t>hemical/</w:t>
      </w:r>
      <w:r w:rsidR="008323BD">
        <w:rPr>
          <w:rFonts w:ascii="Tw Cen MT Condensed" w:hAnsi="Tw Cen MT Condensed" w:cs="Times New Roman"/>
          <w:sz w:val="28"/>
          <w:szCs w:val="28"/>
        </w:rPr>
        <w:t>related</w:t>
      </w:r>
      <w:r>
        <w:rPr>
          <w:rFonts w:ascii="Tw Cen MT Condensed" w:hAnsi="Tw Cen MT Condensed" w:cs="Times New Roman"/>
          <w:sz w:val="28"/>
          <w:szCs w:val="28"/>
        </w:rPr>
        <w:t xml:space="preserve"> claims</w:t>
      </w:r>
      <w:r w:rsidR="00F00848">
        <w:rPr>
          <w:rFonts w:ascii="Tw Cen MT Condensed" w:hAnsi="Tw Cen MT Condensed" w:cs="Times New Roman"/>
          <w:sz w:val="28"/>
          <w:szCs w:val="28"/>
        </w:rPr>
        <w:t xml:space="preserve"> over the two years</w:t>
      </w:r>
      <w:r>
        <w:rPr>
          <w:rFonts w:ascii="Tw Cen MT Condensed" w:hAnsi="Tw Cen MT Condensed" w:cs="Times New Roman"/>
          <w:sz w:val="28"/>
          <w:szCs w:val="28"/>
        </w:rPr>
        <w:t xml:space="preserve"> incurred </w:t>
      </w:r>
      <w:r w:rsidR="00E364FD" w:rsidRPr="00611B1B">
        <w:rPr>
          <w:rFonts w:ascii="Tw Cen MT Condensed" w:hAnsi="Tw Cen MT Condensed" w:cs="Times New Roman"/>
          <w:sz w:val="28"/>
          <w:szCs w:val="28"/>
        </w:rPr>
        <w:t>$</w:t>
      </w:r>
      <w:r w:rsidR="00A7155F" w:rsidRPr="00611B1B">
        <w:rPr>
          <w:rFonts w:ascii="Tw Cen MT Condensed" w:hAnsi="Tw Cen MT Condensed" w:cs="Times New Roman"/>
          <w:sz w:val="28"/>
          <w:szCs w:val="28"/>
        </w:rPr>
        <w:t>665,564.22 in</w:t>
      </w:r>
      <w:r w:rsidR="00E364FD" w:rsidRPr="00611B1B">
        <w:rPr>
          <w:rFonts w:ascii="Tw Cen MT Condensed" w:hAnsi="Tw Cen MT Condensed" w:cs="Times New Roman"/>
          <w:sz w:val="28"/>
          <w:szCs w:val="28"/>
        </w:rPr>
        <w:t xml:space="preserve"> combined </w:t>
      </w:r>
      <w:r w:rsidR="00A90828" w:rsidRPr="00611B1B">
        <w:rPr>
          <w:rFonts w:ascii="Tw Cen MT Condensed" w:hAnsi="Tw Cen MT Condensed" w:cs="Times New Roman"/>
          <w:sz w:val="28"/>
          <w:szCs w:val="28"/>
        </w:rPr>
        <w:t>medical,</w:t>
      </w:r>
      <w:r w:rsidR="004102A5">
        <w:rPr>
          <w:rFonts w:ascii="Tw Cen MT Condensed" w:hAnsi="Tw Cen MT Condensed" w:cs="Times New Roman"/>
          <w:sz w:val="28"/>
          <w:szCs w:val="28"/>
        </w:rPr>
        <w:t xml:space="preserve"> </w:t>
      </w:r>
      <w:r w:rsidR="00726D04" w:rsidRPr="00611B1B">
        <w:rPr>
          <w:rFonts w:ascii="Tw Cen MT Condensed" w:hAnsi="Tw Cen MT Condensed" w:cs="Times New Roman"/>
          <w:sz w:val="28"/>
          <w:szCs w:val="28"/>
        </w:rPr>
        <w:t xml:space="preserve">wage replacement </w:t>
      </w:r>
      <w:r w:rsidR="004102A5">
        <w:rPr>
          <w:rFonts w:ascii="Tw Cen MT Condensed" w:hAnsi="Tw Cen MT Condensed" w:cs="Times New Roman"/>
          <w:sz w:val="28"/>
          <w:szCs w:val="28"/>
        </w:rPr>
        <w:t xml:space="preserve">and </w:t>
      </w:r>
      <w:r w:rsidR="008323BD">
        <w:rPr>
          <w:rFonts w:ascii="Tw Cen MT Condensed" w:hAnsi="Tw Cen MT Condensed" w:cs="Times New Roman"/>
          <w:sz w:val="28"/>
          <w:szCs w:val="28"/>
        </w:rPr>
        <w:t>related</w:t>
      </w:r>
      <w:r w:rsidR="004102A5">
        <w:rPr>
          <w:rFonts w:ascii="Tw Cen MT Condensed" w:hAnsi="Tw Cen MT Condensed" w:cs="Times New Roman"/>
          <w:sz w:val="28"/>
          <w:szCs w:val="28"/>
        </w:rPr>
        <w:t xml:space="preserve"> </w:t>
      </w:r>
      <w:r w:rsidR="00726D04" w:rsidRPr="00611B1B">
        <w:rPr>
          <w:rFonts w:ascii="Tw Cen MT Condensed" w:hAnsi="Tw Cen MT Condensed" w:cs="Times New Roman"/>
          <w:sz w:val="28"/>
          <w:szCs w:val="28"/>
        </w:rPr>
        <w:t xml:space="preserve">costs. </w:t>
      </w:r>
    </w:p>
    <w:p w:rsidR="00230074" w:rsidRPr="00230074" w:rsidRDefault="00230074" w:rsidP="00230074">
      <w:pPr>
        <w:pStyle w:val="ListParagraph"/>
        <w:rPr>
          <w:rFonts w:ascii="Tw Cen MT Condensed" w:hAnsi="Tw Cen MT Condensed" w:cs="Times New Roman"/>
          <w:sz w:val="28"/>
          <w:szCs w:val="28"/>
        </w:rPr>
      </w:pPr>
    </w:p>
    <w:p w:rsidR="00A06570" w:rsidRPr="00A06570" w:rsidRDefault="00A06570" w:rsidP="00A06570">
      <w:pPr>
        <w:pStyle w:val="ListParagraph"/>
        <w:rPr>
          <w:rFonts w:ascii="Tw Cen MT Condensed" w:hAnsi="Tw Cen MT Condensed" w:cs="Times New Roman"/>
          <w:sz w:val="28"/>
          <w:szCs w:val="28"/>
        </w:rPr>
      </w:pPr>
    </w:p>
    <w:p w:rsidR="00A06570" w:rsidRDefault="00A06570" w:rsidP="00A06570">
      <w:pPr>
        <w:pStyle w:val="ListParagraph"/>
        <w:spacing w:after="120" w:line="240" w:lineRule="auto"/>
        <w:jc w:val="center"/>
        <w:rPr>
          <w:rFonts w:ascii="Tw Cen MT Condensed" w:hAnsi="Tw Cen MT Condensed" w:cs="Times New Roman"/>
          <w:sz w:val="28"/>
          <w:szCs w:val="28"/>
        </w:rPr>
      </w:pPr>
    </w:p>
    <w:p w:rsidR="00604C73" w:rsidRDefault="00604C73" w:rsidP="00A06570">
      <w:pPr>
        <w:pStyle w:val="ListParagraph"/>
        <w:spacing w:after="120" w:line="240" w:lineRule="auto"/>
        <w:jc w:val="center"/>
        <w:rPr>
          <w:rFonts w:ascii="Tw Cen MT Condensed" w:hAnsi="Tw Cen MT Condensed" w:cs="Times New Roman"/>
          <w:sz w:val="28"/>
          <w:szCs w:val="28"/>
        </w:rPr>
      </w:pPr>
    </w:p>
    <w:p w:rsidR="00702115" w:rsidRDefault="00702115">
      <w:pPr>
        <w:spacing w:after="0"/>
        <w:rPr>
          <w:rFonts w:ascii="Tw Cen MT Condensed" w:eastAsiaTheme="minorHAnsi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br w:type="page"/>
      </w:r>
    </w:p>
    <w:p w:rsidR="00543A07" w:rsidRPr="00611B1B" w:rsidRDefault="00543A07" w:rsidP="00A06570">
      <w:pPr>
        <w:pStyle w:val="ListParagraph"/>
        <w:spacing w:after="120" w:line="240" w:lineRule="auto"/>
        <w:jc w:val="center"/>
        <w:rPr>
          <w:rFonts w:ascii="Tw Cen MT Condensed" w:hAnsi="Tw Cen MT Condensed" w:cs="Times New Roman"/>
          <w:sz w:val="28"/>
          <w:szCs w:val="28"/>
        </w:rPr>
      </w:pPr>
    </w:p>
    <w:p w:rsidR="00E364FD" w:rsidRPr="00145C30" w:rsidRDefault="00E364FD" w:rsidP="00F74019">
      <w:pPr>
        <w:pStyle w:val="Heading2"/>
      </w:pPr>
      <w:r w:rsidRPr="00145C30">
        <w:t>REFERENCES</w:t>
      </w:r>
    </w:p>
    <w:p w:rsidR="00B927D0" w:rsidRDefault="00B927D0" w:rsidP="00B927D0">
      <w:pPr>
        <w:pStyle w:val="ListParagraph"/>
        <w:rPr>
          <w:rFonts w:ascii="Tw Cen MT Condensed" w:hAnsi="Tw Cen MT Condensed" w:cs="Times New Roman"/>
          <w:sz w:val="28"/>
          <w:szCs w:val="28"/>
        </w:rPr>
      </w:pPr>
    </w:p>
    <w:p w:rsidR="00E364FD" w:rsidRDefault="00E364FD" w:rsidP="00E364FD">
      <w:pPr>
        <w:pStyle w:val="ListParagraph"/>
        <w:numPr>
          <w:ilvl w:val="0"/>
          <w:numId w:val="13"/>
        </w:numPr>
        <w:rPr>
          <w:rFonts w:ascii="Tw Cen MT Condensed" w:hAnsi="Tw Cen MT Condensed" w:cs="Times New Roman"/>
          <w:sz w:val="28"/>
          <w:szCs w:val="28"/>
        </w:rPr>
      </w:pPr>
      <w:r w:rsidRPr="00611B1B">
        <w:rPr>
          <w:rFonts w:ascii="Tw Cen MT Condensed" w:hAnsi="Tw Cen MT Condensed" w:cs="Times New Roman"/>
          <w:sz w:val="28"/>
          <w:szCs w:val="28"/>
        </w:rPr>
        <w:t>Maine Workers’ Compensation Board.  Selected 2012–2013 employee lost time claims data.</w:t>
      </w:r>
      <w:r w:rsidR="00F00848">
        <w:rPr>
          <w:rFonts w:ascii="Tw Cen MT Condensed" w:hAnsi="Tw Cen MT Condensed" w:cs="Times New Roman"/>
          <w:sz w:val="28"/>
          <w:szCs w:val="28"/>
        </w:rPr>
        <w:t xml:space="preserve">  Data were selected based on </w:t>
      </w:r>
      <w:r w:rsidR="00A431D8">
        <w:rPr>
          <w:rFonts w:ascii="Tw Cen MT Condensed" w:hAnsi="Tw Cen MT Condensed" w:cs="Times New Roman"/>
          <w:b/>
          <w:sz w:val="28"/>
          <w:szCs w:val="28"/>
        </w:rPr>
        <w:t>s</w:t>
      </w:r>
      <w:r w:rsidR="00F00848" w:rsidRPr="00F00848">
        <w:rPr>
          <w:rFonts w:ascii="Tw Cen MT Condensed" w:hAnsi="Tw Cen MT Condensed" w:cs="Times New Roman"/>
          <w:b/>
          <w:sz w:val="28"/>
          <w:szCs w:val="28"/>
        </w:rPr>
        <w:t>everity</w:t>
      </w:r>
      <w:r w:rsidR="00A431D8">
        <w:rPr>
          <w:rFonts w:ascii="Tw Cen MT Condensed" w:hAnsi="Tw Cen MT Condensed" w:cs="Times New Roman"/>
          <w:sz w:val="28"/>
          <w:szCs w:val="28"/>
        </w:rPr>
        <w:t xml:space="preserve"> </w:t>
      </w:r>
      <w:r w:rsidR="00F00848">
        <w:rPr>
          <w:rFonts w:ascii="Tw Cen MT Condensed" w:hAnsi="Tw Cen MT Condensed" w:cs="Times New Roman"/>
          <w:sz w:val="28"/>
          <w:szCs w:val="28"/>
        </w:rPr>
        <w:t xml:space="preserve">and </w:t>
      </w:r>
      <w:r w:rsidR="00F00848" w:rsidRPr="00F00848">
        <w:rPr>
          <w:rFonts w:ascii="Tw Cen MT Condensed" w:hAnsi="Tw Cen MT Condensed" w:cs="Times New Roman"/>
          <w:b/>
          <w:sz w:val="28"/>
          <w:szCs w:val="28"/>
        </w:rPr>
        <w:t>source</w:t>
      </w:r>
      <w:r w:rsidR="00F00848">
        <w:rPr>
          <w:rFonts w:ascii="Tw Cen MT Condensed" w:hAnsi="Tw Cen MT Condensed" w:cs="Times New Roman"/>
          <w:sz w:val="28"/>
          <w:szCs w:val="28"/>
        </w:rPr>
        <w:t xml:space="preserve">.  These </w:t>
      </w:r>
      <w:r w:rsidR="00A431D8">
        <w:rPr>
          <w:rFonts w:ascii="Tw Cen MT Condensed" w:hAnsi="Tw Cen MT Condensed" w:cs="Times New Roman"/>
          <w:sz w:val="28"/>
          <w:szCs w:val="28"/>
        </w:rPr>
        <w:t xml:space="preserve">include: </w:t>
      </w:r>
      <w:r w:rsidR="00A431D8" w:rsidRPr="00A431D8">
        <w:rPr>
          <w:rFonts w:ascii="Tw Cen MT Condensed" w:hAnsi="Tw Cen MT Condensed" w:cs="Times New Roman"/>
          <w:i/>
          <w:sz w:val="28"/>
          <w:szCs w:val="28"/>
        </w:rPr>
        <w:t>Severity Codes 1 and 2</w:t>
      </w:r>
      <w:r w:rsidR="00A431D8">
        <w:rPr>
          <w:rFonts w:ascii="Tw Cen MT Condensed" w:hAnsi="Tw Cen MT Condensed" w:cs="Times New Roman"/>
          <w:sz w:val="28"/>
          <w:szCs w:val="28"/>
        </w:rPr>
        <w:t xml:space="preserve"> </w:t>
      </w:r>
      <w:r w:rsidR="003010A5">
        <w:rPr>
          <w:rFonts w:ascii="Tw Cen MT Condensed" w:hAnsi="Tw Cen MT Condensed" w:cs="Times New Roman"/>
          <w:sz w:val="28"/>
          <w:szCs w:val="28"/>
        </w:rPr>
        <w:t xml:space="preserve"> for fatalities (none) and lost-</w:t>
      </w:r>
      <w:r w:rsidR="00A431D8">
        <w:rPr>
          <w:rFonts w:ascii="Tw Cen MT Condensed" w:hAnsi="Tw Cen MT Condensed" w:cs="Times New Roman"/>
          <w:sz w:val="28"/>
          <w:szCs w:val="28"/>
        </w:rPr>
        <w:t>time injuries</w:t>
      </w:r>
      <w:r w:rsidR="003010A5">
        <w:rPr>
          <w:rFonts w:ascii="Tw Cen MT Condensed" w:hAnsi="Tw Cen MT Condensed" w:cs="Times New Roman"/>
          <w:sz w:val="28"/>
          <w:szCs w:val="28"/>
        </w:rPr>
        <w:t xml:space="preserve">, </w:t>
      </w:r>
      <w:r w:rsidR="00A431D8" w:rsidRPr="00A431D8">
        <w:rPr>
          <w:rFonts w:ascii="Tw Cen MT Condensed" w:hAnsi="Tw Cen MT Condensed" w:cs="Times New Roman"/>
          <w:i/>
          <w:sz w:val="28"/>
          <w:szCs w:val="28"/>
        </w:rPr>
        <w:t>Source</w:t>
      </w:r>
      <w:r w:rsidR="00F00848" w:rsidRPr="00A431D8">
        <w:rPr>
          <w:rFonts w:ascii="Tw Cen MT Condensed" w:hAnsi="Tw Cen MT Condensed" w:cs="Times New Roman"/>
          <w:i/>
          <w:sz w:val="28"/>
          <w:szCs w:val="28"/>
        </w:rPr>
        <w:t xml:space="preserve"> Code </w:t>
      </w:r>
      <w:r w:rsidR="00A431D8" w:rsidRPr="00A431D8">
        <w:rPr>
          <w:rFonts w:ascii="Tw Cen MT Condensed" w:hAnsi="Tw Cen MT Condensed" w:cs="Times New Roman"/>
          <w:i/>
          <w:sz w:val="28"/>
          <w:szCs w:val="28"/>
        </w:rPr>
        <w:t>1</w:t>
      </w:r>
      <w:r w:rsidR="00F00848" w:rsidRPr="00A431D8">
        <w:rPr>
          <w:rFonts w:ascii="Tw Cen MT Condensed" w:hAnsi="Tw Cen MT Condensed" w:cs="Times New Roman"/>
          <w:i/>
          <w:sz w:val="28"/>
          <w:szCs w:val="28"/>
        </w:rPr>
        <w:t>series</w:t>
      </w:r>
      <w:r w:rsidR="00F00848">
        <w:rPr>
          <w:rFonts w:ascii="Tw Cen MT Condensed" w:hAnsi="Tw Cen MT Condensed" w:cs="Times New Roman"/>
          <w:sz w:val="28"/>
          <w:szCs w:val="28"/>
        </w:rPr>
        <w:t xml:space="preserve"> for chemicals</w:t>
      </w:r>
      <w:r w:rsidR="003010A5">
        <w:rPr>
          <w:rFonts w:ascii="Tw Cen MT Condensed" w:hAnsi="Tw Cen MT Condensed" w:cs="Times New Roman"/>
          <w:sz w:val="28"/>
          <w:szCs w:val="28"/>
        </w:rPr>
        <w:t xml:space="preserve">, </w:t>
      </w:r>
      <w:r w:rsidR="00A431D8">
        <w:rPr>
          <w:rFonts w:ascii="Tw Cen MT Condensed" w:hAnsi="Tw Cen MT Condensed" w:cs="Times New Roman"/>
          <w:sz w:val="28"/>
          <w:szCs w:val="28"/>
        </w:rPr>
        <w:t>Source</w:t>
      </w:r>
      <w:r w:rsidR="00F00848" w:rsidRPr="00A431D8">
        <w:rPr>
          <w:rFonts w:ascii="Tw Cen MT Condensed" w:hAnsi="Tw Cen MT Condensed" w:cs="Times New Roman"/>
          <w:i/>
          <w:sz w:val="28"/>
          <w:szCs w:val="28"/>
        </w:rPr>
        <w:t xml:space="preserve"> Code </w:t>
      </w:r>
      <w:r w:rsidR="00A431D8" w:rsidRPr="00A431D8">
        <w:rPr>
          <w:rFonts w:ascii="Tw Cen MT Condensed" w:hAnsi="Tw Cen MT Condensed" w:cs="Times New Roman"/>
          <w:i/>
          <w:sz w:val="28"/>
          <w:szCs w:val="28"/>
        </w:rPr>
        <w:t>532</w:t>
      </w:r>
      <w:r w:rsidR="00DB65EF">
        <w:rPr>
          <w:rFonts w:ascii="Tw Cen MT Condensed" w:hAnsi="Tw Cen MT Condensed" w:cs="Times New Roman"/>
          <w:sz w:val="28"/>
          <w:szCs w:val="28"/>
        </w:rPr>
        <w:t xml:space="preserve"> </w:t>
      </w:r>
      <w:r w:rsidR="00F00848" w:rsidRPr="00DB65EF">
        <w:rPr>
          <w:rFonts w:ascii="Tw Cen MT Condensed" w:hAnsi="Tw Cen MT Condensed" w:cs="Times New Roman"/>
          <w:i/>
          <w:sz w:val="28"/>
          <w:szCs w:val="28"/>
        </w:rPr>
        <w:t>series</w:t>
      </w:r>
      <w:r w:rsidR="00F00848">
        <w:rPr>
          <w:rFonts w:ascii="Tw Cen MT Condensed" w:hAnsi="Tw Cen MT Condensed" w:cs="Times New Roman"/>
          <w:sz w:val="28"/>
          <w:szCs w:val="28"/>
        </w:rPr>
        <w:t xml:space="preserve"> for mold and fu</w:t>
      </w:r>
      <w:r w:rsidR="003010A5">
        <w:rPr>
          <w:rFonts w:ascii="Tw Cen MT Condensed" w:hAnsi="Tw Cen MT Condensed" w:cs="Times New Roman"/>
          <w:sz w:val="28"/>
          <w:szCs w:val="28"/>
        </w:rPr>
        <w:t>ngi,</w:t>
      </w:r>
      <w:r w:rsidR="00A431D8">
        <w:rPr>
          <w:rFonts w:ascii="Tw Cen MT Condensed" w:hAnsi="Tw Cen MT Condensed" w:cs="Times New Roman"/>
          <w:sz w:val="28"/>
          <w:szCs w:val="28"/>
        </w:rPr>
        <w:t xml:space="preserve"> Source</w:t>
      </w:r>
      <w:r w:rsidR="00F00848" w:rsidRPr="00A431D8">
        <w:rPr>
          <w:rFonts w:ascii="Tw Cen MT Condensed" w:hAnsi="Tw Cen MT Condensed" w:cs="Times New Roman"/>
          <w:i/>
          <w:sz w:val="28"/>
          <w:szCs w:val="28"/>
        </w:rPr>
        <w:t xml:space="preserve"> Code 924 </w:t>
      </w:r>
      <w:r w:rsidR="00DB65EF">
        <w:rPr>
          <w:rFonts w:ascii="Tw Cen MT Condensed" w:hAnsi="Tw Cen MT Condensed" w:cs="Times New Roman"/>
          <w:i/>
          <w:sz w:val="28"/>
          <w:szCs w:val="28"/>
        </w:rPr>
        <w:t xml:space="preserve"> </w:t>
      </w:r>
      <w:r w:rsidR="00F00848" w:rsidRPr="00A431D8">
        <w:rPr>
          <w:rFonts w:ascii="Tw Cen MT Condensed" w:hAnsi="Tw Cen MT Condensed" w:cs="Times New Roman"/>
          <w:i/>
          <w:sz w:val="28"/>
          <w:szCs w:val="28"/>
        </w:rPr>
        <w:t>series</w:t>
      </w:r>
      <w:r w:rsidR="00F00848">
        <w:rPr>
          <w:rFonts w:ascii="Tw Cen MT Condensed" w:hAnsi="Tw Cen MT Condensed" w:cs="Times New Roman"/>
          <w:sz w:val="28"/>
          <w:szCs w:val="28"/>
        </w:rPr>
        <w:t xml:space="preserve"> for smoke (</w:t>
      </w:r>
      <w:r w:rsidR="00A431D8">
        <w:rPr>
          <w:rFonts w:ascii="Tw Cen MT Condensed" w:hAnsi="Tw Cen MT Condensed" w:cs="Times New Roman"/>
          <w:sz w:val="28"/>
          <w:szCs w:val="28"/>
        </w:rPr>
        <w:t xml:space="preserve">further </w:t>
      </w:r>
      <w:r w:rsidR="00F00848">
        <w:rPr>
          <w:rFonts w:ascii="Tw Cen MT Condensed" w:hAnsi="Tw Cen MT Condensed" w:cs="Times New Roman"/>
          <w:sz w:val="28"/>
          <w:szCs w:val="28"/>
        </w:rPr>
        <w:t>filtered for non-fire and non-firefighting incidents)</w:t>
      </w:r>
      <w:r w:rsidR="003010A5">
        <w:rPr>
          <w:rFonts w:ascii="Tw Cen MT Condensed" w:hAnsi="Tw Cen MT Condensed" w:cs="Times New Roman"/>
          <w:sz w:val="28"/>
          <w:szCs w:val="28"/>
        </w:rPr>
        <w:t>,</w:t>
      </w:r>
      <w:r w:rsidR="00F00848">
        <w:rPr>
          <w:rFonts w:ascii="Tw Cen MT Condensed" w:hAnsi="Tw Cen MT Condensed" w:cs="Times New Roman"/>
          <w:sz w:val="28"/>
          <w:szCs w:val="28"/>
        </w:rPr>
        <w:t xml:space="preserve"> and </w:t>
      </w:r>
      <w:r w:rsidR="00F00848" w:rsidRPr="00A431D8">
        <w:rPr>
          <w:rFonts w:ascii="Tw Cen MT Condensed" w:hAnsi="Tw Cen MT Condensed" w:cs="Times New Roman"/>
          <w:i/>
          <w:sz w:val="28"/>
          <w:szCs w:val="28"/>
        </w:rPr>
        <w:t>Sou</w:t>
      </w:r>
      <w:r w:rsidR="00A431D8" w:rsidRPr="00A431D8">
        <w:rPr>
          <w:rFonts w:ascii="Tw Cen MT Condensed" w:hAnsi="Tw Cen MT Condensed" w:cs="Times New Roman"/>
          <w:i/>
          <w:sz w:val="28"/>
          <w:szCs w:val="28"/>
        </w:rPr>
        <w:t>rce C</w:t>
      </w:r>
      <w:r w:rsidR="00F00848" w:rsidRPr="00A431D8">
        <w:rPr>
          <w:rFonts w:ascii="Tw Cen MT Condensed" w:hAnsi="Tw Cen MT Condensed" w:cs="Times New Roman"/>
          <w:i/>
          <w:sz w:val="28"/>
          <w:szCs w:val="28"/>
        </w:rPr>
        <w:t>ode 9296</w:t>
      </w:r>
      <w:r w:rsidR="00F00848">
        <w:rPr>
          <w:rFonts w:ascii="Tw Cen MT Condensed" w:hAnsi="Tw Cen MT Condensed" w:cs="Times New Roman"/>
          <w:sz w:val="28"/>
          <w:szCs w:val="28"/>
        </w:rPr>
        <w:t xml:space="preserve"> for poor indoor air quality</w:t>
      </w:r>
      <w:r w:rsidR="00A431D8">
        <w:rPr>
          <w:rFonts w:ascii="Tw Cen MT Condensed" w:hAnsi="Tw Cen MT Condensed" w:cs="Times New Roman"/>
          <w:sz w:val="28"/>
          <w:szCs w:val="28"/>
        </w:rPr>
        <w:t>.</w:t>
      </w:r>
    </w:p>
    <w:p w:rsidR="00A431D8" w:rsidRDefault="00A431D8" w:rsidP="00A431D8">
      <w:pPr>
        <w:pStyle w:val="ListParagraph"/>
        <w:rPr>
          <w:rFonts w:ascii="Tw Cen MT Condensed" w:hAnsi="Tw Cen MT Condensed" w:cs="Times New Roman"/>
          <w:sz w:val="28"/>
          <w:szCs w:val="28"/>
        </w:rPr>
      </w:pPr>
    </w:p>
    <w:p w:rsidR="00A431D8" w:rsidRDefault="00543A07" w:rsidP="00E364FD">
      <w:pPr>
        <w:pStyle w:val="ListParagraph"/>
        <w:numPr>
          <w:ilvl w:val="0"/>
          <w:numId w:val="13"/>
        </w:numPr>
        <w:rPr>
          <w:rFonts w:ascii="Tw Cen MT Condensed" w:hAnsi="Tw Cen MT Condensed" w:cs="Times New Roman"/>
          <w:sz w:val="28"/>
          <w:szCs w:val="28"/>
        </w:rPr>
      </w:pPr>
      <w:r w:rsidRPr="00A431D8">
        <w:rPr>
          <w:rFonts w:ascii="Tw Cen MT Condensed" w:hAnsi="Tw Cen MT Condensed" w:cs="Times New Roman"/>
          <w:sz w:val="28"/>
          <w:szCs w:val="28"/>
        </w:rPr>
        <w:t>“</w:t>
      </w:r>
      <w:proofErr w:type="gramStart"/>
      <w:r w:rsidRPr="00A431D8">
        <w:rPr>
          <w:rFonts w:ascii="Tw Cen MT Condensed" w:hAnsi="Tw Cen MT Condensed" w:cs="Times New Roman"/>
          <w:sz w:val="28"/>
          <w:szCs w:val="28"/>
        </w:rPr>
        <w:t>Preventing  Mold</w:t>
      </w:r>
      <w:proofErr w:type="gramEnd"/>
      <w:r w:rsidRPr="00A431D8">
        <w:rPr>
          <w:rFonts w:ascii="Tw Cen MT Condensed" w:hAnsi="Tw Cen MT Condensed" w:cs="Times New Roman"/>
          <w:sz w:val="28"/>
          <w:szCs w:val="28"/>
        </w:rPr>
        <w:t xml:space="preserve"> – Related Problems in the Indoor Workplace” OSHA 3304 – 04N 2006</w:t>
      </w:r>
      <w:r w:rsidR="003010A5">
        <w:rPr>
          <w:rFonts w:ascii="Tw Cen MT Condensed" w:hAnsi="Tw Cen MT Condensed" w:cs="Times New Roman"/>
          <w:sz w:val="28"/>
          <w:szCs w:val="28"/>
        </w:rPr>
        <w:t>.</w:t>
      </w:r>
    </w:p>
    <w:p w:rsidR="00A431D8" w:rsidRPr="00A431D8" w:rsidRDefault="00A431D8" w:rsidP="00A431D8">
      <w:pPr>
        <w:pStyle w:val="ListParagraph"/>
        <w:rPr>
          <w:rFonts w:ascii="Tw Cen MT Condensed" w:hAnsi="Tw Cen MT Condensed" w:cs="Times New Roman"/>
          <w:sz w:val="28"/>
          <w:szCs w:val="28"/>
          <w:u w:val="single"/>
        </w:rPr>
      </w:pPr>
    </w:p>
    <w:p w:rsidR="00E364FD" w:rsidRPr="00A431D8" w:rsidRDefault="00E364FD" w:rsidP="00E364FD">
      <w:pPr>
        <w:pStyle w:val="ListParagraph"/>
        <w:numPr>
          <w:ilvl w:val="0"/>
          <w:numId w:val="13"/>
        </w:numPr>
        <w:rPr>
          <w:rFonts w:ascii="Tw Cen MT Condensed" w:hAnsi="Tw Cen MT Condensed" w:cs="Times New Roman"/>
          <w:sz w:val="28"/>
          <w:szCs w:val="28"/>
        </w:rPr>
      </w:pPr>
      <w:r w:rsidRPr="00A431D8">
        <w:rPr>
          <w:rFonts w:ascii="Tw Cen MT Condensed" w:hAnsi="Tw Cen MT Condensed" w:cs="Times New Roman"/>
          <w:sz w:val="28"/>
          <w:szCs w:val="28"/>
          <w:u w:val="single"/>
        </w:rPr>
        <w:t>Standard Occupational Classification Manual 2010</w:t>
      </w:r>
      <w:r w:rsidRPr="00A431D8">
        <w:rPr>
          <w:rFonts w:ascii="Tw Cen MT Condensed" w:hAnsi="Tw Cen MT Condensed" w:cs="Times New Roman"/>
          <w:sz w:val="28"/>
          <w:szCs w:val="28"/>
        </w:rPr>
        <w:t xml:space="preserve">, US Department of Commerce, </w:t>
      </w:r>
    </w:p>
    <w:p w:rsidR="00E364FD" w:rsidRDefault="00E364FD" w:rsidP="00E364FD">
      <w:pPr>
        <w:pStyle w:val="ListParagraph"/>
        <w:rPr>
          <w:rFonts w:ascii="Tw Cen MT Condensed" w:hAnsi="Tw Cen MT Condensed" w:cs="Times New Roman"/>
          <w:sz w:val="28"/>
          <w:szCs w:val="28"/>
        </w:rPr>
      </w:pPr>
      <w:proofErr w:type="gramStart"/>
      <w:r w:rsidRPr="00611B1B">
        <w:rPr>
          <w:rFonts w:ascii="Tw Cen MT Condensed" w:hAnsi="Tw Cen MT Condensed" w:cs="Times New Roman"/>
          <w:sz w:val="28"/>
          <w:szCs w:val="28"/>
        </w:rPr>
        <w:t>ISBN 978-1-935329-04-8</w:t>
      </w:r>
      <w:r w:rsidR="003010A5">
        <w:rPr>
          <w:rFonts w:ascii="Tw Cen MT Condensed" w:hAnsi="Tw Cen MT Condensed" w:cs="Times New Roman"/>
          <w:sz w:val="28"/>
          <w:szCs w:val="28"/>
        </w:rPr>
        <w:t>.</w:t>
      </w:r>
      <w:proofErr w:type="gramEnd"/>
    </w:p>
    <w:p w:rsidR="00A431D8" w:rsidRPr="00611B1B" w:rsidRDefault="00A431D8" w:rsidP="00E364FD">
      <w:pPr>
        <w:pStyle w:val="ListParagraph"/>
        <w:rPr>
          <w:rFonts w:ascii="Tw Cen MT Condensed" w:hAnsi="Tw Cen MT Condensed" w:cs="Times New Roman"/>
          <w:sz w:val="28"/>
          <w:szCs w:val="28"/>
        </w:rPr>
      </w:pPr>
    </w:p>
    <w:p w:rsidR="00E364FD" w:rsidRDefault="00E364FD" w:rsidP="00E364FD">
      <w:pPr>
        <w:pStyle w:val="ListParagraph"/>
        <w:numPr>
          <w:ilvl w:val="0"/>
          <w:numId w:val="13"/>
        </w:numPr>
        <w:rPr>
          <w:rFonts w:ascii="Tw Cen MT Condensed" w:hAnsi="Tw Cen MT Condensed" w:cs="Times New Roman"/>
          <w:sz w:val="28"/>
          <w:szCs w:val="28"/>
        </w:rPr>
      </w:pPr>
      <w:r w:rsidRPr="00611B1B">
        <w:rPr>
          <w:rFonts w:ascii="Tw Cen MT Condensed" w:hAnsi="Tw Cen MT Condensed" w:cs="Times New Roman"/>
          <w:sz w:val="28"/>
          <w:szCs w:val="28"/>
          <w:u w:val="single"/>
        </w:rPr>
        <w:t>North American Industrial Classification System United States, 2012</w:t>
      </w:r>
      <w:r w:rsidRPr="00611B1B">
        <w:rPr>
          <w:rFonts w:ascii="Tw Cen MT Condensed" w:hAnsi="Tw Cen MT Condensed" w:cs="Times New Roman"/>
          <w:sz w:val="28"/>
          <w:szCs w:val="28"/>
        </w:rPr>
        <w:t>, Executive Office of the President, Office of Management and Budget, ISBN 978-1-59888-549-1</w:t>
      </w:r>
      <w:r w:rsidR="003010A5">
        <w:rPr>
          <w:rFonts w:ascii="Tw Cen MT Condensed" w:hAnsi="Tw Cen MT Condensed" w:cs="Times New Roman"/>
          <w:sz w:val="28"/>
          <w:szCs w:val="28"/>
        </w:rPr>
        <w:t>.</w:t>
      </w:r>
    </w:p>
    <w:p w:rsidR="0092761E" w:rsidRDefault="00A7155F" w:rsidP="0092761E">
      <w:pPr>
        <w:spacing w:after="0"/>
        <w:jc w:val="center"/>
        <w:rPr>
          <w:rFonts w:ascii="Tw Cen MT Condensed" w:hAnsi="Tw Cen MT Condensed"/>
          <w:sz w:val="28"/>
          <w:szCs w:val="28"/>
        </w:rPr>
      </w:pPr>
      <w:r w:rsidRPr="00611B1B">
        <w:rPr>
          <w:rFonts w:ascii="Tw Cen MT Condensed" w:hAnsi="Tw Cen MT Condensed"/>
          <w:sz w:val="28"/>
          <w:szCs w:val="28"/>
        </w:rPr>
        <w:t>T</w:t>
      </w:r>
      <w:r w:rsidR="00E364FD" w:rsidRPr="00611B1B">
        <w:rPr>
          <w:rFonts w:ascii="Tw Cen MT Condensed" w:hAnsi="Tw Cen MT Condensed"/>
          <w:sz w:val="28"/>
          <w:szCs w:val="28"/>
        </w:rPr>
        <w:t xml:space="preserve">his report was prepared by </w:t>
      </w:r>
      <w:r w:rsidR="00577067" w:rsidRPr="00611B1B">
        <w:rPr>
          <w:rFonts w:ascii="Tw Cen MT Condensed" w:hAnsi="Tw Cen MT Condensed"/>
          <w:sz w:val="28"/>
          <w:szCs w:val="28"/>
        </w:rPr>
        <w:t>Mark</w:t>
      </w:r>
      <w:r w:rsidR="00DD16B1" w:rsidRPr="00611B1B">
        <w:rPr>
          <w:rFonts w:ascii="Tw Cen MT Condensed" w:hAnsi="Tw Cen MT Condensed"/>
          <w:sz w:val="28"/>
          <w:szCs w:val="28"/>
        </w:rPr>
        <w:t xml:space="preserve"> B.</w:t>
      </w:r>
      <w:r w:rsidR="00577067" w:rsidRPr="00611B1B">
        <w:rPr>
          <w:rFonts w:ascii="Tw Cen MT Condensed" w:hAnsi="Tw Cen MT Condensed"/>
          <w:sz w:val="28"/>
          <w:szCs w:val="28"/>
        </w:rPr>
        <w:t xml:space="preserve"> Dawson</w:t>
      </w:r>
      <w:r w:rsidR="00B927D0">
        <w:rPr>
          <w:rFonts w:ascii="Tw Cen MT Condensed" w:hAnsi="Tw Cen MT Condensed"/>
          <w:sz w:val="28"/>
          <w:szCs w:val="28"/>
        </w:rPr>
        <w:t xml:space="preserve"> with</w:t>
      </w:r>
      <w:r w:rsidR="0092761E">
        <w:rPr>
          <w:rFonts w:ascii="Tw Cen MT Condensed" w:hAnsi="Tw Cen MT Condensed"/>
          <w:sz w:val="28"/>
          <w:szCs w:val="28"/>
        </w:rPr>
        <w:t xml:space="preserve"> initial </w:t>
      </w:r>
    </w:p>
    <w:p w:rsidR="00C42340" w:rsidRDefault="00A431D8" w:rsidP="0092761E">
      <w:pPr>
        <w:spacing w:after="0"/>
        <w:jc w:val="center"/>
        <w:rPr>
          <w:rFonts w:ascii="Tw Cen MT Condensed" w:hAnsi="Tw Cen MT Condensed"/>
          <w:sz w:val="28"/>
          <w:szCs w:val="28"/>
        </w:rPr>
      </w:pPr>
      <w:proofErr w:type="gramStart"/>
      <w:r>
        <w:rPr>
          <w:rFonts w:ascii="Tw Cen MT Condensed" w:hAnsi="Tw Cen MT Condensed"/>
          <w:sz w:val="28"/>
          <w:szCs w:val="28"/>
        </w:rPr>
        <w:t>d</w:t>
      </w:r>
      <w:r w:rsidR="0092761E">
        <w:rPr>
          <w:rFonts w:ascii="Tw Cen MT Condensed" w:hAnsi="Tw Cen MT Condensed"/>
          <w:sz w:val="28"/>
          <w:szCs w:val="28"/>
        </w:rPr>
        <w:t>ata</w:t>
      </w:r>
      <w:proofErr w:type="gramEnd"/>
      <w:r>
        <w:rPr>
          <w:rFonts w:ascii="Tw Cen MT Condensed" w:hAnsi="Tw Cen MT Condensed"/>
          <w:sz w:val="28"/>
          <w:szCs w:val="28"/>
        </w:rPr>
        <w:t xml:space="preserve"> and cost</w:t>
      </w:r>
      <w:r w:rsidR="0092761E">
        <w:rPr>
          <w:rFonts w:ascii="Tw Cen MT Condensed" w:hAnsi="Tw Cen MT Condensed"/>
          <w:sz w:val="28"/>
          <w:szCs w:val="28"/>
        </w:rPr>
        <w:t xml:space="preserve"> </w:t>
      </w:r>
      <w:r w:rsidR="003010A5">
        <w:rPr>
          <w:rFonts w:ascii="Tw Cen MT Condensed" w:hAnsi="Tw Cen MT Condensed"/>
          <w:sz w:val="28"/>
          <w:szCs w:val="28"/>
        </w:rPr>
        <w:t>analyses by Barbara A. Spillane.</w:t>
      </w:r>
      <w:r w:rsidR="00E364FD" w:rsidRPr="00611B1B">
        <w:rPr>
          <w:rFonts w:ascii="Tw Cen MT Condensed" w:hAnsi="Tw Cen MT Condensed"/>
          <w:sz w:val="28"/>
          <w:szCs w:val="28"/>
        </w:rPr>
        <w:br/>
        <w:t>Research and Statistics Unit, Division of Technical Services</w:t>
      </w:r>
      <w:r w:rsidR="00E364FD" w:rsidRPr="00611B1B">
        <w:rPr>
          <w:rFonts w:ascii="Tw Cen MT Condensed" w:hAnsi="Tw Cen MT Condensed"/>
          <w:sz w:val="28"/>
          <w:szCs w:val="28"/>
        </w:rPr>
        <w:br/>
        <w:t>Bureau of Labor Standards</w:t>
      </w:r>
      <w:r w:rsidR="00E364FD" w:rsidRPr="00611B1B">
        <w:rPr>
          <w:rFonts w:ascii="Tw Cen MT Condensed" w:hAnsi="Tw Cen MT Condensed"/>
          <w:sz w:val="28"/>
          <w:szCs w:val="28"/>
        </w:rPr>
        <w:br/>
        <w:t>Maine State Department of Labor</w:t>
      </w:r>
      <w:r w:rsidR="00E364FD" w:rsidRPr="00611B1B">
        <w:rPr>
          <w:rFonts w:ascii="Tw Cen MT Condensed" w:hAnsi="Tw Cen MT Condensed"/>
          <w:sz w:val="28"/>
          <w:szCs w:val="28"/>
        </w:rPr>
        <w:br/>
      </w:r>
      <w:r w:rsidR="00E364FD" w:rsidRPr="00611B1B">
        <w:rPr>
          <w:rFonts w:ascii="Tw Cen MT Condensed" w:hAnsi="Tw Cen MT Condensed"/>
          <w:sz w:val="28"/>
          <w:szCs w:val="28"/>
        </w:rPr>
        <w:br/>
        <w:t>For more information regarding this report, contact</w:t>
      </w:r>
      <w:r w:rsidR="00E364FD" w:rsidRPr="00611B1B">
        <w:rPr>
          <w:rFonts w:ascii="Tw Cen MT Condensed" w:hAnsi="Tw Cen MT Condensed"/>
          <w:sz w:val="28"/>
          <w:szCs w:val="28"/>
        </w:rPr>
        <w:br/>
      </w:r>
      <w:r w:rsidR="00023C41">
        <w:rPr>
          <w:rFonts w:ascii="Tw Cen MT Condensed" w:hAnsi="Tw Cen MT Condensed"/>
          <w:sz w:val="28"/>
          <w:szCs w:val="28"/>
        </w:rPr>
        <w:t>Mark Dawson</w:t>
      </w:r>
      <w:r w:rsidR="00E364FD" w:rsidRPr="00611B1B">
        <w:rPr>
          <w:rFonts w:ascii="Tw Cen MT Condensed" w:hAnsi="Tw Cen MT Condensed"/>
          <w:sz w:val="28"/>
          <w:szCs w:val="28"/>
        </w:rPr>
        <w:t>, 207-623-790</w:t>
      </w:r>
      <w:r w:rsidR="00023C41">
        <w:rPr>
          <w:rFonts w:ascii="Tw Cen MT Condensed" w:hAnsi="Tw Cen MT Condensed"/>
          <w:sz w:val="28"/>
          <w:szCs w:val="28"/>
        </w:rPr>
        <w:t>4</w:t>
      </w:r>
      <w:r w:rsidR="003010A5">
        <w:rPr>
          <w:rFonts w:ascii="Tw Cen MT Condensed" w:hAnsi="Tw Cen MT Condensed"/>
          <w:sz w:val="28"/>
          <w:szCs w:val="28"/>
        </w:rPr>
        <w:t>.</w:t>
      </w:r>
    </w:p>
    <w:p w:rsidR="009B4B32" w:rsidRDefault="009B4B32" w:rsidP="00A7155F">
      <w:pPr>
        <w:jc w:val="center"/>
        <w:rPr>
          <w:rFonts w:ascii="Tw Cen MT Condensed" w:hAnsi="Tw Cen MT Condensed"/>
          <w:sz w:val="28"/>
          <w:szCs w:val="28"/>
        </w:rPr>
      </w:pPr>
    </w:p>
    <w:p w:rsidR="009B4B32" w:rsidRPr="008F53BB" w:rsidRDefault="009B4B32" w:rsidP="009B4B32">
      <w:pPr>
        <w:pStyle w:val="DefaultText"/>
        <w:jc w:val="center"/>
        <w:rPr>
          <w:rFonts w:ascii="Tw Cen MT" w:hAnsi="Tw Cen MT" w:cstheme="minorHAnsi"/>
          <w:sz w:val="20"/>
        </w:rPr>
      </w:pPr>
      <w:r w:rsidRPr="008F53BB">
        <w:rPr>
          <w:rFonts w:ascii="Tw Cen MT" w:hAnsi="Tw Cen MT" w:cstheme="minorHAnsi"/>
          <w:sz w:val="20"/>
        </w:rPr>
        <w:t>The Maine Department of Labor provides equal opportunity employment and programs.</w:t>
      </w:r>
    </w:p>
    <w:p w:rsidR="009B4B32" w:rsidRPr="008F53BB" w:rsidRDefault="009B4B32" w:rsidP="009B4B32">
      <w:pPr>
        <w:pStyle w:val="DefaultText"/>
        <w:jc w:val="center"/>
        <w:rPr>
          <w:rFonts w:ascii="Tw Cen MT" w:hAnsi="Tw Cen MT" w:cstheme="minorHAnsi"/>
          <w:sz w:val="20"/>
        </w:rPr>
      </w:pPr>
      <w:r w:rsidRPr="008F53BB">
        <w:rPr>
          <w:rFonts w:ascii="Tw Cen MT" w:hAnsi="Tw Cen MT" w:cstheme="minorHAnsi"/>
          <w:sz w:val="20"/>
        </w:rPr>
        <w:t>Auxiliary aids and services are available to individuals with disabilities upon request.</w:t>
      </w:r>
    </w:p>
    <w:p w:rsidR="009B4B32" w:rsidRPr="008F53BB" w:rsidRDefault="009B4B32" w:rsidP="009B4B32">
      <w:pPr>
        <w:pStyle w:val="DefaultText"/>
        <w:rPr>
          <w:rFonts w:ascii="Tw Cen MT" w:hAnsi="Tw Cen MT" w:cstheme="minorHAnsi"/>
          <w:sz w:val="20"/>
        </w:rPr>
      </w:pPr>
    </w:p>
    <w:p w:rsidR="009B4B32" w:rsidRPr="008F53BB" w:rsidRDefault="009B4B32" w:rsidP="009B4B32">
      <w:pPr>
        <w:pStyle w:val="DefaultText"/>
        <w:jc w:val="center"/>
        <w:rPr>
          <w:rFonts w:ascii="Tw Cen MT" w:hAnsi="Tw Cen MT" w:cstheme="minorHAnsi"/>
          <w:sz w:val="20"/>
        </w:rPr>
      </w:pPr>
      <w:r w:rsidRPr="008F53BB">
        <w:rPr>
          <w:rFonts w:ascii="Tw Cen MT" w:hAnsi="Tw Cen MT" w:cstheme="minorHAnsi"/>
          <w:sz w:val="20"/>
        </w:rPr>
        <w:t>Telephone (207) 623-7900     TTY Users Call Maine Relay 711     FAX (207) 623-7937</w:t>
      </w:r>
    </w:p>
    <w:p w:rsidR="009B4B32" w:rsidRPr="008F53BB" w:rsidRDefault="009B4B32" w:rsidP="009B4B32">
      <w:pPr>
        <w:pStyle w:val="DefaultText"/>
        <w:jc w:val="center"/>
        <w:rPr>
          <w:rFonts w:ascii="Tw Cen MT" w:hAnsi="Tw Cen MT" w:cstheme="minorHAnsi"/>
          <w:sz w:val="20"/>
        </w:rPr>
      </w:pPr>
    </w:p>
    <w:p w:rsidR="009B4B32" w:rsidRDefault="009B4B32" w:rsidP="009B4B32">
      <w:pPr>
        <w:pStyle w:val="DefaultText"/>
        <w:jc w:val="center"/>
        <w:rPr>
          <w:rFonts w:ascii="Tw Cen MT" w:hAnsi="Tw Cen MT" w:cstheme="minorHAnsi"/>
          <w:szCs w:val="24"/>
        </w:rPr>
      </w:pPr>
      <w:r w:rsidRPr="008F53BB">
        <w:rPr>
          <w:rFonts w:ascii="Tw Cen MT" w:hAnsi="Tw Cen MT" w:cstheme="minorHAnsi"/>
          <w:sz w:val="20"/>
        </w:rPr>
        <w:t xml:space="preserve">This publication is available at: </w:t>
      </w:r>
      <w:hyperlink r:id="rId17" w:history="1">
        <w:r w:rsidRPr="003F388C">
          <w:rPr>
            <w:rStyle w:val="Hyperlink"/>
            <w:rFonts w:ascii="Tw Cen MT" w:hAnsi="Tw Cen MT" w:cstheme="minorHAnsi"/>
            <w:szCs w:val="24"/>
          </w:rPr>
          <w:t>www.maine.gov/labor/labor_stats/publications/substanceabuse</w:t>
        </w:r>
      </w:hyperlink>
    </w:p>
    <w:p w:rsidR="009B4B32" w:rsidRPr="009B4B32" w:rsidRDefault="009B4B32" w:rsidP="009B4B32">
      <w:pPr>
        <w:spacing w:after="0"/>
        <w:rPr>
          <w:rFonts w:ascii="Tw Cen MT" w:hAnsi="Tw Cen MT" w:cstheme="minorHAnsi"/>
        </w:rPr>
      </w:pPr>
    </w:p>
    <w:sectPr w:rsidR="009B4B32" w:rsidRPr="009B4B32" w:rsidSect="009A61E1">
      <w:footerReference w:type="default" r:id="rId18"/>
      <w:footerReference w:type="first" r:id="rId19"/>
      <w:type w:val="continuous"/>
      <w:pgSz w:w="12240" w:h="15840" w:code="1"/>
      <w:pgMar w:top="1008" w:right="1008" w:bottom="72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079" w:rsidRDefault="00014079">
      <w:r>
        <w:separator/>
      </w:r>
    </w:p>
  </w:endnote>
  <w:endnote w:type="continuationSeparator" w:id="0">
    <w:p w:rsidR="00014079" w:rsidRDefault="0001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79" w:rsidRPr="005E4CBC" w:rsidRDefault="00014079" w:rsidP="005E4CBC">
    <w:pPr>
      <w:pStyle w:val="Footer"/>
      <w:tabs>
        <w:tab w:val="clear" w:pos="4320"/>
        <w:tab w:val="clear" w:pos="8640"/>
        <w:tab w:val="center" w:pos="5040"/>
        <w:tab w:val="right" w:pos="10080"/>
      </w:tabs>
      <w:ind w:right="360"/>
      <w:rPr>
        <w:rStyle w:val="PageNumber"/>
        <w:rFonts w:ascii="Tw Cen MT Condensed" w:hAnsi="Tw Cen MT Condensed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0860F1" wp14:editId="2C7BC23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419100"/>
          <wp:effectExtent l="0" t="0" r="0" b="0"/>
          <wp:wrapNone/>
          <wp:docPr id="1" name="Picture 1" descr="mdol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ol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Bu</w:t>
    </w:r>
    <w:r w:rsidR="00DB2A42">
      <w:t>reau of Labor Standards • Injuries and Illnesses Due to Workplace Chemicals and Related Hazards</w:t>
    </w:r>
    <w:r>
      <w:tab/>
    </w:r>
    <w:r w:rsidRPr="00D648CD">
      <w:rPr>
        <w:rStyle w:val="PageNumber"/>
      </w:rPr>
      <w:fldChar w:fldCharType="begin"/>
    </w:r>
    <w:r w:rsidRPr="00D648CD">
      <w:rPr>
        <w:rStyle w:val="PageNumber"/>
      </w:rPr>
      <w:instrText xml:space="preserve"> PAGE </w:instrText>
    </w:r>
    <w:r w:rsidRPr="00D648CD">
      <w:rPr>
        <w:rStyle w:val="PageNumber"/>
      </w:rPr>
      <w:fldChar w:fldCharType="separate"/>
    </w:r>
    <w:r w:rsidR="00DB2A42">
      <w:rPr>
        <w:rStyle w:val="PageNumber"/>
        <w:noProof/>
      </w:rPr>
      <w:t>13</w:t>
    </w:r>
    <w:r w:rsidRPr="00D648CD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79" w:rsidRPr="00FA7E3E" w:rsidRDefault="00014079" w:rsidP="00FA7E3E">
    <w:pPr>
      <w:pStyle w:val="EqualOpportunity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-292100</wp:posOffset>
          </wp:positionV>
          <wp:extent cx="914400" cy="657860"/>
          <wp:effectExtent l="0" t="0" r="0" b="0"/>
          <wp:wrapNone/>
          <wp:docPr id="2" name="Picture 2" descr="mdol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dol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7E3E">
      <w:t>The Maine Department of Labor provides equal opportunity in employment and programs.</w:t>
    </w:r>
  </w:p>
  <w:p w:rsidR="00014079" w:rsidRPr="00FA7E3E" w:rsidRDefault="00014079" w:rsidP="00FA7E3E">
    <w:pPr>
      <w:pStyle w:val="EqualOpportunity"/>
    </w:pPr>
    <w:r w:rsidRPr="00FA7E3E">
      <w:t>Auxiliary aids and services are available to individuals with disabilities upon request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079" w:rsidRDefault="00014079">
      <w:r>
        <w:separator/>
      </w:r>
    </w:p>
  </w:footnote>
  <w:footnote w:type="continuationSeparator" w:id="0">
    <w:p w:rsidR="00014079" w:rsidRDefault="00014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74EB"/>
    <w:multiLevelType w:val="multilevel"/>
    <w:tmpl w:val="BCC43028"/>
    <w:numStyleLink w:val="StyleBulleted"/>
  </w:abstractNum>
  <w:abstractNum w:abstractNumId="1">
    <w:nsid w:val="0D6A44D1"/>
    <w:multiLevelType w:val="multilevel"/>
    <w:tmpl w:val="BCC43028"/>
    <w:numStyleLink w:val="StyleBulleted"/>
  </w:abstractNum>
  <w:abstractNum w:abstractNumId="2">
    <w:nsid w:val="0FD344D2"/>
    <w:multiLevelType w:val="hybridMultilevel"/>
    <w:tmpl w:val="C2E0B6A2"/>
    <w:lvl w:ilvl="0" w:tplc="9B967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8074D"/>
    <w:multiLevelType w:val="hybridMultilevel"/>
    <w:tmpl w:val="0124289C"/>
    <w:lvl w:ilvl="0" w:tplc="001225DE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CA0CD6"/>
    <w:multiLevelType w:val="multilevel"/>
    <w:tmpl w:val="BCC43028"/>
    <w:numStyleLink w:val="StyleBulleted"/>
  </w:abstractNum>
  <w:abstractNum w:abstractNumId="5">
    <w:nsid w:val="16D17EAD"/>
    <w:multiLevelType w:val="hybridMultilevel"/>
    <w:tmpl w:val="C6702E2A"/>
    <w:lvl w:ilvl="0" w:tplc="9B9671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F6183"/>
    <w:multiLevelType w:val="multilevel"/>
    <w:tmpl w:val="BCC43028"/>
    <w:numStyleLink w:val="StyleBulleted"/>
  </w:abstractNum>
  <w:abstractNum w:abstractNumId="7">
    <w:nsid w:val="1B43033E"/>
    <w:multiLevelType w:val="multilevel"/>
    <w:tmpl w:val="BCC43028"/>
    <w:numStyleLink w:val="StyleBulleted"/>
  </w:abstractNum>
  <w:abstractNum w:abstractNumId="8">
    <w:nsid w:val="24300FD2"/>
    <w:multiLevelType w:val="multilevel"/>
    <w:tmpl w:val="BCC43028"/>
    <w:numStyleLink w:val="StyleBulleted"/>
  </w:abstractNum>
  <w:abstractNum w:abstractNumId="9">
    <w:nsid w:val="2A7C0DF6"/>
    <w:multiLevelType w:val="multilevel"/>
    <w:tmpl w:val="BCC43028"/>
    <w:numStyleLink w:val="StyleBulleted"/>
  </w:abstractNum>
  <w:abstractNum w:abstractNumId="10">
    <w:nsid w:val="2B0E7A82"/>
    <w:multiLevelType w:val="multilevel"/>
    <w:tmpl w:val="BCC43028"/>
    <w:numStyleLink w:val="StyleBulleted"/>
  </w:abstractNum>
  <w:abstractNum w:abstractNumId="11">
    <w:nsid w:val="34B36301"/>
    <w:multiLevelType w:val="multilevel"/>
    <w:tmpl w:val="BCC43028"/>
    <w:numStyleLink w:val="StyleBulleted"/>
  </w:abstractNum>
  <w:abstractNum w:abstractNumId="12">
    <w:nsid w:val="406410B8"/>
    <w:multiLevelType w:val="hybridMultilevel"/>
    <w:tmpl w:val="539C2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F5E86"/>
    <w:multiLevelType w:val="multilevel"/>
    <w:tmpl w:val="BCC43028"/>
    <w:numStyleLink w:val="StyleBulleted"/>
  </w:abstractNum>
  <w:abstractNum w:abstractNumId="14">
    <w:nsid w:val="50076952"/>
    <w:multiLevelType w:val="hybridMultilevel"/>
    <w:tmpl w:val="746E1CD4"/>
    <w:lvl w:ilvl="0" w:tplc="B99AE980">
      <w:start w:val="10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3513C"/>
    <w:multiLevelType w:val="multilevel"/>
    <w:tmpl w:val="BCC43028"/>
    <w:styleLink w:val="StyleBulleted"/>
    <w:lvl w:ilvl="0">
      <w:start w:val="1"/>
      <w:numFmt w:val="bullet"/>
      <w:lvlText w:val=""/>
      <w:lvlJc w:val="left"/>
      <w:pPr>
        <w:tabs>
          <w:tab w:val="num" w:pos="864"/>
        </w:tabs>
        <w:ind w:left="1224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3"/>
  </w:num>
  <w:num w:numId="12">
    <w:abstractNumId w:val="5"/>
  </w:num>
  <w:num w:numId="13">
    <w:abstractNumId w:val="12"/>
  </w:num>
  <w:num w:numId="14">
    <w:abstractNumId w:val="14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CD"/>
    <w:rsid w:val="000023F4"/>
    <w:rsid w:val="0000255A"/>
    <w:rsid w:val="000050C1"/>
    <w:rsid w:val="000061F3"/>
    <w:rsid w:val="00006822"/>
    <w:rsid w:val="000070ED"/>
    <w:rsid w:val="00007C48"/>
    <w:rsid w:val="000107CF"/>
    <w:rsid w:val="00011436"/>
    <w:rsid w:val="000117DB"/>
    <w:rsid w:val="000131A6"/>
    <w:rsid w:val="00014079"/>
    <w:rsid w:val="000141D1"/>
    <w:rsid w:val="00014B51"/>
    <w:rsid w:val="00014BF6"/>
    <w:rsid w:val="00014EA6"/>
    <w:rsid w:val="0002132C"/>
    <w:rsid w:val="00021BFC"/>
    <w:rsid w:val="00023C41"/>
    <w:rsid w:val="000245A8"/>
    <w:rsid w:val="000252BE"/>
    <w:rsid w:val="00025F09"/>
    <w:rsid w:val="00032F40"/>
    <w:rsid w:val="000334D7"/>
    <w:rsid w:val="00035A5F"/>
    <w:rsid w:val="0004117D"/>
    <w:rsid w:val="00042C5E"/>
    <w:rsid w:val="00045F96"/>
    <w:rsid w:val="000501AE"/>
    <w:rsid w:val="00050642"/>
    <w:rsid w:val="00051276"/>
    <w:rsid w:val="000514B5"/>
    <w:rsid w:val="000515C7"/>
    <w:rsid w:val="000518ED"/>
    <w:rsid w:val="00052393"/>
    <w:rsid w:val="00054EDB"/>
    <w:rsid w:val="000574CD"/>
    <w:rsid w:val="00063054"/>
    <w:rsid w:val="000658B2"/>
    <w:rsid w:val="00067797"/>
    <w:rsid w:val="000678AC"/>
    <w:rsid w:val="00071892"/>
    <w:rsid w:val="00071A64"/>
    <w:rsid w:val="000720E0"/>
    <w:rsid w:val="000732F5"/>
    <w:rsid w:val="00073DCA"/>
    <w:rsid w:val="00074285"/>
    <w:rsid w:val="0007525A"/>
    <w:rsid w:val="00075520"/>
    <w:rsid w:val="00075609"/>
    <w:rsid w:val="00075BA4"/>
    <w:rsid w:val="000760CF"/>
    <w:rsid w:val="000807C3"/>
    <w:rsid w:val="000831EB"/>
    <w:rsid w:val="000836DB"/>
    <w:rsid w:val="000843F1"/>
    <w:rsid w:val="00084FBE"/>
    <w:rsid w:val="00087EB7"/>
    <w:rsid w:val="00096BC3"/>
    <w:rsid w:val="00096E0D"/>
    <w:rsid w:val="000A0041"/>
    <w:rsid w:val="000A1AAD"/>
    <w:rsid w:val="000A54DA"/>
    <w:rsid w:val="000A6AF8"/>
    <w:rsid w:val="000B0359"/>
    <w:rsid w:val="000B100C"/>
    <w:rsid w:val="000B21D5"/>
    <w:rsid w:val="000B28A8"/>
    <w:rsid w:val="000B2AC8"/>
    <w:rsid w:val="000B73A2"/>
    <w:rsid w:val="000C2361"/>
    <w:rsid w:val="000C3183"/>
    <w:rsid w:val="000C50E6"/>
    <w:rsid w:val="000C7BD4"/>
    <w:rsid w:val="000C7D8B"/>
    <w:rsid w:val="000D54D4"/>
    <w:rsid w:val="000D66C2"/>
    <w:rsid w:val="000D6CFA"/>
    <w:rsid w:val="000E2667"/>
    <w:rsid w:val="000E2ABC"/>
    <w:rsid w:val="000E3BCE"/>
    <w:rsid w:val="000E504E"/>
    <w:rsid w:val="000E6C9F"/>
    <w:rsid w:val="000E6D42"/>
    <w:rsid w:val="000E79CD"/>
    <w:rsid w:val="000F1040"/>
    <w:rsid w:val="000F292A"/>
    <w:rsid w:val="000F29E9"/>
    <w:rsid w:val="000F42E6"/>
    <w:rsid w:val="0010145F"/>
    <w:rsid w:val="00101CD8"/>
    <w:rsid w:val="001021BB"/>
    <w:rsid w:val="00104227"/>
    <w:rsid w:val="00104716"/>
    <w:rsid w:val="00104938"/>
    <w:rsid w:val="00110576"/>
    <w:rsid w:val="00110B42"/>
    <w:rsid w:val="00113432"/>
    <w:rsid w:val="001151B5"/>
    <w:rsid w:val="00115FE7"/>
    <w:rsid w:val="00116F46"/>
    <w:rsid w:val="00120F3A"/>
    <w:rsid w:val="0012139B"/>
    <w:rsid w:val="00126338"/>
    <w:rsid w:val="00126E97"/>
    <w:rsid w:val="001303CC"/>
    <w:rsid w:val="001323DD"/>
    <w:rsid w:val="001323F8"/>
    <w:rsid w:val="001332A5"/>
    <w:rsid w:val="00140826"/>
    <w:rsid w:val="0014083D"/>
    <w:rsid w:val="00141D88"/>
    <w:rsid w:val="00144170"/>
    <w:rsid w:val="00144873"/>
    <w:rsid w:val="00145C30"/>
    <w:rsid w:val="001467F2"/>
    <w:rsid w:val="0014729B"/>
    <w:rsid w:val="00150F97"/>
    <w:rsid w:val="00151084"/>
    <w:rsid w:val="001526E3"/>
    <w:rsid w:val="00153C10"/>
    <w:rsid w:val="00154554"/>
    <w:rsid w:val="00160C3B"/>
    <w:rsid w:val="0016124E"/>
    <w:rsid w:val="00161A1B"/>
    <w:rsid w:val="00162FB9"/>
    <w:rsid w:val="00163355"/>
    <w:rsid w:val="00164890"/>
    <w:rsid w:val="00165AE8"/>
    <w:rsid w:val="00165B5D"/>
    <w:rsid w:val="001678AE"/>
    <w:rsid w:val="00172E54"/>
    <w:rsid w:val="00175B4A"/>
    <w:rsid w:val="00175B85"/>
    <w:rsid w:val="00176419"/>
    <w:rsid w:val="00180688"/>
    <w:rsid w:val="00182509"/>
    <w:rsid w:val="00182E5D"/>
    <w:rsid w:val="00183845"/>
    <w:rsid w:val="00192176"/>
    <w:rsid w:val="00192264"/>
    <w:rsid w:val="00192DF1"/>
    <w:rsid w:val="0019358C"/>
    <w:rsid w:val="001944A9"/>
    <w:rsid w:val="001947A1"/>
    <w:rsid w:val="001958D2"/>
    <w:rsid w:val="00195AEB"/>
    <w:rsid w:val="001A06C5"/>
    <w:rsid w:val="001A0F82"/>
    <w:rsid w:val="001A4121"/>
    <w:rsid w:val="001A4B76"/>
    <w:rsid w:val="001A7A85"/>
    <w:rsid w:val="001B2FE4"/>
    <w:rsid w:val="001B3C3F"/>
    <w:rsid w:val="001B4304"/>
    <w:rsid w:val="001B7EEA"/>
    <w:rsid w:val="001C360D"/>
    <w:rsid w:val="001C4E14"/>
    <w:rsid w:val="001C71CE"/>
    <w:rsid w:val="001C755D"/>
    <w:rsid w:val="001D33C5"/>
    <w:rsid w:val="001D398B"/>
    <w:rsid w:val="001D4A85"/>
    <w:rsid w:val="001D4ADD"/>
    <w:rsid w:val="001D653C"/>
    <w:rsid w:val="001D6D99"/>
    <w:rsid w:val="001E15F8"/>
    <w:rsid w:val="001E1A5E"/>
    <w:rsid w:val="001E2F0A"/>
    <w:rsid w:val="001E75CF"/>
    <w:rsid w:val="001F137E"/>
    <w:rsid w:val="001F2B58"/>
    <w:rsid w:val="001F3E43"/>
    <w:rsid w:val="001F58AF"/>
    <w:rsid w:val="001F5CF8"/>
    <w:rsid w:val="00200BE0"/>
    <w:rsid w:val="00203214"/>
    <w:rsid w:val="00205C8A"/>
    <w:rsid w:val="002075F4"/>
    <w:rsid w:val="00210C01"/>
    <w:rsid w:val="00215FE6"/>
    <w:rsid w:val="00216F83"/>
    <w:rsid w:val="00220A5D"/>
    <w:rsid w:val="00222088"/>
    <w:rsid w:val="002221E8"/>
    <w:rsid w:val="00222FE8"/>
    <w:rsid w:val="0022335F"/>
    <w:rsid w:val="00223915"/>
    <w:rsid w:val="00224086"/>
    <w:rsid w:val="00227684"/>
    <w:rsid w:val="00230074"/>
    <w:rsid w:val="00230A99"/>
    <w:rsid w:val="00230D10"/>
    <w:rsid w:val="00230E05"/>
    <w:rsid w:val="00232598"/>
    <w:rsid w:val="00232874"/>
    <w:rsid w:val="00234029"/>
    <w:rsid w:val="0023430D"/>
    <w:rsid w:val="00236CC7"/>
    <w:rsid w:val="00237FD0"/>
    <w:rsid w:val="002411BC"/>
    <w:rsid w:val="002429E2"/>
    <w:rsid w:val="00242F6B"/>
    <w:rsid w:val="00244AAE"/>
    <w:rsid w:val="00246A0D"/>
    <w:rsid w:val="00247D00"/>
    <w:rsid w:val="002509D5"/>
    <w:rsid w:val="0025281A"/>
    <w:rsid w:val="00256082"/>
    <w:rsid w:val="002568B8"/>
    <w:rsid w:val="00257605"/>
    <w:rsid w:val="00260778"/>
    <w:rsid w:val="00262C10"/>
    <w:rsid w:val="00262E26"/>
    <w:rsid w:val="00265390"/>
    <w:rsid w:val="00267746"/>
    <w:rsid w:val="0027053A"/>
    <w:rsid w:val="00270B1F"/>
    <w:rsid w:val="00280C0D"/>
    <w:rsid w:val="00281C83"/>
    <w:rsid w:val="00281EE4"/>
    <w:rsid w:val="002843FE"/>
    <w:rsid w:val="00284E56"/>
    <w:rsid w:val="0028644F"/>
    <w:rsid w:val="002870E2"/>
    <w:rsid w:val="002871E6"/>
    <w:rsid w:val="002903DF"/>
    <w:rsid w:val="0029227E"/>
    <w:rsid w:val="00292C96"/>
    <w:rsid w:val="00293039"/>
    <w:rsid w:val="002940FB"/>
    <w:rsid w:val="0029421C"/>
    <w:rsid w:val="0029560A"/>
    <w:rsid w:val="002958B7"/>
    <w:rsid w:val="0029755E"/>
    <w:rsid w:val="002A1991"/>
    <w:rsid w:val="002A1C30"/>
    <w:rsid w:val="002A1C84"/>
    <w:rsid w:val="002A25C8"/>
    <w:rsid w:val="002A3171"/>
    <w:rsid w:val="002A4D72"/>
    <w:rsid w:val="002B12BB"/>
    <w:rsid w:val="002B7466"/>
    <w:rsid w:val="002B7CB9"/>
    <w:rsid w:val="002B7D77"/>
    <w:rsid w:val="002C30ED"/>
    <w:rsid w:val="002C3B6A"/>
    <w:rsid w:val="002C3EA9"/>
    <w:rsid w:val="002C3F4B"/>
    <w:rsid w:val="002C42EC"/>
    <w:rsid w:val="002C454D"/>
    <w:rsid w:val="002C5FAF"/>
    <w:rsid w:val="002C62CF"/>
    <w:rsid w:val="002C6A11"/>
    <w:rsid w:val="002C6FE5"/>
    <w:rsid w:val="002D0587"/>
    <w:rsid w:val="002D1116"/>
    <w:rsid w:val="002D3449"/>
    <w:rsid w:val="002D548D"/>
    <w:rsid w:val="002D6B97"/>
    <w:rsid w:val="002D7072"/>
    <w:rsid w:val="002D73DF"/>
    <w:rsid w:val="002E0594"/>
    <w:rsid w:val="002E340A"/>
    <w:rsid w:val="002E48C0"/>
    <w:rsid w:val="002E56A3"/>
    <w:rsid w:val="002E6AFF"/>
    <w:rsid w:val="002E7668"/>
    <w:rsid w:val="002F0372"/>
    <w:rsid w:val="002F07B4"/>
    <w:rsid w:val="002F15C6"/>
    <w:rsid w:val="002F2291"/>
    <w:rsid w:val="002F63B0"/>
    <w:rsid w:val="002F7C20"/>
    <w:rsid w:val="003010A5"/>
    <w:rsid w:val="003031D6"/>
    <w:rsid w:val="00304C16"/>
    <w:rsid w:val="00305542"/>
    <w:rsid w:val="00310F62"/>
    <w:rsid w:val="00311869"/>
    <w:rsid w:val="0031338E"/>
    <w:rsid w:val="00313CA8"/>
    <w:rsid w:val="00314F7E"/>
    <w:rsid w:val="003150C4"/>
    <w:rsid w:val="0031610F"/>
    <w:rsid w:val="003161FE"/>
    <w:rsid w:val="00320A5F"/>
    <w:rsid w:val="00322F02"/>
    <w:rsid w:val="00323332"/>
    <w:rsid w:val="00323541"/>
    <w:rsid w:val="00323F66"/>
    <w:rsid w:val="003311AA"/>
    <w:rsid w:val="00333201"/>
    <w:rsid w:val="00334299"/>
    <w:rsid w:val="00334E5C"/>
    <w:rsid w:val="00336E60"/>
    <w:rsid w:val="00350B8A"/>
    <w:rsid w:val="00352B95"/>
    <w:rsid w:val="003573DE"/>
    <w:rsid w:val="003604C1"/>
    <w:rsid w:val="00361386"/>
    <w:rsid w:val="00363296"/>
    <w:rsid w:val="0036339F"/>
    <w:rsid w:val="00363CAB"/>
    <w:rsid w:val="0036451D"/>
    <w:rsid w:val="00364A44"/>
    <w:rsid w:val="00365F54"/>
    <w:rsid w:val="00365FD4"/>
    <w:rsid w:val="003663AC"/>
    <w:rsid w:val="003734A2"/>
    <w:rsid w:val="0038011A"/>
    <w:rsid w:val="00384EB1"/>
    <w:rsid w:val="003861D1"/>
    <w:rsid w:val="00387E33"/>
    <w:rsid w:val="00391BD5"/>
    <w:rsid w:val="00391DAF"/>
    <w:rsid w:val="003924F9"/>
    <w:rsid w:val="00396C68"/>
    <w:rsid w:val="00396D73"/>
    <w:rsid w:val="003A0771"/>
    <w:rsid w:val="003A095A"/>
    <w:rsid w:val="003A0EB3"/>
    <w:rsid w:val="003A13B3"/>
    <w:rsid w:val="003A330B"/>
    <w:rsid w:val="003A4451"/>
    <w:rsid w:val="003A5C11"/>
    <w:rsid w:val="003A7082"/>
    <w:rsid w:val="003A733E"/>
    <w:rsid w:val="003B02CF"/>
    <w:rsid w:val="003B3599"/>
    <w:rsid w:val="003B4E3F"/>
    <w:rsid w:val="003B624C"/>
    <w:rsid w:val="003B6DC7"/>
    <w:rsid w:val="003C0CC1"/>
    <w:rsid w:val="003C1657"/>
    <w:rsid w:val="003C185A"/>
    <w:rsid w:val="003C2E3C"/>
    <w:rsid w:val="003C3109"/>
    <w:rsid w:val="003C4421"/>
    <w:rsid w:val="003C76E8"/>
    <w:rsid w:val="003D2B6D"/>
    <w:rsid w:val="003D4886"/>
    <w:rsid w:val="003D6BAC"/>
    <w:rsid w:val="003E0BD4"/>
    <w:rsid w:val="003E0C37"/>
    <w:rsid w:val="003E1301"/>
    <w:rsid w:val="003E27BF"/>
    <w:rsid w:val="003E5974"/>
    <w:rsid w:val="003E5C73"/>
    <w:rsid w:val="003E602D"/>
    <w:rsid w:val="003E6B00"/>
    <w:rsid w:val="003E71D4"/>
    <w:rsid w:val="003F09C1"/>
    <w:rsid w:val="003F5801"/>
    <w:rsid w:val="003F5A6B"/>
    <w:rsid w:val="003F653F"/>
    <w:rsid w:val="003F722E"/>
    <w:rsid w:val="003F7CCC"/>
    <w:rsid w:val="003F7CDF"/>
    <w:rsid w:val="004000B3"/>
    <w:rsid w:val="004054CC"/>
    <w:rsid w:val="00405EF1"/>
    <w:rsid w:val="004102A5"/>
    <w:rsid w:val="00410B82"/>
    <w:rsid w:val="00411666"/>
    <w:rsid w:val="00411DDB"/>
    <w:rsid w:val="00412BA3"/>
    <w:rsid w:val="00413303"/>
    <w:rsid w:val="00415583"/>
    <w:rsid w:val="0041694E"/>
    <w:rsid w:val="00417FD1"/>
    <w:rsid w:val="00421067"/>
    <w:rsid w:val="00423040"/>
    <w:rsid w:val="00426860"/>
    <w:rsid w:val="0043132E"/>
    <w:rsid w:val="004344D7"/>
    <w:rsid w:val="00436A4C"/>
    <w:rsid w:val="0043737A"/>
    <w:rsid w:val="00437D1C"/>
    <w:rsid w:val="004422D2"/>
    <w:rsid w:val="00442A00"/>
    <w:rsid w:val="00442D72"/>
    <w:rsid w:val="00442E19"/>
    <w:rsid w:val="0044319C"/>
    <w:rsid w:val="00444E11"/>
    <w:rsid w:val="0044654D"/>
    <w:rsid w:val="00446DEC"/>
    <w:rsid w:val="00447578"/>
    <w:rsid w:val="00452A38"/>
    <w:rsid w:val="00453227"/>
    <w:rsid w:val="00457E51"/>
    <w:rsid w:val="00460D1A"/>
    <w:rsid w:val="00462701"/>
    <w:rsid w:val="0046281B"/>
    <w:rsid w:val="0046306B"/>
    <w:rsid w:val="00465A23"/>
    <w:rsid w:val="004665D2"/>
    <w:rsid w:val="004671C0"/>
    <w:rsid w:val="004721E0"/>
    <w:rsid w:val="00480B64"/>
    <w:rsid w:val="004819FD"/>
    <w:rsid w:val="004830C4"/>
    <w:rsid w:val="0048432B"/>
    <w:rsid w:val="0048442F"/>
    <w:rsid w:val="00486335"/>
    <w:rsid w:val="004863A0"/>
    <w:rsid w:val="00490032"/>
    <w:rsid w:val="00491419"/>
    <w:rsid w:val="00491A62"/>
    <w:rsid w:val="0049427E"/>
    <w:rsid w:val="004950BD"/>
    <w:rsid w:val="00495434"/>
    <w:rsid w:val="004959CB"/>
    <w:rsid w:val="0049670A"/>
    <w:rsid w:val="00496CED"/>
    <w:rsid w:val="004A12D3"/>
    <w:rsid w:val="004A14F7"/>
    <w:rsid w:val="004A152B"/>
    <w:rsid w:val="004A3D2A"/>
    <w:rsid w:val="004A40C0"/>
    <w:rsid w:val="004A42D6"/>
    <w:rsid w:val="004A523E"/>
    <w:rsid w:val="004A61CA"/>
    <w:rsid w:val="004A74FE"/>
    <w:rsid w:val="004B061B"/>
    <w:rsid w:val="004B1C4F"/>
    <w:rsid w:val="004B2973"/>
    <w:rsid w:val="004B46B0"/>
    <w:rsid w:val="004B5A20"/>
    <w:rsid w:val="004B7C0E"/>
    <w:rsid w:val="004C0033"/>
    <w:rsid w:val="004C18E7"/>
    <w:rsid w:val="004C3AB1"/>
    <w:rsid w:val="004C3ADE"/>
    <w:rsid w:val="004C68E0"/>
    <w:rsid w:val="004D11CF"/>
    <w:rsid w:val="004D1542"/>
    <w:rsid w:val="004D2902"/>
    <w:rsid w:val="004D2C28"/>
    <w:rsid w:val="004D474E"/>
    <w:rsid w:val="004D4B6C"/>
    <w:rsid w:val="004D4FFA"/>
    <w:rsid w:val="004D60C1"/>
    <w:rsid w:val="004D7E84"/>
    <w:rsid w:val="004E0247"/>
    <w:rsid w:val="004E2CE3"/>
    <w:rsid w:val="004E43C1"/>
    <w:rsid w:val="004E784D"/>
    <w:rsid w:val="004F13B5"/>
    <w:rsid w:val="004F1E23"/>
    <w:rsid w:val="004F46F5"/>
    <w:rsid w:val="004F4DBF"/>
    <w:rsid w:val="004F7004"/>
    <w:rsid w:val="004F77F9"/>
    <w:rsid w:val="005004A7"/>
    <w:rsid w:val="0050147F"/>
    <w:rsid w:val="00502135"/>
    <w:rsid w:val="005021E6"/>
    <w:rsid w:val="00502294"/>
    <w:rsid w:val="00506E8A"/>
    <w:rsid w:val="00511B9F"/>
    <w:rsid w:val="00512F3D"/>
    <w:rsid w:val="0051572E"/>
    <w:rsid w:val="00516134"/>
    <w:rsid w:val="0051688B"/>
    <w:rsid w:val="00520A36"/>
    <w:rsid w:val="00523934"/>
    <w:rsid w:val="00523F83"/>
    <w:rsid w:val="00524C49"/>
    <w:rsid w:val="00525BBB"/>
    <w:rsid w:val="0053017E"/>
    <w:rsid w:val="005307AC"/>
    <w:rsid w:val="0053142F"/>
    <w:rsid w:val="00536A7B"/>
    <w:rsid w:val="005436C5"/>
    <w:rsid w:val="00543A07"/>
    <w:rsid w:val="00543FFB"/>
    <w:rsid w:val="00544647"/>
    <w:rsid w:val="00545C85"/>
    <w:rsid w:val="005469FD"/>
    <w:rsid w:val="00554724"/>
    <w:rsid w:val="00556593"/>
    <w:rsid w:val="005569E6"/>
    <w:rsid w:val="00556DBC"/>
    <w:rsid w:val="0055760D"/>
    <w:rsid w:val="005604EA"/>
    <w:rsid w:val="0056111C"/>
    <w:rsid w:val="00561DFB"/>
    <w:rsid w:val="005630EB"/>
    <w:rsid w:val="00563AEA"/>
    <w:rsid w:val="0056500B"/>
    <w:rsid w:val="00565C5A"/>
    <w:rsid w:val="00565E15"/>
    <w:rsid w:val="005679B6"/>
    <w:rsid w:val="00576D40"/>
    <w:rsid w:val="00577067"/>
    <w:rsid w:val="005804C9"/>
    <w:rsid w:val="005829AC"/>
    <w:rsid w:val="00583EFA"/>
    <w:rsid w:val="00586340"/>
    <w:rsid w:val="0059015D"/>
    <w:rsid w:val="00593386"/>
    <w:rsid w:val="0059342B"/>
    <w:rsid w:val="0059453A"/>
    <w:rsid w:val="0059674C"/>
    <w:rsid w:val="005A4724"/>
    <w:rsid w:val="005A474F"/>
    <w:rsid w:val="005A576C"/>
    <w:rsid w:val="005A688C"/>
    <w:rsid w:val="005B1E96"/>
    <w:rsid w:val="005B257E"/>
    <w:rsid w:val="005B2CF9"/>
    <w:rsid w:val="005B2FFB"/>
    <w:rsid w:val="005B64E6"/>
    <w:rsid w:val="005B65FA"/>
    <w:rsid w:val="005B69B2"/>
    <w:rsid w:val="005C2AFD"/>
    <w:rsid w:val="005C36D0"/>
    <w:rsid w:val="005D0A50"/>
    <w:rsid w:val="005D18D7"/>
    <w:rsid w:val="005D2AA8"/>
    <w:rsid w:val="005D382B"/>
    <w:rsid w:val="005D4B94"/>
    <w:rsid w:val="005D62DC"/>
    <w:rsid w:val="005E06B0"/>
    <w:rsid w:val="005E2116"/>
    <w:rsid w:val="005E2DF7"/>
    <w:rsid w:val="005E4860"/>
    <w:rsid w:val="005E4CBC"/>
    <w:rsid w:val="005E5D73"/>
    <w:rsid w:val="005E6AB7"/>
    <w:rsid w:val="005F18EA"/>
    <w:rsid w:val="005F1CB0"/>
    <w:rsid w:val="005F248C"/>
    <w:rsid w:val="005F3A0B"/>
    <w:rsid w:val="00601C56"/>
    <w:rsid w:val="0060276A"/>
    <w:rsid w:val="0060441C"/>
    <w:rsid w:val="0060489D"/>
    <w:rsid w:val="00604C73"/>
    <w:rsid w:val="0060783F"/>
    <w:rsid w:val="00607F3F"/>
    <w:rsid w:val="00611B1B"/>
    <w:rsid w:val="00612E7B"/>
    <w:rsid w:val="00620E21"/>
    <w:rsid w:val="00623265"/>
    <w:rsid w:val="00626294"/>
    <w:rsid w:val="00626EEE"/>
    <w:rsid w:val="00635092"/>
    <w:rsid w:val="0063688A"/>
    <w:rsid w:val="00641478"/>
    <w:rsid w:val="006445A5"/>
    <w:rsid w:val="00644826"/>
    <w:rsid w:val="00644D51"/>
    <w:rsid w:val="00645518"/>
    <w:rsid w:val="006504B1"/>
    <w:rsid w:val="00652029"/>
    <w:rsid w:val="00653C19"/>
    <w:rsid w:val="00654024"/>
    <w:rsid w:val="00654D1A"/>
    <w:rsid w:val="006562EA"/>
    <w:rsid w:val="00656378"/>
    <w:rsid w:val="006564BD"/>
    <w:rsid w:val="00656993"/>
    <w:rsid w:val="006574B9"/>
    <w:rsid w:val="006608B4"/>
    <w:rsid w:val="00662065"/>
    <w:rsid w:val="00662333"/>
    <w:rsid w:val="006669D9"/>
    <w:rsid w:val="00671F55"/>
    <w:rsid w:val="006775DA"/>
    <w:rsid w:val="00683D3C"/>
    <w:rsid w:val="006844DD"/>
    <w:rsid w:val="006864FE"/>
    <w:rsid w:val="00686A2C"/>
    <w:rsid w:val="0069101A"/>
    <w:rsid w:val="00691FE5"/>
    <w:rsid w:val="006926C1"/>
    <w:rsid w:val="0069378E"/>
    <w:rsid w:val="006943D6"/>
    <w:rsid w:val="00696754"/>
    <w:rsid w:val="00696AF9"/>
    <w:rsid w:val="006A0780"/>
    <w:rsid w:val="006A2112"/>
    <w:rsid w:val="006A6659"/>
    <w:rsid w:val="006B133B"/>
    <w:rsid w:val="006B169B"/>
    <w:rsid w:val="006B2989"/>
    <w:rsid w:val="006B4D58"/>
    <w:rsid w:val="006B5C09"/>
    <w:rsid w:val="006B7843"/>
    <w:rsid w:val="006C1D4F"/>
    <w:rsid w:val="006C4D54"/>
    <w:rsid w:val="006C4F73"/>
    <w:rsid w:val="006D0F48"/>
    <w:rsid w:val="006D1E91"/>
    <w:rsid w:val="006D2BEE"/>
    <w:rsid w:val="006D3254"/>
    <w:rsid w:val="006D3583"/>
    <w:rsid w:val="006D3A1A"/>
    <w:rsid w:val="006E1544"/>
    <w:rsid w:val="006E1D69"/>
    <w:rsid w:val="006E1DF7"/>
    <w:rsid w:val="006E3A6F"/>
    <w:rsid w:val="006E5B1B"/>
    <w:rsid w:val="006F0FB3"/>
    <w:rsid w:val="006F16F1"/>
    <w:rsid w:val="006F22EA"/>
    <w:rsid w:val="006F2469"/>
    <w:rsid w:val="006F4584"/>
    <w:rsid w:val="006F4B81"/>
    <w:rsid w:val="006F69B4"/>
    <w:rsid w:val="00701ADF"/>
    <w:rsid w:val="00702115"/>
    <w:rsid w:val="00703692"/>
    <w:rsid w:val="007047E7"/>
    <w:rsid w:val="00704AE5"/>
    <w:rsid w:val="00705D5C"/>
    <w:rsid w:val="007067DE"/>
    <w:rsid w:val="00706C9D"/>
    <w:rsid w:val="00707210"/>
    <w:rsid w:val="00710843"/>
    <w:rsid w:val="00711351"/>
    <w:rsid w:val="00711521"/>
    <w:rsid w:val="007128C9"/>
    <w:rsid w:val="007163B1"/>
    <w:rsid w:val="007166BB"/>
    <w:rsid w:val="00716FBB"/>
    <w:rsid w:val="00720C14"/>
    <w:rsid w:val="00721349"/>
    <w:rsid w:val="007214DA"/>
    <w:rsid w:val="00724247"/>
    <w:rsid w:val="00725F90"/>
    <w:rsid w:val="00726D04"/>
    <w:rsid w:val="0072727C"/>
    <w:rsid w:val="00731D9B"/>
    <w:rsid w:val="00736421"/>
    <w:rsid w:val="00736ADC"/>
    <w:rsid w:val="00736C6C"/>
    <w:rsid w:val="00737841"/>
    <w:rsid w:val="00737948"/>
    <w:rsid w:val="007427FA"/>
    <w:rsid w:val="007437FC"/>
    <w:rsid w:val="00743B79"/>
    <w:rsid w:val="00745FBE"/>
    <w:rsid w:val="007475D2"/>
    <w:rsid w:val="00750301"/>
    <w:rsid w:val="00756607"/>
    <w:rsid w:val="0075786C"/>
    <w:rsid w:val="0076059C"/>
    <w:rsid w:val="00762950"/>
    <w:rsid w:val="007644C4"/>
    <w:rsid w:val="00765A53"/>
    <w:rsid w:val="00765EF8"/>
    <w:rsid w:val="0076731F"/>
    <w:rsid w:val="00767D30"/>
    <w:rsid w:val="007705A1"/>
    <w:rsid w:val="00772083"/>
    <w:rsid w:val="00772207"/>
    <w:rsid w:val="00772955"/>
    <w:rsid w:val="00775886"/>
    <w:rsid w:val="00776BC0"/>
    <w:rsid w:val="00776C8A"/>
    <w:rsid w:val="00777DC9"/>
    <w:rsid w:val="00782B2E"/>
    <w:rsid w:val="007832C9"/>
    <w:rsid w:val="007834FD"/>
    <w:rsid w:val="0078377E"/>
    <w:rsid w:val="0078572D"/>
    <w:rsid w:val="00785AEC"/>
    <w:rsid w:val="0078626E"/>
    <w:rsid w:val="0078768A"/>
    <w:rsid w:val="00790C51"/>
    <w:rsid w:val="00796E07"/>
    <w:rsid w:val="0079738C"/>
    <w:rsid w:val="00797FC6"/>
    <w:rsid w:val="007A0EEA"/>
    <w:rsid w:val="007A1366"/>
    <w:rsid w:val="007A1692"/>
    <w:rsid w:val="007A22A0"/>
    <w:rsid w:val="007A35A0"/>
    <w:rsid w:val="007B1B5B"/>
    <w:rsid w:val="007B22CA"/>
    <w:rsid w:val="007B3611"/>
    <w:rsid w:val="007B39AC"/>
    <w:rsid w:val="007B4072"/>
    <w:rsid w:val="007B4409"/>
    <w:rsid w:val="007B5E66"/>
    <w:rsid w:val="007C0734"/>
    <w:rsid w:val="007C2C70"/>
    <w:rsid w:val="007D18E1"/>
    <w:rsid w:val="007D4381"/>
    <w:rsid w:val="007D4551"/>
    <w:rsid w:val="007D62B8"/>
    <w:rsid w:val="007D7A79"/>
    <w:rsid w:val="007E0A68"/>
    <w:rsid w:val="007E0C61"/>
    <w:rsid w:val="007E0D78"/>
    <w:rsid w:val="007E16F0"/>
    <w:rsid w:val="007E2A85"/>
    <w:rsid w:val="007E3C6C"/>
    <w:rsid w:val="007E5C99"/>
    <w:rsid w:val="007E5DAC"/>
    <w:rsid w:val="007E7060"/>
    <w:rsid w:val="007E7762"/>
    <w:rsid w:val="007F0FDC"/>
    <w:rsid w:val="007F3490"/>
    <w:rsid w:val="007F34DB"/>
    <w:rsid w:val="007F5234"/>
    <w:rsid w:val="007F5BA9"/>
    <w:rsid w:val="00800133"/>
    <w:rsid w:val="008002BD"/>
    <w:rsid w:val="00800490"/>
    <w:rsid w:val="00802138"/>
    <w:rsid w:val="008034D1"/>
    <w:rsid w:val="00805CA2"/>
    <w:rsid w:val="00806DE9"/>
    <w:rsid w:val="008078B9"/>
    <w:rsid w:val="00811C22"/>
    <w:rsid w:val="008152DA"/>
    <w:rsid w:val="0081653E"/>
    <w:rsid w:val="00816B7C"/>
    <w:rsid w:val="008249AE"/>
    <w:rsid w:val="00824E88"/>
    <w:rsid w:val="00824F6E"/>
    <w:rsid w:val="00830F62"/>
    <w:rsid w:val="008323BD"/>
    <w:rsid w:val="00833C83"/>
    <w:rsid w:val="008375D3"/>
    <w:rsid w:val="00844291"/>
    <w:rsid w:val="008452C9"/>
    <w:rsid w:val="008456EA"/>
    <w:rsid w:val="00845890"/>
    <w:rsid w:val="0085142C"/>
    <w:rsid w:val="0085226A"/>
    <w:rsid w:val="00852295"/>
    <w:rsid w:val="008531BC"/>
    <w:rsid w:val="00853385"/>
    <w:rsid w:val="00854B3A"/>
    <w:rsid w:val="00856CC5"/>
    <w:rsid w:val="00857C7D"/>
    <w:rsid w:val="0086092B"/>
    <w:rsid w:val="00861401"/>
    <w:rsid w:val="00867232"/>
    <w:rsid w:val="0086767F"/>
    <w:rsid w:val="00867D08"/>
    <w:rsid w:val="008700B5"/>
    <w:rsid w:val="008702D0"/>
    <w:rsid w:val="00870B44"/>
    <w:rsid w:val="00871D48"/>
    <w:rsid w:val="00872744"/>
    <w:rsid w:val="00872AFA"/>
    <w:rsid w:val="008746CC"/>
    <w:rsid w:val="00875018"/>
    <w:rsid w:val="00876CF3"/>
    <w:rsid w:val="008771A3"/>
    <w:rsid w:val="00877803"/>
    <w:rsid w:val="0088211F"/>
    <w:rsid w:val="00882C16"/>
    <w:rsid w:val="00883560"/>
    <w:rsid w:val="00884830"/>
    <w:rsid w:val="00885CCE"/>
    <w:rsid w:val="00886063"/>
    <w:rsid w:val="0088698C"/>
    <w:rsid w:val="00887D67"/>
    <w:rsid w:val="00891113"/>
    <w:rsid w:val="0089377C"/>
    <w:rsid w:val="008960FA"/>
    <w:rsid w:val="008B2222"/>
    <w:rsid w:val="008B45A7"/>
    <w:rsid w:val="008B4CBC"/>
    <w:rsid w:val="008B5433"/>
    <w:rsid w:val="008B72DA"/>
    <w:rsid w:val="008C17B2"/>
    <w:rsid w:val="008C2055"/>
    <w:rsid w:val="008C28A4"/>
    <w:rsid w:val="008C3A45"/>
    <w:rsid w:val="008C3CFA"/>
    <w:rsid w:val="008C4F06"/>
    <w:rsid w:val="008C5171"/>
    <w:rsid w:val="008C76C8"/>
    <w:rsid w:val="008C7B5A"/>
    <w:rsid w:val="008D0800"/>
    <w:rsid w:val="008D1EE0"/>
    <w:rsid w:val="008D5AD4"/>
    <w:rsid w:val="008D5CE8"/>
    <w:rsid w:val="008E0AAA"/>
    <w:rsid w:val="008E1DFC"/>
    <w:rsid w:val="008E21F3"/>
    <w:rsid w:val="008E46FD"/>
    <w:rsid w:val="008E509D"/>
    <w:rsid w:val="008E558B"/>
    <w:rsid w:val="008F1CBA"/>
    <w:rsid w:val="008F2FDE"/>
    <w:rsid w:val="008F3105"/>
    <w:rsid w:val="008F6B37"/>
    <w:rsid w:val="00900342"/>
    <w:rsid w:val="009008CE"/>
    <w:rsid w:val="0090160A"/>
    <w:rsid w:val="00901C6B"/>
    <w:rsid w:val="00902311"/>
    <w:rsid w:val="0090544B"/>
    <w:rsid w:val="009121BB"/>
    <w:rsid w:val="00912514"/>
    <w:rsid w:val="00920727"/>
    <w:rsid w:val="009236F5"/>
    <w:rsid w:val="0092371C"/>
    <w:rsid w:val="0092529C"/>
    <w:rsid w:val="009268B1"/>
    <w:rsid w:val="0092761E"/>
    <w:rsid w:val="00930AE5"/>
    <w:rsid w:val="00931F3E"/>
    <w:rsid w:val="00933091"/>
    <w:rsid w:val="00933AB4"/>
    <w:rsid w:val="00935531"/>
    <w:rsid w:val="00942EAF"/>
    <w:rsid w:val="0094455D"/>
    <w:rsid w:val="00946723"/>
    <w:rsid w:val="00947007"/>
    <w:rsid w:val="0095087B"/>
    <w:rsid w:val="00951816"/>
    <w:rsid w:val="00952E5A"/>
    <w:rsid w:val="00955E27"/>
    <w:rsid w:val="009601DB"/>
    <w:rsid w:val="00961BC4"/>
    <w:rsid w:val="00961C98"/>
    <w:rsid w:val="009626AA"/>
    <w:rsid w:val="00963709"/>
    <w:rsid w:val="009646C5"/>
    <w:rsid w:val="00965612"/>
    <w:rsid w:val="009663E4"/>
    <w:rsid w:val="00966547"/>
    <w:rsid w:val="009736B6"/>
    <w:rsid w:val="0097575E"/>
    <w:rsid w:val="00975E2B"/>
    <w:rsid w:val="00976094"/>
    <w:rsid w:val="00984377"/>
    <w:rsid w:val="00984D87"/>
    <w:rsid w:val="0098641F"/>
    <w:rsid w:val="0098648C"/>
    <w:rsid w:val="00986A3F"/>
    <w:rsid w:val="00986CF9"/>
    <w:rsid w:val="00987B3B"/>
    <w:rsid w:val="00996439"/>
    <w:rsid w:val="00996F4A"/>
    <w:rsid w:val="00997162"/>
    <w:rsid w:val="009A61E1"/>
    <w:rsid w:val="009B120E"/>
    <w:rsid w:val="009B22EF"/>
    <w:rsid w:val="009B29B8"/>
    <w:rsid w:val="009B3AB6"/>
    <w:rsid w:val="009B3ED4"/>
    <w:rsid w:val="009B4B32"/>
    <w:rsid w:val="009B6A73"/>
    <w:rsid w:val="009B70A0"/>
    <w:rsid w:val="009C327A"/>
    <w:rsid w:val="009C366B"/>
    <w:rsid w:val="009C389D"/>
    <w:rsid w:val="009C4305"/>
    <w:rsid w:val="009C7A4F"/>
    <w:rsid w:val="009D0B26"/>
    <w:rsid w:val="009D123D"/>
    <w:rsid w:val="009D1E41"/>
    <w:rsid w:val="009D79FD"/>
    <w:rsid w:val="009E1221"/>
    <w:rsid w:val="009E172B"/>
    <w:rsid w:val="009E223A"/>
    <w:rsid w:val="009E24E6"/>
    <w:rsid w:val="009E2730"/>
    <w:rsid w:val="009E580D"/>
    <w:rsid w:val="009E6746"/>
    <w:rsid w:val="009E6F36"/>
    <w:rsid w:val="009F26E4"/>
    <w:rsid w:val="009F2B38"/>
    <w:rsid w:val="009F3A75"/>
    <w:rsid w:val="009F5993"/>
    <w:rsid w:val="009F63AA"/>
    <w:rsid w:val="00A0184A"/>
    <w:rsid w:val="00A06570"/>
    <w:rsid w:val="00A07172"/>
    <w:rsid w:val="00A072A6"/>
    <w:rsid w:val="00A1030E"/>
    <w:rsid w:val="00A11A7F"/>
    <w:rsid w:val="00A136EA"/>
    <w:rsid w:val="00A146FF"/>
    <w:rsid w:val="00A16399"/>
    <w:rsid w:val="00A164D0"/>
    <w:rsid w:val="00A21703"/>
    <w:rsid w:val="00A2230C"/>
    <w:rsid w:val="00A22827"/>
    <w:rsid w:val="00A23BE3"/>
    <w:rsid w:val="00A25AE7"/>
    <w:rsid w:val="00A27292"/>
    <w:rsid w:val="00A33D64"/>
    <w:rsid w:val="00A35850"/>
    <w:rsid w:val="00A376FC"/>
    <w:rsid w:val="00A4209E"/>
    <w:rsid w:val="00A431D8"/>
    <w:rsid w:val="00A43C06"/>
    <w:rsid w:val="00A4551E"/>
    <w:rsid w:val="00A45B2F"/>
    <w:rsid w:val="00A46237"/>
    <w:rsid w:val="00A50988"/>
    <w:rsid w:val="00A51B81"/>
    <w:rsid w:val="00A51E28"/>
    <w:rsid w:val="00A52E6C"/>
    <w:rsid w:val="00A543D8"/>
    <w:rsid w:val="00A5524A"/>
    <w:rsid w:val="00A553BF"/>
    <w:rsid w:val="00A654C5"/>
    <w:rsid w:val="00A67CD4"/>
    <w:rsid w:val="00A7155F"/>
    <w:rsid w:val="00A72B5F"/>
    <w:rsid w:val="00A75681"/>
    <w:rsid w:val="00A757E1"/>
    <w:rsid w:val="00A759F9"/>
    <w:rsid w:val="00A76F72"/>
    <w:rsid w:val="00A81C5D"/>
    <w:rsid w:val="00A83821"/>
    <w:rsid w:val="00A83CA3"/>
    <w:rsid w:val="00A8481D"/>
    <w:rsid w:val="00A84EFC"/>
    <w:rsid w:val="00A87147"/>
    <w:rsid w:val="00A87DE8"/>
    <w:rsid w:val="00A90828"/>
    <w:rsid w:val="00A914E3"/>
    <w:rsid w:val="00A92858"/>
    <w:rsid w:val="00A92887"/>
    <w:rsid w:val="00A946F9"/>
    <w:rsid w:val="00AA0B08"/>
    <w:rsid w:val="00AA247F"/>
    <w:rsid w:val="00AA2B6D"/>
    <w:rsid w:val="00AA4CF0"/>
    <w:rsid w:val="00AA5475"/>
    <w:rsid w:val="00AB1A4C"/>
    <w:rsid w:val="00AB449E"/>
    <w:rsid w:val="00AB5821"/>
    <w:rsid w:val="00AB5E57"/>
    <w:rsid w:val="00AB66F5"/>
    <w:rsid w:val="00AB6D4D"/>
    <w:rsid w:val="00AC47F8"/>
    <w:rsid w:val="00AC7580"/>
    <w:rsid w:val="00AC7993"/>
    <w:rsid w:val="00AD21C0"/>
    <w:rsid w:val="00AD21EA"/>
    <w:rsid w:val="00AD2917"/>
    <w:rsid w:val="00AD3B02"/>
    <w:rsid w:val="00AD6E12"/>
    <w:rsid w:val="00AE3E85"/>
    <w:rsid w:val="00AE60F7"/>
    <w:rsid w:val="00AE6561"/>
    <w:rsid w:val="00AE6693"/>
    <w:rsid w:val="00AF1F51"/>
    <w:rsid w:val="00AF267F"/>
    <w:rsid w:val="00AF33A6"/>
    <w:rsid w:val="00AF37A9"/>
    <w:rsid w:val="00AF4E1A"/>
    <w:rsid w:val="00AF6FC3"/>
    <w:rsid w:val="00B00BF3"/>
    <w:rsid w:val="00B01BEE"/>
    <w:rsid w:val="00B049BC"/>
    <w:rsid w:val="00B06FBF"/>
    <w:rsid w:val="00B07896"/>
    <w:rsid w:val="00B13083"/>
    <w:rsid w:val="00B13B01"/>
    <w:rsid w:val="00B16DCA"/>
    <w:rsid w:val="00B17390"/>
    <w:rsid w:val="00B24CD6"/>
    <w:rsid w:val="00B25F9C"/>
    <w:rsid w:val="00B264AB"/>
    <w:rsid w:val="00B307D6"/>
    <w:rsid w:val="00B30A2C"/>
    <w:rsid w:val="00B3221F"/>
    <w:rsid w:val="00B3745B"/>
    <w:rsid w:val="00B40875"/>
    <w:rsid w:val="00B41516"/>
    <w:rsid w:val="00B436C8"/>
    <w:rsid w:val="00B46994"/>
    <w:rsid w:val="00B46CCE"/>
    <w:rsid w:val="00B47D56"/>
    <w:rsid w:val="00B51F80"/>
    <w:rsid w:val="00B576AC"/>
    <w:rsid w:val="00B61890"/>
    <w:rsid w:val="00B61946"/>
    <w:rsid w:val="00B61CB5"/>
    <w:rsid w:val="00B639A1"/>
    <w:rsid w:val="00B6416D"/>
    <w:rsid w:val="00B642C0"/>
    <w:rsid w:val="00B66DE3"/>
    <w:rsid w:val="00B67036"/>
    <w:rsid w:val="00B67E73"/>
    <w:rsid w:val="00B708A2"/>
    <w:rsid w:val="00B70C98"/>
    <w:rsid w:val="00B71D04"/>
    <w:rsid w:val="00B74B7D"/>
    <w:rsid w:val="00B74BF7"/>
    <w:rsid w:val="00B76E6C"/>
    <w:rsid w:val="00B8115D"/>
    <w:rsid w:val="00B81421"/>
    <w:rsid w:val="00B8187F"/>
    <w:rsid w:val="00B8248B"/>
    <w:rsid w:val="00B848A2"/>
    <w:rsid w:val="00B84AB0"/>
    <w:rsid w:val="00B87C6A"/>
    <w:rsid w:val="00B927D0"/>
    <w:rsid w:val="00B92AF5"/>
    <w:rsid w:val="00B936FF"/>
    <w:rsid w:val="00B95801"/>
    <w:rsid w:val="00BA0054"/>
    <w:rsid w:val="00BA07FD"/>
    <w:rsid w:val="00BA423C"/>
    <w:rsid w:val="00BA68E9"/>
    <w:rsid w:val="00BA709B"/>
    <w:rsid w:val="00BB0FAF"/>
    <w:rsid w:val="00BB44F7"/>
    <w:rsid w:val="00BB58B5"/>
    <w:rsid w:val="00BB725C"/>
    <w:rsid w:val="00BB7D6E"/>
    <w:rsid w:val="00BC003E"/>
    <w:rsid w:val="00BC0602"/>
    <w:rsid w:val="00BC23C4"/>
    <w:rsid w:val="00BC2A49"/>
    <w:rsid w:val="00BC2FE5"/>
    <w:rsid w:val="00BC353F"/>
    <w:rsid w:val="00BC65BD"/>
    <w:rsid w:val="00BC77C8"/>
    <w:rsid w:val="00BD02E7"/>
    <w:rsid w:val="00BD186E"/>
    <w:rsid w:val="00BD2A12"/>
    <w:rsid w:val="00BD3405"/>
    <w:rsid w:val="00BD49D2"/>
    <w:rsid w:val="00BD4D26"/>
    <w:rsid w:val="00BD5F15"/>
    <w:rsid w:val="00BD62F9"/>
    <w:rsid w:val="00BD6447"/>
    <w:rsid w:val="00BD6C61"/>
    <w:rsid w:val="00BD7344"/>
    <w:rsid w:val="00BD7B79"/>
    <w:rsid w:val="00BE15F7"/>
    <w:rsid w:val="00BE1CB2"/>
    <w:rsid w:val="00BE2190"/>
    <w:rsid w:val="00BE3D20"/>
    <w:rsid w:val="00BE68F7"/>
    <w:rsid w:val="00BF02D6"/>
    <w:rsid w:val="00BF175B"/>
    <w:rsid w:val="00BF1CBA"/>
    <w:rsid w:val="00BF2C14"/>
    <w:rsid w:val="00BF3530"/>
    <w:rsid w:val="00BF3DDD"/>
    <w:rsid w:val="00BF4DBB"/>
    <w:rsid w:val="00BF4FA2"/>
    <w:rsid w:val="00BF583C"/>
    <w:rsid w:val="00C010B6"/>
    <w:rsid w:val="00C016FC"/>
    <w:rsid w:val="00C017FA"/>
    <w:rsid w:val="00C01ED1"/>
    <w:rsid w:val="00C03E76"/>
    <w:rsid w:val="00C0413A"/>
    <w:rsid w:val="00C0429C"/>
    <w:rsid w:val="00C061BB"/>
    <w:rsid w:val="00C063FA"/>
    <w:rsid w:val="00C069E3"/>
    <w:rsid w:val="00C0709B"/>
    <w:rsid w:val="00C10515"/>
    <w:rsid w:val="00C11AE6"/>
    <w:rsid w:val="00C11D12"/>
    <w:rsid w:val="00C134A4"/>
    <w:rsid w:val="00C134EC"/>
    <w:rsid w:val="00C22FCA"/>
    <w:rsid w:val="00C240F1"/>
    <w:rsid w:val="00C2414B"/>
    <w:rsid w:val="00C24798"/>
    <w:rsid w:val="00C24F38"/>
    <w:rsid w:val="00C2659A"/>
    <w:rsid w:val="00C26CA8"/>
    <w:rsid w:val="00C32160"/>
    <w:rsid w:val="00C33AC1"/>
    <w:rsid w:val="00C355A9"/>
    <w:rsid w:val="00C355DE"/>
    <w:rsid w:val="00C40241"/>
    <w:rsid w:val="00C413BC"/>
    <w:rsid w:val="00C41889"/>
    <w:rsid w:val="00C42340"/>
    <w:rsid w:val="00C43C80"/>
    <w:rsid w:val="00C459B7"/>
    <w:rsid w:val="00C46385"/>
    <w:rsid w:val="00C46B63"/>
    <w:rsid w:val="00C50600"/>
    <w:rsid w:val="00C51DF1"/>
    <w:rsid w:val="00C51EB3"/>
    <w:rsid w:val="00C5234C"/>
    <w:rsid w:val="00C54018"/>
    <w:rsid w:val="00C567FA"/>
    <w:rsid w:val="00C56935"/>
    <w:rsid w:val="00C5728D"/>
    <w:rsid w:val="00C63AC2"/>
    <w:rsid w:val="00C65BCD"/>
    <w:rsid w:val="00C70BFD"/>
    <w:rsid w:val="00C72DB5"/>
    <w:rsid w:val="00C75FF6"/>
    <w:rsid w:val="00C808F1"/>
    <w:rsid w:val="00C81953"/>
    <w:rsid w:val="00C827AA"/>
    <w:rsid w:val="00C829AA"/>
    <w:rsid w:val="00C82B2D"/>
    <w:rsid w:val="00C82C78"/>
    <w:rsid w:val="00C835EE"/>
    <w:rsid w:val="00C86151"/>
    <w:rsid w:val="00C86BD9"/>
    <w:rsid w:val="00C86E20"/>
    <w:rsid w:val="00C92186"/>
    <w:rsid w:val="00C92999"/>
    <w:rsid w:val="00C939FC"/>
    <w:rsid w:val="00C93C9F"/>
    <w:rsid w:val="00C97D00"/>
    <w:rsid w:val="00CA0386"/>
    <w:rsid w:val="00CA0A72"/>
    <w:rsid w:val="00CA36C8"/>
    <w:rsid w:val="00CA4ACF"/>
    <w:rsid w:val="00CA5562"/>
    <w:rsid w:val="00CB2A53"/>
    <w:rsid w:val="00CB4BE3"/>
    <w:rsid w:val="00CC55A1"/>
    <w:rsid w:val="00CD02B2"/>
    <w:rsid w:val="00CD0459"/>
    <w:rsid w:val="00CD095E"/>
    <w:rsid w:val="00CD0A03"/>
    <w:rsid w:val="00CD4981"/>
    <w:rsid w:val="00CD50A0"/>
    <w:rsid w:val="00CD7F12"/>
    <w:rsid w:val="00CE31CE"/>
    <w:rsid w:val="00CE4BDA"/>
    <w:rsid w:val="00CE69CE"/>
    <w:rsid w:val="00CF0CDD"/>
    <w:rsid w:val="00CF1CB6"/>
    <w:rsid w:val="00CF2E92"/>
    <w:rsid w:val="00CF6C97"/>
    <w:rsid w:val="00D002AF"/>
    <w:rsid w:val="00D00A3A"/>
    <w:rsid w:val="00D016A2"/>
    <w:rsid w:val="00D0182D"/>
    <w:rsid w:val="00D02B8E"/>
    <w:rsid w:val="00D03ECE"/>
    <w:rsid w:val="00D059E0"/>
    <w:rsid w:val="00D07115"/>
    <w:rsid w:val="00D07A00"/>
    <w:rsid w:val="00D1014A"/>
    <w:rsid w:val="00D10F38"/>
    <w:rsid w:val="00D11B2A"/>
    <w:rsid w:val="00D17BDE"/>
    <w:rsid w:val="00D21BA7"/>
    <w:rsid w:val="00D31625"/>
    <w:rsid w:val="00D3479E"/>
    <w:rsid w:val="00D34812"/>
    <w:rsid w:val="00D36F39"/>
    <w:rsid w:val="00D371AE"/>
    <w:rsid w:val="00D43B63"/>
    <w:rsid w:val="00D45685"/>
    <w:rsid w:val="00D457A6"/>
    <w:rsid w:val="00D4746B"/>
    <w:rsid w:val="00D475CF"/>
    <w:rsid w:val="00D47736"/>
    <w:rsid w:val="00D50B2A"/>
    <w:rsid w:val="00D6127D"/>
    <w:rsid w:val="00D648CD"/>
    <w:rsid w:val="00D64D31"/>
    <w:rsid w:val="00D65FCF"/>
    <w:rsid w:val="00D71783"/>
    <w:rsid w:val="00D717B7"/>
    <w:rsid w:val="00D724F6"/>
    <w:rsid w:val="00D7343D"/>
    <w:rsid w:val="00D739AD"/>
    <w:rsid w:val="00D753DB"/>
    <w:rsid w:val="00D75B2F"/>
    <w:rsid w:val="00D8105E"/>
    <w:rsid w:val="00D83498"/>
    <w:rsid w:val="00D8368A"/>
    <w:rsid w:val="00D838E5"/>
    <w:rsid w:val="00D847C9"/>
    <w:rsid w:val="00D91847"/>
    <w:rsid w:val="00D92B9B"/>
    <w:rsid w:val="00D965E9"/>
    <w:rsid w:val="00DA3FB7"/>
    <w:rsid w:val="00DA5733"/>
    <w:rsid w:val="00DB0E0C"/>
    <w:rsid w:val="00DB113A"/>
    <w:rsid w:val="00DB2A42"/>
    <w:rsid w:val="00DB4D5B"/>
    <w:rsid w:val="00DB65EF"/>
    <w:rsid w:val="00DC0AD8"/>
    <w:rsid w:val="00DC5896"/>
    <w:rsid w:val="00DC63AC"/>
    <w:rsid w:val="00DC6F17"/>
    <w:rsid w:val="00DC7CC6"/>
    <w:rsid w:val="00DD0437"/>
    <w:rsid w:val="00DD16B1"/>
    <w:rsid w:val="00DD2BF2"/>
    <w:rsid w:val="00DD399E"/>
    <w:rsid w:val="00DD44B4"/>
    <w:rsid w:val="00DD4CD8"/>
    <w:rsid w:val="00DD77B8"/>
    <w:rsid w:val="00DD7A53"/>
    <w:rsid w:val="00DE16D2"/>
    <w:rsid w:val="00DE4FA6"/>
    <w:rsid w:val="00DE5461"/>
    <w:rsid w:val="00DE5CEE"/>
    <w:rsid w:val="00DE65E3"/>
    <w:rsid w:val="00DF074A"/>
    <w:rsid w:val="00DF27F8"/>
    <w:rsid w:val="00DF76CA"/>
    <w:rsid w:val="00E00638"/>
    <w:rsid w:val="00E01BAB"/>
    <w:rsid w:val="00E027C0"/>
    <w:rsid w:val="00E05416"/>
    <w:rsid w:val="00E055D5"/>
    <w:rsid w:val="00E1039E"/>
    <w:rsid w:val="00E12137"/>
    <w:rsid w:val="00E20B33"/>
    <w:rsid w:val="00E246E6"/>
    <w:rsid w:val="00E2529B"/>
    <w:rsid w:val="00E2578E"/>
    <w:rsid w:val="00E26EC2"/>
    <w:rsid w:val="00E3041E"/>
    <w:rsid w:val="00E30A08"/>
    <w:rsid w:val="00E31F17"/>
    <w:rsid w:val="00E3366C"/>
    <w:rsid w:val="00E35BA8"/>
    <w:rsid w:val="00E364FD"/>
    <w:rsid w:val="00E36883"/>
    <w:rsid w:val="00E40109"/>
    <w:rsid w:val="00E453D4"/>
    <w:rsid w:val="00E45B1A"/>
    <w:rsid w:val="00E4672F"/>
    <w:rsid w:val="00E46B34"/>
    <w:rsid w:val="00E503BB"/>
    <w:rsid w:val="00E50B50"/>
    <w:rsid w:val="00E54777"/>
    <w:rsid w:val="00E564A5"/>
    <w:rsid w:val="00E56E9F"/>
    <w:rsid w:val="00E56F0D"/>
    <w:rsid w:val="00E60939"/>
    <w:rsid w:val="00E61A46"/>
    <w:rsid w:val="00E62420"/>
    <w:rsid w:val="00E634F0"/>
    <w:rsid w:val="00E63C24"/>
    <w:rsid w:val="00E6425C"/>
    <w:rsid w:val="00E64E9D"/>
    <w:rsid w:val="00E6589C"/>
    <w:rsid w:val="00E65B73"/>
    <w:rsid w:val="00E718E4"/>
    <w:rsid w:val="00E7224A"/>
    <w:rsid w:val="00E72AB9"/>
    <w:rsid w:val="00E74E32"/>
    <w:rsid w:val="00E7620C"/>
    <w:rsid w:val="00E841C2"/>
    <w:rsid w:val="00E84FB4"/>
    <w:rsid w:val="00E8560E"/>
    <w:rsid w:val="00E864C9"/>
    <w:rsid w:val="00E8693F"/>
    <w:rsid w:val="00E928AA"/>
    <w:rsid w:val="00E95799"/>
    <w:rsid w:val="00E97BFB"/>
    <w:rsid w:val="00EA0A5C"/>
    <w:rsid w:val="00EA0F6F"/>
    <w:rsid w:val="00EA281D"/>
    <w:rsid w:val="00EA4721"/>
    <w:rsid w:val="00EA57E1"/>
    <w:rsid w:val="00EA6376"/>
    <w:rsid w:val="00EB075C"/>
    <w:rsid w:val="00EB1529"/>
    <w:rsid w:val="00EB42EE"/>
    <w:rsid w:val="00EB4E5E"/>
    <w:rsid w:val="00EB5C9E"/>
    <w:rsid w:val="00EB7B51"/>
    <w:rsid w:val="00EC03F5"/>
    <w:rsid w:val="00EC12ED"/>
    <w:rsid w:val="00EC363D"/>
    <w:rsid w:val="00EC3934"/>
    <w:rsid w:val="00EC4110"/>
    <w:rsid w:val="00EC4F2B"/>
    <w:rsid w:val="00EC65C0"/>
    <w:rsid w:val="00EC68A2"/>
    <w:rsid w:val="00ED24F0"/>
    <w:rsid w:val="00EE01CA"/>
    <w:rsid w:val="00EE2204"/>
    <w:rsid w:val="00EE3DC4"/>
    <w:rsid w:val="00EE4123"/>
    <w:rsid w:val="00EE434D"/>
    <w:rsid w:val="00EE4D5D"/>
    <w:rsid w:val="00EE50ED"/>
    <w:rsid w:val="00EE5491"/>
    <w:rsid w:val="00EE5E88"/>
    <w:rsid w:val="00EE6156"/>
    <w:rsid w:val="00EE6539"/>
    <w:rsid w:val="00EE6E28"/>
    <w:rsid w:val="00EE78ED"/>
    <w:rsid w:val="00EF0D78"/>
    <w:rsid w:val="00EF108E"/>
    <w:rsid w:val="00EF13F9"/>
    <w:rsid w:val="00F00848"/>
    <w:rsid w:val="00F018CD"/>
    <w:rsid w:val="00F05487"/>
    <w:rsid w:val="00F10122"/>
    <w:rsid w:val="00F107E9"/>
    <w:rsid w:val="00F1132B"/>
    <w:rsid w:val="00F1181E"/>
    <w:rsid w:val="00F137D3"/>
    <w:rsid w:val="00F15E56"/>
    <w:rsid w:val="00F16B9B"/>
    <w:rsid w:val="00F21A6F"/>
    <w:rsid w:val="00F21E35"/>
    <w:rsid w:val="00F22573"/>
    <w:rsid w:val="00F22F71"/>
    <w:rsid w:val="00F244C2"/>
    <w:rsid w:val="00F244CB"/>
    <w:rsid w:val="00F33666"/>
    <w:rsid w:val="00F3423D"/>
    <w:rsid w:val="00F36C45"/>
    <w:rsid w:val="00F36D09"/>
    <w:rsid w:val="00F406A2"/>
    <w:rsid w:val="00F40843"/>
    <w:rsid w:val="00F42450"/>
    <w:rsid w:val="00F4352C"/>
    <w:rsid w:val="00F43795"/>
    <w:rsid w:val="00F46841"/>
    <w:rsid w:val="00F46851"/>
    <w:rsid w:val="00F47343"/>
    <w:rsid w:val="00F47CCB"/>
    <w:rsid w:val="00F549B6"/>
    <w:rsid w:val="00F5655C"/>
    <w:rsid w:val="00F5666C"/>
    <w:rsid w:val="00F61633"/>
    <w:rsid w:val="00F6175D"/>
    <w:rsid w:val="00F6343E"/>
    <w:rsid w:val="00F663A3"/>
    <w:rsid w:val="00F6708D"/>
    <w:rsid w:val="00F6751A"/>
    <w:rsid w:val="00F67D5B"/>
    <w:rsid w:val="00F7030B"/>
    <w:rsid w:val="00F71939"/>
    <w:rsid w:val="00F74019"/>
    <w:rsid w:val="00F7528F"/>
    <w:rsid w:val="00F75C54"/>
    <w:rsid w:val="00F7652A"/>
    <w:rsid w:val="00F801CC"/>
    <w:rsid w:val="00F82626"/>
    <w:rsid w:val="00F826A6"/>
    <w:rsid w:val="00F917CD"/>
    <w:rsid w:val="00F92B1C"/>
    <w:rsid w:val="00F942CB"/>
    <w:rsid w:val="00F94618"/>
    <w:rsid w:val="00F95DE8"/>
    <w:rsid w:val="00F96073"/>
    <w:rsid w:val="00F9714E"/>
    <w:rsid w:val="00F97F0E"/>
    <w:rsid w:val="00FA06A2"/>
    <w:rsid w:val="00FA2D29"/>
    <w:rsid w:val="00FA4155"/>
    <w:rsid w:val="00FA4633"/>
    <w:rsid w:val="00FA4AE2"/>
    <w:rsid w:val="00FA5968"/>
    <w:rsid w:val="00FA7E3E"/>
    <w:rsid w:val="00FB0589"/>
    <w:rsid w:val="00FB0CBC"/>
    <w:rsid w:val="00FB2308"/>
    <w:rsid w:val="00FB2DED"/>
    <w:rsid w:val="00FB4CF6"/>
    <w:rsid w:val="00FC1603"/>
    <w:rsid w:val="00FC165E"/>
    <w:rsid w:val="00FC4462"/>
    <w:rsid w:val="00FC6E61"/>
    <w:rsid w:val="00FD03BB"/>
    <w:rsid w:val="00FD0F41"/>
    <w:rsid w:val="00FD20BE"/>
    <w:rsid w:val="00FD4664"/>
    <w:rsid w:val="00FE06E1"/>
    <w:rsid w:val="00FE3807"/>
    <w:rsid w:val="00FE3CFC"/>
    <w:rsid w:val="00FE484B"/>
    <w:rsid w:val="00FE56D3"/>
    <w:rsid w:val="00FE59BA"/>
    <w:rsid w:val="00FE5CDD"/>
    <w:rsid w:val="00FE7B20"/>
    <w:rsid w:val="00FE7CB6"/>
    <w:rsid w:val="00FF0BFC"/>
    <w:rsid w:val="00FF10F4"/>
    <w:rsid w:val="00FF1AF2"/>
    <w:rsid w:val="00FF2038"/>
    <w:rsid w:val="00FF2C82"/>
    <w:rsid w:val="00FF44C6"/>
    <w:rsid w:val="00FF46A8"/>
    <w:rsid w:val="00FF5289"/>
    <w:rsid w:val="00FF62BA"/>
    <w:rsid w:val="00FF6F5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er" w:uiPriority="99"/>
    <w:lsdException w:name="caption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F3423D"/>
    <w:pPr>
      <w:spacing w:after="240"/>
    </w:pPr>
    <w:rPr>
      <w:rFonts w:ascii="Minion Pro" w:hAnsi="Minion Pr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48CD"/>
    <w:pPr>
      <w:keepNext/>
      <w:spacing w:before="240" w:after="60"/>
      <w:outlineLvl w:val="0"/>
    </w:pPr>
    <w:rPr>
      <w:rFonts w:ascii="Tw Cen MT Condensed" w:hAnsi="Tw Cen MT Condensed" w:cs="Arial"/>
      <w:bCs/>
      <w:kern w:val="32"/>
      <w:sz w:val="72"/>
      <w:szCs w:val="32"/>
    </w:rPr>
  </w:style>
  <w:style w:type="paragraph" w:styleId="Heading2">
    <w:name w:val="heading 2"/>
    <w:next w:val="Normal"/>
    <w:link w:val="Heading2Char"/>
    <w:qFormat/>
    <w:rsid w:val="009A61E1"/>
    <w:pPr>
      <w:shd w:val="clear" w:color="auto" w:fill="000000"/>
      <w:spacing w:before="480" w:after="240"/>
      <w:outlineLvl w:val="1"/>
    </w:pPr>
    <w:rPr>
      <w:rFonts w:ascii="Tw Cen MT Condensed" w:hAnsi="Tw Cen MT Condensed" w:cs="Arial"/>
      <w:iCs/>
      <w:kern w:val="32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3C4421"/>
    <w:pPr>
      <w:keepNext/>
      <w:spacing w:before="240"/>
      <w:outlineLvl w:val="2"/>
    </w:pPr>
    <w:rPr>
      <w:rFonts w:ascii="Tw Cen MT Condensed" w:hAnsi="Tw Cen MT Condensed" w:cs="Arial"/>
      <w:b/>
      <w:bCs/>
      <w:color w:val="808080"/>
      <w:sz w:val="28"/>
      <w:szCs w:val="26"/>
    </w:rPr>
  </w:style>
  <w:style w:type="paragraph" w:styleId="Heading4">
    <w:name w:val="heading 4"/>
    <w:basedOn w:val="Normal"/>
    <w:next w:val="Normal"/>
    <w:rsid w:val="00E718E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rsid w:val="00E718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rsid w:val="00E718E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rsid w:val="00E718E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rsid w:val="00E718E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rsid w:val="00E718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48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48CD"/>
    <w:pPr>
      <w:tabs>
        <w:tab w:val="center" w:pos="4320"/>
        <w:tab w:val="right" w:pos="8640"/>
      </w:tabs>
    </w:pPr>
    <w:rPr>
      <w:rFonts w:ascii="Tw Cen MT Condensed" w:hAnsi="Tw Cen MT Condensed"/>
      <w:sz w:val="20"/>
    </w:rPr>
  </w:style>
  <w:style w:type="character" w:styleId="PageNumber">
    <w:name w:val="page number"/>
    <w:basedOn w:val="DefaultParagraphFont"/>
    <w:rsid w:val="00D648CD"/>
    <w:rPr>
      <w:rFonts w:ascii="Tw Cen MT Condensed Extra Bold" w:hAnsi="Tw Cen MT Condensed Extra Bold"/>
      <w:color w:val="auto"/>
      <w:sz w:val="24"/>
    </w:rPr>
  </w:style>
  <w:style w:type="paragraph" w:customStyle="1" w:styleId="Equalopportunitytext">
    <w:name w:val="Equal opportunity text"/>
    <w:basedOn w:val="Normal"/>
    <w:rsid w:val="00D648CD"/>
    <w:pPr>
      <w:autoSpaceDE w:val="0"/>
      <w:autoSpaceDN w:val="0"/>
      <w:adjustRightInd w:val="0"/>
      <w:spacing w:line="220" w:lineRule="atLeast"/>
      <w:textAlignment w:val="baseline"/>
    </w:pPr>
    <w:rPr>
      <w:rFonts w:ascii="Tw Cen MT" w:hAnsi="Tw Cen MT" w:cs="Tw Cen MT"/>
      <w:i/>
      <w:iCs/>
      <w:color w:val="000000"/>
      <w:spacing w:val="-4"/>
      <w:sz w:val="21"/>
      <w:szCs w:val="21"/>
    </w:rPr>
  </w:style>
  <w:style w:type="paragraph" w:customStyle="1" w:styleId="EqualOpportunity">
    <w:name w:val="Equal Opportunity"/>
    <w:basedOn w:val="Equalopportunitytext"/>
    <w:rsid w:val="00FA7E3E"/>
    <w:pPr>
      <w:spacing w:after="0"/>
      <w:jc w:val="center"/>
    </w:pPr>
    <w:rPr>
      <w:rFonts w:cs="Times New Roman"/>
      <w:sz w:val="18"/>
      <w:szCs w:val="20"/>
    </w:rPr>
  </w:style>
  <w:style w:type="numbering" w:customStyle="1" w:styleId="StyleBulleted">
    <w:name w:val="Style Bulleted"/>
    <w:rsid w:val="00857C7D"/>
    <w:pPr>
      <w:numPr>
        <w:numId w:val="1"/>
      </w:numPr>
    </w:pPr>
  </w:style>
  <w:style w:type="paragraph" w:customStyle="1" w:styleId="Coverbyline">
    <w:name w:val="Cover byline"/>
    <w:rsid w:val="000F29E9"/>
    <w:rPr>
      <w:rFonts w:ascii="Tw Cen MT Condensed" w:hAnsi="Tw Cen MT Condensed" w:cs="Arial"/>
      <w:iCs/>
      <w:kern w:val="32"/>
      <w:sz w:val="40"/>
      <w:szCs w:val="28"/>
    </w:rPr>
  </w:style>
  <w:style w:type="paragraph" w:customStyle="1" w:styleId="TableHeader">
    <w:name w:val="Table Header"/>
    <w:basedOn w:val="Normal"/>
    <w:rsid w:val="00B01BEE"/>
    <w:pPr>
      <w:spacing w:after="0"/>
    </w:pPr>
    <w:rPr>
      <w:rFonts w:ascii="Tw Cen MT Condensed Extra Bold" w:hAnsi="Tw Cen MT Condensed Extra Bold"/>
      <w:color w:val="FFFFFF"/>
      <w:sz w:val="22"/>
    </w:rPr>
  </w:style>
  <w:style w:type="paragraph" w:customStyle="1" w:styleId="TableText">
    <w:name w:val="Table Text"/>
    <w:basedOn w:val="Normal"/>
    <w:rsid w:val="00B01BEE"/>
    <w:pPr>
      <w:tabs>
        <w:tab w:val="decimal" w:pos="0"/>
      </w:tabs>
      <w:spacing w:after="0"/>
    </w:pPr>
    <w:rPr>
      <w:rFonts w:ascii="Tw Cen MT Condensed" w:hAnsi="Tw Cen MT Condensed"/>
      <w:snapToGrid w:val="0"/>
      <w:sz w:val="22"/>
      <w:szCs w:val="20"/>
    </w:rPr>
  </w:style>
  <w:style w:type="paragraph" w:customStyle="1" w:styleId="Footnote">
    <w:name w:val="Footnote"/>
    <w:basedOn w:val="Normal"/>
    <w:link w:val="FootnoteChar"/>
    <w:rsid w:val="00683D3C"/>
    <w:pPr>
      <w:spacing w:after="0"/>
    </w:pPr>
    <w:rPr>
      <w:rFonts w:ascii="Tw Cen MT" w:hAnsi="Tw Cen MT"/>
      <w:sz w:val="20"/>
    </w:rPr>
  </w:style>
  <w:style w:type="character" w:customStyle="1" w:styleId="FootnoteChar">
    <w:name w:val="Footnote Char"/>
    <w:basedOn w:val="DefaultParagraphFont"/>
    <w:link w:val="Footnote"/>
    <w:rsid w:val="00683D3C"/>
    <w:rPr>
      <w:rFonts w:ascii="Tw Cen MT" w:hAnsi="Tw Cen MT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3C4421"/>
    <w:rPr>
      <w:rFonts w:ascii="Tw Cen MT Condensed" w:hAnsi="Tw Cen MT Condensed" w:cs="Arial"/>
      <w:b/>
      <w:bCs/>
      <w:color w:val="808080"/>
      <w:sz w:val="28"/>
      <w:szCs w:val="26"/>
      <w:lang w:val="en-US" w:eastAsia="en-US" w:bidi="ar-SA"/>
    </w:rPr>
  </w:style>
  <w:style w:type="paragraph" w:customStyle="1" w:styleId="Sub-head">
    <w:name w:val="Sub-head"/>
    <w:basedOn w:val="Normal"/>
    <w:link w:val="Sub-headChar"/>
    <w:rsid w:val="000E504E"/>
    <w:pPr>
      <w:keepNext/>
      <w:spacing w:before="120" w:after="0"/>
    </w:pPr>
    <w:rPr>
      <w:rFonts w:ascii="Tw Cen MT" w:hAnsi="Tw Cen MT"/>
      <w:b/>
    </w:rPr>
  </w:style>
  <w:style w:type="character" w:customStyle="1" w:styleId="Sub-headChar">
    <w:name w:val="Sub-head Char"/>
    <w:basedOn w:val="DefaultParagraphFont"/>
    <w:link w:val="Sub-head"/>
    <w:rsid w:val="000E504E"/>
    <w:rPr>
      <w:rFonts w:ascii="Tw Cen MT" w:hAnsi="Tw Cen MT"/>
      <w:b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E718E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718E4"/>
    <w:rPr>
      <w:b/>
      <w:bCs/>
      <w:sz w:val="20"/>
      <w:szCs w:val="20"/>
    </w:rPr>
  </w:style>
  <w:style w:type="paragraph" w:styleId="CommentText">
    <w:name w:val="annotation text"/>
    <w:basedOn w:val="Normal"/>
    <w:semiHidden/>
    <w:rsid w:val="00E718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718E4"/>
    <w:rPr>
      <w:b/>
      <w:bCs/>
    </w:rPr>
  </w:style>
  <w:style w:type="paragraph" w:styleId="DocumentMap">
    <w:name w:val="Document Map"/>
    <w:basedOn w:val="Normal"/>
    <w:semiHidden/>
    <w:rsid w:val="00E718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Text">
    <w:name w:val="endnote text"/>
    <w:basedOn w:val="Normal"/>
    <w:semiHidden/>
    <w:rsid w:val="00E718E4"/>
    <w:rPr>
      <w:sz w:val="20"/>
      <w:szCs w:val="20"/>
    </w:rPr>
  </w:style>
  <w:style w:type="paragraph" w:styleId="FootnoteText">
    <w:name w:val="footnote text"/>
    <w:basedOn w:val="Normal"/>
    <w:semiHidden/>
    <w:rsid w:val="00E718E4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E718E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718E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718E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718E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718E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718E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718E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718E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718E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718E4"/>
    <w:rPr>
      <w:rFonts w:ascii="Arial" w:hAnsi="Arial" w:cs="Arial"/>
      <w:b/>
      <w:bCs/>
    </w:rPr>
  </w:style>
  <w:style w:type="paragraph" w:styleId="MacroText">
    <w:name w:val="macro"/>
    <w:semiHidden/>
    <w:rsid w:val="00E718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rsid w:val="00E718E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E718E4"/>
  </w:style>
  <w:style w:type="paragraph" w:styleId="TOAHeading">
    <w:name w:val="toa heading"/>
    <w:basedOn w:val="Normal"/>
    <w:next w:val="Normal"/>
    <w:semiHidden/>
    <w:rsid w:val="00E718E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E718E4"/>
  </w:style>
  <w:style w:type="paragraph" w:styleId="TOC2">
    <w:name w:val="toc 2"/>
    <w:basedOn w:val="Normal"/>
    <w:next w:val="Normal"/>
    <w:autoRedefine/>
    <w:semiHidden/>
    <w:rsid w:val="00E718E4"/>
    <w:pPr>
      <w:ind w:left="240"/>
    </w:pPr>
  </w:style>
  <w:style w:type="paragraph" w:styleId="TOC3">
    <w:name w:val="toc 3"/>
    <w:basedOn w:val="Normal"/>
    <w:next w:val="Normal"/>
    <w:autoRedefine/>
    <w:semiHidden/>
    <w:rsid w:val="00E718E4"/>
    <w:pPr>
      <w:ind w:left="480"/>
    </w:pPr>
  </w:style>
  <w:style w:type="paragraph" w:styleId="TOC4">
    <w:name w:val="toc 4"/>
    <w:basedOn w:val="Normal"/>
    <w:next w:val="Normal"/>
    <w:autoRedefine/>
    <w:semiHidden/>
    <w:rsid w:val="00E718E4"/>
    <w:pPr>
      <w:ind w:left="720"/>
    </w:pPr>
  </w:style>
  <w:style w:type="paragraph" w:styleId="TOC5">
    <w:name w:val="toc 5"/>
    <w:basedOn w:val="Normal"/>
    <w:next w:val="Normal"/>
    <w:autoRedefine/>
    <w:semiHidden/>
    <w:rsid w:val="00E718E4"/>
    <w:pPr>
      <w:ind w:left="960"/>
    </w:pPr>
  </w:style>
  <w:style w:type="paragraph" w:styleId="TOC6">
    <w:name w:val="toc 6"/>
    <w:basedOn w:val="Normal"/>
    <w:next w:val="Normal"/>
    <w:autoRedefine/>
    <w:semiHidden/>
    <w:rsid w:val="00E718E4"/>
    <w:pPr>
      <w:ind w:left="1200"/>
    </w:pPr>
  </w:style>
  <w:style w:type="paragraph" w:styleId="TOC7">
    <w:name w:val="toc 7"/>
    <w:basedOn w:val="Normal"/>
    <w:next w:val="Normal"/>
    <w:autoRedefine/>
    <w:semiHidden/>
    <w:rsid w:val="00E718E4"/>
    <w:pPr>
      <w:ind w:left="1440"/>
    </w:pPr>
  </w:style>
  <w:style w:type="paragraph" w:styleId="TOC8">
    <w:name w:val="toc 8"/>
    <w:basedOn w:val="Normal"/>
    <w:next w:val="Normal"/>
    <w:autoRedefine/>
    <w:semiHidden/>
    <w:rsid w:val="00E718E4"/>
    <w:pPr>
      <w:ind w:left="1680"/>
    </w:pPr>
  </w:style>
  <w:style w:type="paragraph" w:styleId="TOC9">
    <w:name w:val="toc 9"/>
    <w:basedOn w:val="Normal"/>
    <w:next w:val="Normal"/>
    <w:autoRedefine/>
    <w:semiHidden/>
    <w:rsid w:val="00E718E4"/>
    <w:pPr>
      <w:ind w:left="1920"/>
    </w:pPr>
  </w:style>
  <w:style w:type="character" w:customStyle="1" w:styleId="Heading1Char">
    <w:name w:val="Heading 1 Char"/>
    <w:basedOn w:val="DefaultParagraphFont"/>
    <w:link w:val="Heading1"/>
    <w:rsid w:val="00486335"/>
    <w:rPr>
      <w:rFonts w:ascii="Tw Cen MT Condensed" w:hAnsi="Tw Cen MT Condensed" w:cs="Arial"/>
      <w:bCs/>
      <w:kern w:val="32"/>
      <w:sz w:val="72"/>
      <w:szCs w:val="32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9A61E1"/>
    <w:rPr>
      <w:rFonts w:ascii="Tw Cen MT Condensed" w:hAnsi="Tw Cen MT Condensed" w:cs="Arial"/>
      <w:bCs/>
      <w:iCs/>
      <w:kern w:val="32"/>
      <w:sz w:val="36"/>
      <w:szCs w:val="28"/>
      <w:shd w:val="clear" w:color="auto" w:fill="000000"/>
      <w:lang w:val="en-US" w:eastAsia="en-US" w:bidi="ar-SA"/>
    </w:rPr>
  </w:style>
  <w:style w:type="paragraph" w:customStyle="1" w:styleId="DefaultText">
    <w:name w:val="Default Text"/>
    <w:basedOn w:val="Normal"/>
    <w:rsid w:val="00E364F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Cs w:val="20"/>
    </w:rPr>
  </w:style>
  <w:style w:type="paragraph" w:styleId="ListParagraph">
    <w:name w:val="List Paragraph"/>
    <w:basedOn w:val="Normal"/>
    <w:uiPriority w:val="34"/>
    <w:qFormat/>
    <w:rsid w:val="00E364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16B1"/>
    <w:rPr>
      <w:rFonts w:ascii="Minion Pro" w:hAnsi="Minion Pro"/>
      <w:sz w:val="24"/>
      <w:szCs w:val="24"/>
    </w:rPr>
  </w:style>
  <w:style w:type="character" w:styleId="Hyperlink">
    <w:name w:val="Hyperlink"/>
    <w:basedOn w:val="DefaultParagraphFont"/>
    <w:rsid w:val="00D474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er" w:uiPriority="99"/>
    <w:lsdException w:name="caption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F3423D"/>
    <w:pPr>
      <w:spacing w:after="240"/>
    </w:pPr>
    <w:rPr>
      <w:rFonts w:ascii="Minion Pro" w:hAnsi="Minion Pr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48CD"/>
    <w:pPr>
      <w:keepNext/>
      <w:spacing w:before="240" w:after="60"/>
      <w:outlineLvl w:val="0"/>
    </w:pPr>
    <w:rPr>
      <w:rFonts w:ascii="Tw Cen MT Condensed" w:hAnsi="Tw Cen MT Condensed" w:cs="Arial"/>
      <w:bCs/>
      <w:kern w:val="32"/>
      <w:sz w:val="72"/>
      <w:szCs w:val="32"/>
    </w:rPr>
  </w:style>
  <w:style w:type="paragraph" w:styleId="Heading2">
    <w:name w:val="heading 2"/>
    <w:next w:val="Normal"/>
    <w:link w:val="Heading2Char"/>
    <w:qFormat/>
    <w:rsid w:val="009A61E1"/>
    <w:pPr>
      <w:shd w:val="clear" w:color="auto" w:fill="000000"/>
      <w:spacing w:before="480" w:after="240"/>
      <w:outlineLvl w:val="1"/>
    </w:pPr>
    <w:rPr>
      <w:rFonts w:ascii="Tw Cen MT Condensed" w:hAnsi="Tw Cen MT Condensed" w:cs="Arial"/>
      <w:iCs/>
      <w:kern w:val="32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3C4421"/>
    <w:pPr>
      <w:keepNext/>
      <w:spacing w:before="240"/>
      <w:outlineLvl w:val="2"/>
    </w:pPr>
    <w:rPr>
      <w:rFonts w:ascii="Tw Cen MT Condensed" w:hAnsi="Tw Cen MT Condensed" w:cs="Arial"/>
      <w:b/>
      <w:bCs/>
      <w:color w:val="808080"/>
      <w:sz w:val="28"/>
      <w:szCs w:val="26"/>
    </w:rPr>
  </w:style>
  <w:style w:type="paragraph" w:styleId="Heading4">
    <w:name w:val="heading 4"/>
    <w:basedOn w:val="Normal"/>
    <w:next w:val="Normal"/>
    <w:rsid w:val="00E718E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rsid w:val="00E718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rsid w:val="00E718E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rsid w:val="00E718E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rsid w:val="00E718E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rsid w:val="00E718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48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48CD"/>
    <w:pPr>
      <w:tabs>
        <w:tab w:val="center" w:pos="4320"/>
        <w:tab w:val="right" w:pos="8640"/>
      </w:tabs>
    </w:pPr>
    <w:rPr>
      <w:rFonts w:ascii="Tw Cen MT Condensed" w:hAnsi="Tw Cen MT Condensed"/>
      <w:sz w:val="20"/>
    </w:rPr>
  </w:style>
  <w:style w:type="character" w:styleId="PageNumber">
    <w:name w:val="page number"/>
    <w:basedOn w:val="DefaultParagraphFont"/>
    <w:rsid w:val="00D648CD"/>
    <w:rPr>
      <w:rFonts w:ascii="Tw Cen MT Condensed Extra Bold" w:hAnsi="Tw Cen MT Condensed Extra Bold"/>
      <w:color w:val="auto"/>
      <w:sz w:val="24"/>
    </w:rPr>
  </w:style>
  <w:style w:type="paragraph" w:customStyle="1" w:styleId="Equalopportunitytext">
    <w:name w:val="Equal opportunity text"/>
    <w:basedOn w:val="Normal"/>
    <w:rsid w:val="00D648CD"/>
    <w:pPr>
      <w:autoSpaceDE w:val="0"/>
      <w:autoSpaceDN w:val="0"/>
      <w:adjustRightInd w:val="0"/>
      <w:spacing w:line="220" w:lineRule="atLeast"/>
      <w:textAlignment w:val="baseline"/>
    </w:pPr>
    <w:rPr>
      <w:rFonts w:ascii="Tw Cen MT" w:hAnsi="Tw Cen MT" w:cs="Tw Cen MT"/>
      <w:i/>
      <w:iCs/>
      <w:color w:val="000000"/>
      <w:spacing w:val="-4"/>
      <w:sz w:val="21"/>
      <w:szCs w:val="21"/>
    </w:rPr>
  </w:style>
  <w:style w:type="paragraph" w:customStyle="1" w:styleId="EqualOpportunity">
    <w:name w:val="Equal Opportunity"/>
    <w:basedOn w:val="Equalopportunitytext"/>
    <w:rsid w:val="00FA7E3E"/>
    <w:pPr>
      <w:spacing w:after="0"/>
      <w:jc w:val="center"/>
    </w:pPr>
    <w:rPr>
      <w:rFonts w:cs="Times New Roman"/>
      <w:sz w:val="18"/>
      <w:szCs w:val="20"/>
    </w:rPr>
  </w:style>
  <w:style w:type="numbering" w:customStyle="1" w:styleId="StyleBulleted">
    <w:name w:val="Style Bulleted"/>
    <w:rsid w:val="00857C7D"/>
    <w:pPr>
      <w:numPr>
        <w:numId w:val="1"/>
      </w:numPr>
    </w:pPr>
  </w:style>
  <w:style w:type="paragraph" w:customStyle="1" w:styleId="Coverbyline">
    <w:name w:val="Cover byline"/>
    <w:rsid w:val="000F29E9"/>
    <w:rPr>
      <w:rFonts w:ascii="Tw Cen MT Condensed" w:hAnsi="Tw Cen MT Condensed" w:cs="Arial"/>
      <w:iCs/>
      <w:kern w:val="32"/>
      <w:sz w:val="40"/>
      <w:szCs w:val="28"/>
    </w:rPr>
  </w:style>
  <w:style w:type="paragraph" w:customStyle="1" w:styleId="TableHeader">
    <w:name w:val="Table Header"/>
    <w:basedOn w:val="Normal"/>
    <w:rsid w:val="00B01BEE"/>
    <w:pPr>
      <w:spacing w:after="0"/>
    </w:pPr>
    <w:rPr>
      <w:rFonts w:ascii="Tw Cen MT Condensed Extra Bold" w:hAnsi="Tw Cen MT Condensed Extra Bold"/>
      <w:color w:val="FFFFFF"/>
      <w:sz w:val="22"/>
    </w:rPr>
  </w:style>
  <w:style w:type="paragraph" w:customStyle="1" w:styleId="TableText">
    <w:name w:val="Table Text"/>
    <w:basedOn w:val="Normal"/>
    <w:rsid w:val="00B01BEE"/>
    <w:pPr>
      <w:tabs>
        <w:tab w:val="decimal" w:pos="0"/>
      </w:tabs>
      <w:spacing w:after="0"/>
    </w:pPr>
    <w:rPr>
      <w:rFonts w:ascii="Tw Cen MT Condensed" w:hAnsi="Tw Cen MT Condensed"/>
      <w:snapToGrid w:val="0"/>
      <w:sz w:val="22"/>
      <w:szCs w:val="20"/>
    </w:rPr>
  </w:style>
  <w:style w:type="paragraph" w:customStyle="1" w:styleId="Footnote">
    <w:name w:val="Footnote"/>
    <w:basedOn w:val="Normal"/>
    <w:link w:val="FootnoteChar"/>
    <w:rsid w:val="00683D3C"/>
    <w:pPr>
      <w:spacing w:after="0"/>
    </w:pPr>
    <w:rPr>
      <w:rFonts w:ascii="Tw Cen MT" w:hAnsi="Tw Cen MT"/>
      <w:sz w:val="20"/>
    </w:rPr>
  </w:style>
  <w:style w:type="character" w:customStyle="1" w:styleId="FootnoteChar">
    <w:name w:val="Footnote Char"/>
    <w:basedOn w:val="DefaultParagraphFont"/>
    <w:link w:val="Footnote"/>
    <w:rsid w:val="00683D3C"/>
    <w:rPr>
      <w:rFonts w:ascii="Tw Cen MT" w:hAnsi="Tw Cen MT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3C4421"/>
    <w:rPr>
      <w:rFonts w:ascii="Tw Cen MT Condensed" w:hAnsi="Tw Cen MT Condensed" w:cs="Arial"/>
      <w:b/>
      <w:bCs/>
      <w:color w:val="808080"/>
      <w:sz w:val="28"/>
      <w:szCs w:val="26"/>
      <w:lang w:val="en-US" w:eastAsia="en-US" w:bidi="ar-SA"/>
    </w:rPr>
  </w:style>
  <w:style w:type="paragraph" w:customStyle="1" w:styleId="Sub-head">
    <w:name w:val="Sub-head"/>
    <w:basedOn w:val="Normal"/>
    <w:link w:val="Sub-headChar"/>
    <w:rsid w:val="000E504E"/>
    <w:pPr>
      <w:keepNext/>
      <w:spacing w:before="120" w:after="0"/>
    </w:pPr>
    <w:rPr>
      <w:rFonts w:ascii="Tw Cen MT" w:hAnsi="Tw Cen MT"/>
      <w:b/>
    </w:rPr>
  </w:style>
  <w:style w:type="character" w:customStyle="1" w:styleId="Sub-headChar">
    <w:name w:val="Sub-head Char"/>
    <w:basedOn w:val="DefaultParagraphFont"/>
    <w:link w:val="Sub-head"/>
    <w:rsid w:val="000E504E"/>
    <w:rPr>
      <w:rFonts w:ascii="Tw Cen MT" w:hAnsi="Tw Cen MT"/>
      <w:b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E718E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718E4"/>
    <w:rPr>
      <w:b/>
      <w:bCs/>
      <w:sz w:val="20"/>
      <w:szCs w:val="20"/>
    </w:rPr>
  </w:style>
  <w:style w:type="paragraph" w:styleId="CommentText">
    <w:name w:val="annotation text"/>
    <w:basedOn w:val="Normal"/>
    <w:semiHidden/>
    <w:rsid w:val="00E718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718E4"/>
    <w:rPr>
      <w:b/>
      <w:bCs/>
    </w:rPr>
  </w:style>
  <w:style w:type="paragraph" w:styleId="DocumentMap">
    <w:name w:val="Document Map"/>
    <w:basedOn w:val="Normal"/>
    <w:semiHidden/>
    <w:rsid w:val="00E718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Text">
    <w:name w:val="endnote text"/>
    <w:basedOn w:val="Normal"/>
    <w:semiHidden/>
    <w:rsid w:val="00E718E4"/>
    <w:rPr>
      <w:sz w:val="20"/>
      <w:szCs w:val="20"/>
    </w:rPr>
  </w:style>
  <w:style w:type="paragraph" w:styleId="FootnoteText">
    <w:name w:val="footnote text"/>
    <w:basedOn w:val="Normal"/>
    <w:semiHidden/>
    <w:rsid w:val="00E718E4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E718E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718E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718E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718E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718E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718E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718E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718E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718E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718E4"/>
    <w:rPr>
      <w:rFonts w:ascii="Arial" w:hAnsi="Arial" w:cs="Arial"/>
      <w:b/>
      <w:bCs/>
    </w:rPr>
  </w:style>
  <w:style w:type="paragraph" w:styleId="MacroText">
    <w:name w:val="macro"/>
    <w:semiHidden/>
    <w:rsid w:val="00E718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rsid w:val="00E718E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E718E4"/>
  </w:style>
  <w:style w:type="paragraph" w:styleId="TOAHeading">
    <w:name w:val="toa heading"/>
    <w:basedOn w:val="Normal"/>
    <w:next w:val="Normal"/>
    <w:semiHidden/>
    <w:rsid w:val="00E718E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E718E4"/>
  </w:style>
  <w:style w:type="paragraph" w:styleId="TOC2">
    <w:name w:val="toc 2"/>
    <w:basedOn w:val="Normal"/>
    <w:next w:val="Normal"/>
    <w:autoRedefine/>
    <w:semiHidden/>
    <w:rsid w:val="00E718E4"/>
    <w:pPr>
      <w:ind w:left="240"/>
    </w:pPr>
  </w:style>
  <w:style w:type="paragraph" w:styleId="TOC3">
    <w:name w:val="toc 3"/>
    <w:basedOn w:val="Normal"/>
    <w:next w:val="Normal"/>
    <w:autoRedefine/>
    <w:semiHidden/>
    <w:rsid w:val="00E718E4"/>
    <w:pPr>
      <w:ind w:left="480"/>
    </w:pPr>
  </w:style>
  <w:style w:type="paragraph" w:styleId="TOC4">
    <w:name w:val="toc 4"/>
    <w:basedOn w:val="Normal"/>
    <w:next w:val="Normal"/>
    <w:autoRedefine/>
    <w:semiHidden/>
    <w:rsid w:val="00E718E4"/>
    <w:pPr>
      <w:ind w:left="720"/>
    </w:pPr>
  </w:style>
  <w:style w:type="paragraph" w:styleId="TOC5">
    <w:name w:val="toc 5"/>
    <w:basedOn w:val="Normal"/>
    <w:next w:val="Normal"/>
    <w:autoRedefine/>
    <w:semiHidden/>
    <w:rsid w:val="00E718E4"/>
    <w:pPr>
      <w:ind w:left="960"/>
    </w:pPr>
  </w:style>
  <w:style w:type="paragraph" w:styleId="TOC6">
    <w:name w:val="toc 6"/>
    <w:basedOn w:val="Normal"/>
    <w:next w:val="Normal"/>
    <w:autoRedefine/>
    <w:semiHidden/>
    <w:rsid w:val="00E718E4"/>
    <w:pPr>
      <w:ind w:left="1200"/>
    </w:pPr>
  </w:style>
  <w:style w:type="paragraph" w:styleId="TOC7">
    <w:name w:val="toc 7"/>
    <w:basedOn w:val="Normal"/>
    <w:next w:val="Normal"/>
    <w:autoRedefine/>
    <w:semiHidden/>
    <w:rsid w:val="00E718E4"/>
    <w:pPr>
      <w:ind w:left="1440"/>
    </w:pPr>
  </w:style>
  <w:style w:type="paragraph" w:styleId="TOC8">
    <w:name w:val="toc 8"/>
    <w:basedOn w:val="Normal"/>
    <w:next w:val="Normal"/>
    <w:autoRedefine/>
    <w:semiHidden/>
    <w:rsid w:val="00E718E4"/>
    <w:pPr>
      <w:ind w:left="1680"/>
    </w:pPr>
  </w:style>
  <w:style w:type="paragraph" w:styleId="TOC9">
    <w:name w:val="toc 9"/>
    <w:basedOn w:val="Normal"/>
    <w:next w:val="Normal"/>
    <w:autoRedefine/>
    <w:semiHidden/>
    <w:rsid w:val="00E718E4"/>
    <w:pPr>
      <w:ind w:left="1920"/>
    </w:pPr>
  </w:style>
  <w:style w:type="character" w:customStyle="1" w:styleId="Heading1Char">
    <w:name w:val="Heading 1 Char"/>
    <w:basedOn w:val="DefaultParagraphFont"/>
    <w:link w:val="Heading1"/>
    <w:rsid w:val="00486335"/>
    <w:rPr>
      <w:rFonts w:ascii="Tw Cen MT Condensed" w:hAnsi="Tw Cen MT Condensed" w:cs="Arial"/>
      <w:bCs/>
      <w:kern w:val="32"/>
      <w:sz w:val="72"/>
      <w:szCs w:val="32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9A61E1"/>
    <w:rPr>
      <w:rFonts w:ascii="Tw Cen MT Condensed" w:hAnsi="Tw Cen MT Condensed" w:cs="Arial"/>
      <w:bCs/>
      <w:iCs/>
      <w:kern w:val="32"/>
      <w:sz w:val="36"/>
      <w:szCs w:val="28"/>
      <w:shd w:val="clear" w:color="auto" w:fill="000000"/>
      <w:lang w:val="en-US" w:eastAsia="en-US" w:bidi="ar-SA"/>
    </w:rPr>
  </w:style>
  <w:style w:type="paragraph" w:customStyle="1" w:styleId="DefaultText">
    <w:name w:val="Default Text"/>
    <w:basedOn w:val="Normal"/>
    <w:rsid w:val="00E364F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Cs w:val="20"/>
    </w:rPr>
  </w:style>
  <w:style w:type="paragraph" w:styleId="ListParagraph">
    <w:name w:val="List Paragraph"/>
    <w:basedOn w:val="Normal"/>
    <w:uiPriority w:val="34"/>
    <w:qFormat/>
    <w:rsid w:val="00E364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16B1"/>
    <w:rPr>
      <w:rFonts w:ascii="Minion Pro" w:hAnsi="Minion Pro"/>
      <w:sz w:val="24"/>
      <w:szCs w:val="24"/>
    </w:rPr>
  </w:style>
  <w:style w:type="character" w:styleId="Hyperlink">
    <w:name w:val="Hyperlink"/>
    <w:basedOn w:val="DefaultParagraphFont"/>
    <w:rsid w:val="00D474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maine.gov/labor/labor_stats/publications/substanceabus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6EA6-6062-4B22-AF32-8877C13E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13</Pages>
  <Words>2760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Maine’s Annual Report on</vt:lpstr>
    </vt:vector>
  </TitlesOfParts>
  <Company>State of Maine, DAFS</Company>
  <LinksUpToDate>false</LinksUpToDate>
  <CharactersWithSpaces>18788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Maine’s Annual Report on</dc:title>
  <dc:creator>State of Maine</dc:creator>
  <cp:lastModifiedBy>Dawson, Mark</cp:lastModifiedBy>
  <cp:revision>4</cp:revision>
  <cp:lastPrinted>2015-01-06T17:16:00Z</cp:lastPrinted>
  <dcterms:created xsi:type="dcterms:W3CDTF">2015-01-28T19:46:00Z</dcterms:created>
  <dcterms:modified xsi:type="dcterms:W3CDTF">2015-02-17T16:21:00Z</dcterms:modified>
</cp:coreProperties>
</file>