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746DE" w14:textId="77777777" w:rsidR="00CC4883" w:rsidRDefault="00CC4883" w:rsidP="00CC4883">
      <w:pPr>
        <w:jc w:val="center"/>
        <w:rPr>
          <w:sz w:val="24"/>
          <w:szCs w:val="24"/>
        </w:rPr>
      </w:pPr>
      <w:r>
        <w:rPr>
          <w:sz w:val="24"/>
          <w:szCs w:val="24"/>
        </w:rPr>
        <w:t>Bureau of Labor Standards, Wage and Hour Division</w:t>
      </w:r>
    </w:p>
    <w:p w14:paraId="55868FEF" w14:textId="4DF12EEE" w:rsidR="00CC4883" w:rsidRDefault="00CC4883" w:rsidP="00CC4883">
      <w:pPr>
        <w:jc w:val="center"/>
        <w:rPr>
          <w:sz w:val="24"/>
          <w:szCs w:val="24"/>
        </w:rPr>
      </w:pPr>
      <w:r w:rsidRPr="004C6F09">
        <w:rPr>
          <w:sz w:val="24"/>
          <w:szCs w:val="24"/>
        </w:rPr>
        <w:t>Interpretive Guidance Policy 22-01</w:t>
      </w:r>
    </w:p>
    <w:p w14:paraId="38A23BF3" w14:textId="77777777" w:rsidR="00CC4883" w:rsidRDefault="00CC4883" w:rsidP="00CC4883">
      <w:pPr>
        <w:jc w:val="center"/>
        <w:rPr>
          <w:sz w:val="24"/>
          <w:szCs w:val="24"/>
        </w:rPr>
      </w:pPr>
    </w:p>
    <w:p w14:paraId="264CA323" w14:textId="42E2AACD" w:rsidR="00CC4883" w:rsidRDefault="00CC4883" w:rsidP="00CC4883">
      <w:pPr>
        <w:rPr>
          <w:sz w:val="24"/>
          <w:szCs w:val="24"/>
        </w:rPr>
      </w:pPr>
      <w:r>
        <w:rPr>
          <w:b/>
          <w:bCs/>
          <w:sz w:val="24"/>
          <w:szCs w:val="24"/>
        </w:rPr>
        <w:t xml:space="preserve">Issued on: </w:t>
      </w:r>
      <w:r>
        <w:rPr>
          <w:sz w:val="24"/>
          <w:szCs w:val="24"/>
        </w:rPr>
        <w:t>September 20, 2022</w:t>
      </w:r>
    </w:p>
    <w:p w14:paraId="0CBF45EE" w14:textId="77777777" w:rsidR="00CC4883" w:rsidRPr="00503932" w:rsidRDefault="00CC4883" w:rsidP="00CC4883">
      <w:pPr>
        <w:rPr>
          <w:sz w:val="24"/>
          <w:szCs w:val="24"/>
        </w:rPr>
      </w:pPr>
    </w:p>
    <w:p w14:paraId="651B2AFD" w14:textId="20EA6B91" w:rsidR="00CC4883" w:rsidRDefault="00CC4883" w:rsidP="00CC4883">
      <w:pPr>
        <w:rPr>
          <w:sz w:val="24"/>
          <w:szCs w:val="24"/>
        </w:rPr>
      </w:pPr>
      <w:r>
        <w:rPr>
          <w:b/>
          <w:bCs/>
          <w:sz w:val="24"/>
          <w:szCs w:val="24"/>
        </w:rPr>
        <w:t xml:space="preserve">Subject: </w:t>
      </w:r>
      <w:r w:rsidRPr="004C6F09">
        <w:rPr>
          <w:sz w:val="24"/>
          <w:szCs w:val="24"/>
        </w:rPr>
        <w:t>26 M</w:t>
      </w:r>
      <w:r>
        <w:rPr>
          <w:sz w:val="24"/>
          <w:szCs w:val="24"/>
        </w:rPr>
        <w:t>.</w:t>
      </w:r>
      <w:r w:rsidRPr="004C6F09">
        <w:rPr>
          <w:sz w:val="24"/>
          <w:szCs w:val="24"/>
        </w:rPr>
        <w:t>R</w:t>
      </w:r>
      <w:r>
        <w:rPr>
          <w:sz w:val="24"/>
          <w:szCs w:val="24"/>
        </w:rPr>
        <w:t>.</w:t>
      </w:r>
      <w:r w:rsidRPr="004C6F09">
        <w:rPr>
          <w:sz w:val="24"/>
          <w:szCs w:val="24"/>
        </w:rPr>
        <w:t>S</w:t>
      </w:r>
      <w:r>
        <w:rPr>
          <w:sz w:val="24"/>
          <w:szCs w:val="24"/>
        </w:rPr>
        <w:t>.</w:t>
      </w:r>
      <w:r w:rsidRPr="004C6F09">
        <w:rPr>
          <w:sz w:val="24"/>
          <w:szCs w:val="24"/>
        </w:rPr>
        <w:t xml:space="preserve"> 626</w:t>
      </w:r>
      <w:r>
        <w:rPr>
          <w:sz w:val="24"/>
          <w:szCs w:val="24"/>
        </w:rPr>
        <w:t xml:space="preserve"> – Cessation of Employment</w:t>
      </w:r>
    </w:p>
    <w:p w14:paraId="5C2D64AD" w14:textId="77777777" w:rsidR="00CC4883" w:rsidRPr="004C6F09" w:rsidRDefault="00CC4883" w:rsidP="00CC4883">
      <w:pPr>
        <w:rPr>
          <w:sz w:val="24"/>
          <w:szCs w:val="24"/>
        </w:rPr>
      </w:pPr>
    </w:p>
    <w:p w14:paraId="5E4D0B5E" w14:textId="547C3A3B" w:rsidR="00CC4883" w:rsidRDefault="00CC4883" w:rsidP="00CC4883">
      <w:pPr>
        <w:rPr>
          <w:sz w:val="24"/>
          <w:szCs w:val="24"/>
        </w:rPr>
      </w:pPr>
      <w:r w:rsidRPr="004C6F09">
        <w:rPr>
          <w:b/>
          <w:bCs/>
          <w:sz w:val="24"/>
          <w:szCs w:val="24"/>
        </w:rPr>
        <w:t>Purpose:</w:t>
      </w:r>
      <w:r w:rsidRPr="004C6F09">
        <w:rPr>
          <w:sz w:val="24"/>
          <w:szCs w:val="24"/>
        </w:rPr>
        <w:t xml:space="preserve"> This interpretive guidance addresses legislative changes to section 626 and its interaction with other parts of Chapter 7, including earned paid leave. This document is intended to guide</w:t>
      </w:r>
      <w:r>
        <w:rPr>
          <w:sz w:val="24"/>
          <w:szCs w:val="24"/>
        </w:rPr>
        <w:t xml:space="preserve"> MDOL</w:t>
      </w:r>
      <w:r w:rsidRPr="004C6F09">
        <w:rPr>
          <w:sz w:val="24"/>
          <w:szCs w:val="24"/>
        </w:rPr>
        <w:t xml:space="preserve"> staff, </w:t>
      </w:r>
      <w:proofErr w:type="gramStart"/>
      <w:r w:rsidRPr="004C6F09">
        <w:rPr>
          <w:sz w:val="24"/>
          <w:szCs w:val="24"/>
        </w:rPr>
        <w:t>employees</w:t>
      </w:r>
      <w:proofErr w:type="gramEnd"/>
      <w:r w:rsidRPr="004C6F09">
        <w:rPr>
          <w:sz w:val="24"/>
          <w:szCs w:val="24"/>
        </w:rPr>
        <w:t xml:space="preserve"> and employers in understanding</w:t>
      </w:r>
      <w:r>
        <w:rPr>
          <w:sz w:val="24"/>
          <w:szCs w:val="24"/>
        </w:rPr>
        <w:t xml:space="preserve"> the</w:t>
      </w:r>
      <w:r w:rsidRPr="004C6F09">
        <w:rPr>
          <w:sz w:val="24"/>
          <w:szCs w:val="24"/>
        </w:rPr>
        <w:t xml:space="preserve"> W</w:t>
      </w:r>
      <w:r>
        <w:rPr>
          <w:sz w:val="24"/>
          <w:szCs w:val="24"/>
        </w:rPr>
        <w:t xml:space="preserve">age and </w:t>
      </w:r>
      <w:r w:rsidRPr="004C6F09">
        <w:rPr>
          <w:sz w:val="24"/>
          <w:szCs w:val="24"/>
        </w:rPr>
        <w:t>H</w:t>
      </w:r>
      <w:r>
        <w:rPr>
          <w:sz w:val="24"/>
          <w:szCs w:val="24"/>
        </w:rPr>
        <w:t xml:space="preserve">our </w:t>
      </w:r>
      <w:r w:rsidRPr="004C6F09">
        <w:rPr>
          <w:sz w:val="24"/>
          <w:szCs w:val="24"/>
        </w:rPr>
        <w:t>D</w:t>
      </w:r>
      <w:r>
        <w:rPr>
          <w:sz w:val="24"/>
          <w:szCs w:val="24"/>
        </w:rPr>
        <w:t>ivision</w:t>
      </w:r>
      <w:r w:rsidRPr="004C6F09">
        <w:rPr>
          <w:sz w:val="24"/>
          <w:szCs w:val="24"/>
        </w:rPr>
        <w:t>’s</w:t>
      </w:r>
      <w:r>
        <w:rPr>
          <w:sz w:val="24"/>
          <w:szCs w:val="24"/>
        </w:rPr>
        <w:t xml:space="preserve"> (“WHD”)</w:t>
      </w:r>
      <w:r w:rsidRPr="004C6F09">
        <w:rPr>
          <w:sz w:val="24"/>
          <w:szCs w:val="24"/>
        </w:rPr>
        <w:t xml:space="preserve"> interpretation of the relevant statutes and rules for the purposes of statutory enforcement.  </w:t>
      </w:r>
    </w:p>
    <w:p w14:paraId="3CD2CD2A" w14:textId="77777777" w:rsidR="00CC4883" w:rsidRPr="004C6F09" w:rsidRDefault="00CC4883" w:rsidP="00CC4883">
      <w:pPr>
        <w:rPr>
          <w:sz w:val="24"/>
          <w:szCs w:val="24"/>
        </w:rPr>
      </w:pPr>
    </w:p>
    <w:p w14:paraId="4CB9FEB9" w14:textId="7E159507" w:rsidR="00CC4883" w:rsidRDefault="00CC4883" w:rsidP="00CC4883">
      <w:pPr>
        <w:rPr>
          <w:sz w:val="24"/>
          <w:szCs w:val="24"/>
        </w:rPr>
      </w:pPr>
      <w:r w:rsidRPr="004C6F09">
        <w:rPr>
          <w:b/>
          <w:bCs/>
          <w:sz w:val="24"/>
          <w:szCs w:val="24"/>
        </w:rPr>
        <w:t>Background:</w:t>
      </w:r>
      <w:r w:rsidRPr="004C6F09">
        <w:rPr>
          <w:sz w:val="24"/>
          <w:szCs w:val="24"/>
        </w:rPr>
        <w:t xml:space="preserve"> Section 626, Cessation of Employment, was amended by P.L. 2022 Ch. 561, to address the circumstances in which vacation must be paid out on cessation of employment. This has raised a number of interpretive questions, including about the interaction with section 637, Earned Paid </w:t>
      </w:r>
      <w:proofErr w:type="gramStart"/>
      <w:r w:rsidRPr="004C6F09">
        <w:rPr>
          <w:sz w:val="24"/>
          <w:szCs w:val="24"/>
        </w:rPr>
        <w:t>Leave</w:t>
      </w:r>
      <w:proofErr w:type="gramEnd"/>
      <w:r w:rsidRPr="004C6F09">
        <w:rPr>
          <w:sz w:val="24"/>
          <w:szCs w:val="24"/>
        </w:rPr>
        <w:t xml:space="preserve"> and its related rules, 12-170 </w:t>
      </w:r>
      <w:proofErr w:type="spellStart"/>
      <w:r w:rsidRPr="004C6F09">
        <w:rPr>
          <w:sz w:val="24"/>
          <w:szCs w:val="24"/>
        </w:rPr>
        <w:t>ch.</w:t>
      </w:r>
      <w:proofErr w:type="spellEnd"/>
      <w:r w:rsidRPr="004C6F09">
        <w:rPr>
          <w:sz w:val="24"/>
          <w:szCs w:val="24"/>
        </w:rPr>
        <w:t xml:space="preserve"> 18. </w:t>
      </w:r>
    </w:p>
    <w:p w14:paraId="1D032668" w14:textId="77777777" w:rsidR="00CC4883" w:rsidRPr="004C6F09" w:rsidRDefault="00CC4883" w:rsidP="00CC4883">
      <w:pPr>
        <w:rPr>
          <w:sz w:val="24"/>
          <w:szCs w:val="24"/>
        </w:rPr>
      </w:pPr>
    </w:p>
    <w:p w14:paraId="166DD66D" w14:textId="77777777" w:rsidR="00CC4883" w:rsidRPr="004C6F09" w:rsidRDefault="00CC4883" w:rsidP="00CC4883">
      <w:pPr>
        <w:rPr>
          <w:sz w:val="24"/>
          <w:szCs w:val="24"/>
        </w:rPr>
      </w:pPr>
      <w:r w:rsidRPr="004C6F09">
        <w:rPr>
          <w:b/>
          <w:bCs/>
          <w:sz w:val="24"/>
          <w:szCs w:val="24"/>
        </w:rPr>
        <w:t>Policy:</w:t>
      </w:r>
      <w:r w:rsidRPr="004C6F09">
        <w:rPr>
          <w:sz w:val="24"/>
          <w:szCs w:val="24"/>
        </w:rPr>
        <w:t xml:space="preserve"> At the outset, WHD notes what has not changed about section 626. First, this section applies only when “the terms of employment or the employer’s established practice includes provision for paid vacations[.]” The amended language applies only to private employers of 11 or more employees. Public employer is defined in the statute. However, in determining the application of the statute to private employers, WHD counts only employees who work in Maine. For example, if an employer has six workers in Maine and six workers in New Hampshire, WHD would consider this employer as having 10 or fewer employees for the purposes of section 626. </w:t>
      </w:r>
    </w:p>
    <w:p w14:paraId="0EC7D790" w14:textId="77777777" w:rsidR="00CC4883" w:rsidRDefault="00CC4883" w:rsidP="00CC4883">
      <w:pPr>
        <w:rPr>
          <w:sz w:val="24"/>
          <w:szCs w:val="24"/>
        </w:rPr>
      </w:pPr>
      <w:r>
        <w:rPr>
          <w:sz w:val="24"/>
          <w:szCs w:val="24"/>
        </w:rPr>
        <w:t xml:space="preserve">Second, section 626 does not obligate employers to allow employees to accrue vacation. What has changed is that if a covered employer’s policy or established practice </w:t>
      </w:r>
      <w:r w:rsidRPr="00262230">
        <w:rPr>
          <w:b/>
          <w:bCs/>
          <w:sz w:val="24"/>
          <w:szCs w:val="24"/>
        </w:rPr>
        <w:t>does</w:t>
      </w:r>
      <w:r>
        <w:rPr>
          <w:sz w:val="24"/>
          <w:szCs w:val="24"/>
        </w:rPr>
        <w:t xml:space="preserve"> allow employees to accrue vacation, each employee must be paid for all unused, accrued vacation at the time of separation. </w:t>
      </w:r>
    </w:p>
    <w:p w14:paraId="23A55920" w14:textId="77777777" w:rsidR="00CC4883" w:rsidRPr="004C6F09" w:rsidRDefault="00CC4883" w:rsidP="00CC4883">
      <w:pPr>
        <w:rPr>
          <w:sz w:val="24"/>
          <w:szCs w:val="24"/>
        </w:rPr>
      </w:pPr>
      <w:r w:rsidRPr="004C6F09">
        <w:rPr>
          <w:sz w:val="24"/>
          <w:szCs w:val="24"/>
        </w:rPr>
        <w:t xml:space="preserve">The statute obligates covered employers to pay employees “vacation accrued pursuant to the employer’s vacation policy on and after January 1, 2023.” In investigating complaints, WHD will look to the employer’s vacation policy to determine whether vacation is accrued and how. In the absence of a written policy, WHD will look to the employer’s established practice. However, WHD strongly encourages employers to adopt a written vacation policy. Any vacation accrued prior to January 1, </w:t>
      </w:r>
      <w:proofErr w:type="gramStart"/>
      <w:r w:rsidRPr="004C6F09">
        <w:rPr>
          <w:sz w:val="24"/>
          <w:szCs w:val="24"/>
        </w:rPr>
        <w:t>2023</w:t>
      </w:r>
      <w:proofErr w:type="gramEnd"/>
      <w:r w:rsidRPr="004C6F09">
        <w:rPr>
          <w:sz w:val="24"/>
          <w:szCs w:val="24"/>
        </w:rPr>
        <w:t xml:space="preserve"> is not covered by the amended statutory language – however, if prior to that date, it was the employer’s established practice or policy to pay accrued vacation on cessation of employment, the employer is still obligated to do so. </w:t>
      </w:r>
    </w:p>
    <w:p w14:paraId="1958E1BE" w14:textId="77777777" w:rsidR="00CC4883" w:rsidRPr="004C6F09" w:rsidRDefault="00CC4883" w:rsidP="00CC4883">
      <w:pPr>
        <w:rPr>
          <w:sz w:val="24"/>
          <w:szCs w:val="24"/>
        </w:rPr>
      </w:pPr>
      <w:r w:rsidRPr="004C6F09">
        <w:rPr>
          <w:sz w:val="24"/>
          <w:szCs w:val="24"/>
        </w:rPr>
        <w:t xml:space="preserve">The statute does not obligate employers to pay for any leave time </w:t>
      </w:r>
      <w:r>
        <w:rPr>
          <w:sz w:val="24"/>
          <w:szCs w:val="24"/>
        </w:rPr>
        <w:t xml:space="preserve">other </w:t>
      </w:r>
      <w:r w:rsidRPr="004C6F09">
        <w:rPr>
          <w:sz w:val="24"/>
          <w:szCs w:val="24"/>
        </w:rPr>
        <w:t xml:space="preserve">than vacation. Pursuant to the Earned Paid Leave rules, 12-170 </w:t>
      </w:r>
      <w:proofErr w:type="spellStart"/>
      <w:r w:rsidRPr="004C6F09">
        <w:rPr>
          <w:sz w:val="24"/>
          <w:szCs w:val="24"/>
        </w:rPr>
        <w:t>ch.</w:t>
      </w:r>
      <w:proofErr w:type="spellEnd"/>
      <w:r w:rsidRPr="004C6F09">
        <w:rPr>
          <w:sz w:val="24"/>
          <w:szCs w:val="24"/>
        </w:rPr>
        <w:t xml:space="preserve"> 18, section III(E), “Whenever the terms of employment or the employer’s established practice includes provisions to pay the balance of unused earned paid leave at the time of separation, earned paid leave on cessation of employment has the same status as wages earned in accordance with 26 MRS §626.” Employers may have separate vacation and earned paid leave policies. If an employer has no earned paid leave policy but has a policy or practice of paying out vacation, WHD will consider the employer’s policy or practice to cover earned paid leave as well. </w:t>
      </w:r>
    </w:p>
    <w:p w14:paraId="01D8E395" w14:textId="77777777" w:rsidR="00CC4883" w:rsidRPr="004C6F09" w:rsidRDefault="00CC4883" w:rsidP="00CC4883">
      <w:pPr>
        <w:rPr>
          <w:sz w:val="24"/>
          <w:szCs w:val="24"/>
        </w:rPr>
      </w:pPr>
      <w:r>
        <w:rPr>
          <w:sz w:val="24"/>
          <w:szCs w:val="24"/>
        </w:rPr>
        <w:lastRenderedPageBreak/>
        <w:t xml:space="preserve">Pursuant to section 626, if a covered employer allows employees to accrue vacation, that employer </w:t>
      </w:r>
      <w:r w:rsidRPr="00262230">
        <w:rPr>
          <w:b/>
          <w:bCs/>
          <w:sz w:val="24"/>
          <w:szCs w:val="24"/>
        </w:rPr>
        <w:t>may not</w:t>
      </w:r>
      <w:r w:rsidRPr="004C6F09">
        <w:rPr>
          <w:sz w:val="24"/>
          <w:szCs w:val="24"/>
        </w:rPr>
        <w:t xml:space="preserve"> have a policy</w:t>
      </w:r>
      <w:r>
        <w:rPr>
          <w:sz w:val="24"/>
          <w:szCs w:val="24"/>
        </w:rPr>
        <w:t xml:space="preserve"> or established practice</w:t>
      </w:r>
      <w:r w:rsidRPr="004C6F09">
        <w:rPr>
          <w:sz w:val="24"/>
          <w:szCs w:val="24"/>
        </w:rPr>
        <w:t xml:space="preserve"> </w:t>
      </w:r>
      <w:r>
        <w:rPr>
          <w:sz w:val="24"/>
          <w:szCs w:val="24"/>
        </w:rPr>
        <w:t xml:space="preserve">that prohibits all unused, </w:t>
      </w:r>
      <w:r w:rsidRPr="004C6F09">
        <w:rPr>
          <w:sz w:val="24"/>
          <w:szCs w:val="24"/>
        </w:rPr>
        <w:t xml:space="preserve">accrued vacation from being paid </w:t>
      </w:r>
      <w:r>
        <w:rPr>
          <w:sz w:val="24"/>
          <w:szCs w:val="24"/>
        </w:rPr>
        <w:t>to an employee upon separation</w:t>
      </w:r>
      <w:r w:rsidRPr="004C6F09">
        <w:rPr>
          <w:sz w:val="24"/>
          <w:szCs w:val="24"/>
        </w:rPr>
        <w:t xml:space="preserve">. However, employers </w:t>
      </w:r>
      <w:r w:rsidRPr="00262230">
        <w:rPr>
          <w:b/>
          <w:bCs/>
          <w:sz w:val="24"/>
          <w:szCs w:val="24"/>
        </w:rPr>
        <w:t>may</w:t>
      </w:r>
      <w:r w:rsidRPr="004C6F09">
        <w:rPr>
          <w:sz w:val="24"/>
          <w:szCs w:val="24"/>
        </w:rPr>
        <w:t xml:space="preserve"> have a vacation policy which caps accruals and </w:t>
      </w:r>
      <w:r>
        <w:rPr>
          <w:sz w:val="24"/>
          <w:szCs w:val="24"/>
        </w:rPr>
        <w:t xml:space="preserve">therefore </w:t>
      </w:r>
      <w:r w:rsidRPr="004C6F09">
        <w:rPr>
          <w:sz w:val="24"/>
          <w:szCs w:val="24"/>
        </w:rPr>
        <w:t>only pays out up to the cap.</w:t>
      </w:r>
      <w:r>
        <w:rPr>
          <w:sz w:val="24"/>
          <w:szCs w:val="24"/>
        </w:rPr>
        <w:t xml:space="preserve"> If employees accrue vacation in any form, employers must pay out all of the unused vacation that is accrued at the time of separation. </w:t>
      </w:r>
      <w:r w:rsidRPr="004C6F09">
        <w:rPr>
          <w:sz w:val="24"/>
          <w:szCs w:val="24"/>
        </w:rPr>
        <w:t xml:space="preserve"> </w:t>
      </w:r>
    </w:p>
    <w:p w14:paraId="276591F0" w14:textId="789F8F63" w:rsidR="00064E9C" w:rsidRPr="00786469" w:rsidRDefault="00CC4883" w:rsidP="00CC4883">
      <w:pPr>
        <w:rPr>
          <w:sz w:val="24"/>
          <w:szCs w:val="24"/>
        </w:rPr>
      </w:pPr>
      <w:r w:rsidRPr="004C6F09">
        <w:rPr>
          <w:sz w:val="24"/>
          <w:szCs w:val="24"/>
        </w:rPr>
        <w:t xml:space="preserve">In the event that employees are covered by a collective bargaining agreement which “includes provisions addressing payment of vacation pay upon cessation of employment, the collective bargaining agreement supersedes” section 626. WHD may review the collective bargaining agreement to determine whether it includes such provisions but will not interpret or apply those provisions. If such provisions are </w:t>
      </w:r>
      <w:proofErr w:type="gramStart"/>
      <w:r w:rsidRPr="004C6F09">
        <w:rPr>
          <w:sz w:val="24"/>
          <w:szCs w:val="24"/>
        </w:rPr>
        <w:t>found,</w:t>
      </w:r>
      <w:proofErr w:type="gramEnd"/>
      <w:r w:rsidRPr="004C6F09">
        <w:rPr>
          <w:sz w:val="24"/>
          <w:szCs w:val="24"/>
        </w:rPr>
        <w:t xml:space="preserve"> that determination will conclude WHD’s investigation; otherwise, WHD will apply the statute consistent with the above interpretations.</w:t>
      </w:r>
    </w:p>
    <w:p w14:paraId="1049D0A0" w14:textId="41B553D3" w:rsidR="00884B5A" w:rsidRDefault="00884B5A" w:rsidP="00064E9C"/>
    <w:p w14:paraId="645D96CC" w14:textId="756F0572" w:rsidR="00345BF8" w:rsidRDefault="00345BF8" w:rsidP="00064E9C"/>
    <w:p w14:paraId="4EE1719D" w14:textId="77777777" w:rsidR="00345BF8" w:rsidRPr="001F7BA0" w:rsidRDefault="00345BF8" w:rsidP="00345BF8">
      <w:pPr>
        <w:rPr>
          <w:b/>
          <w:bCs/>
          <w:sz w:val="24"/>
          <w:szCs w:val="24"/>
        </w:rPr>
      </w:pPr>
      <w:r w:rsidRPr="001F7BA0">
        <w:rPr>
          <w:b/>
          <w:bCs/>
          <w:sz w:val="24"/>
          <w:szCs w:val="24"/>
        </w:rPr>
        <w:t>Frequently Asked Questions</w:t>
      </w:r>
    </w:p>
    <w:p w14:paraId="39D07FA2" w14:textId="77777777" w:rsidR="00345BF8" w:rsidRPr="001F7BA0" w:rsidRDefault="00345BF8" w:rsidP="00345BF8">
      <w:pPr>
        <w:pStyle w:val="ListParagraph"/>
        <w:numPr>
          <w:ilvl w:val="0"/>
          <w:numId w:val="9"/>
        </w:numPr>
        <w:spacing w:after="160" w:line="259" w:lineRule="auto"/>
        <w:rPr>
          <w:b/>
          <w:bCs/>
          <w:sz w:val="24"/>
          <w:szCs w:val="24"/>
        </w:rPr>
      </w:pPr>
      <w:r w:rsidRPr="001F7BA0">
        <w:rPr>
          <w:b/>
          <w:bCs/>
          <w:sz w:val="24"/>
          <w:szCs w:val="24"/>
        </w:rPr>
        <w:t xml:space="preserve">What does it mean for vacation to be “accrued?” </w:t>
      </w:r>
    </w:p>
    <w:p w14:paraId="0EBD3D66" w14:textId="77777777" w:rsidR="00345BF8" w:rsidRDefault="00345BF8" w:rsidP="00345BF8">
      <w:pPr>
        <w:ind w:left="360"/>
        <w:rPr>
          <w:sz w:val="24"/>
          <w:szCs w:val="24"/>
        </w:rPr>
      </w:pPr>
      <w:r>
        <w:rPr>
          <w:sz w:val="24"/>
          <w:szCs w:val="24"/>
        </w:rPr>
        <w:t>The statute does not define accrual or accrued. However, WHD considers vacation time to be accrued if the employee has a defined amount of time that is available to them at any given time, even if that amount may, at times, be zero. This may include employees who accrue a certain number of hours per pay period or days per month or other similar accrual systems.</w:t>
      </w:r>
    </w:p>
    <w:p w14:paraId="0CE939D7" w14:textId="77777777" w:rsidR="00345BF8" w:rsidRPr="001F7BA0" w:rsidRDefault="00345BF8" w:rsidP="00345BF8">
      <w:pPr>
        <w:pStyle w:val="ListParagraph"/>
        <w:numPr>
          <w:ilvl w:val="0"/>
          <w:numId w:val="9"/>
        </w:numPr>
        <w:spacing w:after="160" w:line="259" w:lineRule="auto"/>
        <w:rPr>
          <w:b/>
          <w:bCs/>
          <w:sz w:val="24"/>
          <w:szCs w:val="24"/>
        </w:rPr>
      </w:pPr>
      <w:r w:rsidRPr="001F7BA0">
        <w:rPr>
          <w:b/>
          <w:bCs/>
          <w:sz w:val="24"/>
          <w:szCs w:val="24"/>
        </w:rPr>
        <w:t>Is “front-loaded” vacation considered to be accrued?</w:t>
      </w:r>
    </w:p>
    <w:p w14:paraId="6A5CA107" w14:textId="77777777" w:rsidR="00345BF8" w:rsidRDefault="00345BF8" w:rsidP="00345BF8">
      <w:pPr>
        <w:ind w:left="360"/>
        <w:rPr>
          <w:sz w:val="24"/>
          <w:szCs w:val="24"/>
        </w:rPr>
      </w:pPr>
      <w:r>
        <w:rPr>
          <w:sz w:val="24"/>
          <w:szCs w:val="24"/>
        </w:rPr>
        <w:t xml:space="preserve">Whether vacation that is “front-loaded,” which WHD considers </w:t>
      </w:r>
      <w:proofErr w:type="gramStart"/>
      <w:r>
        <w:rPr>
          <w:sz w:val="24"/>
          <w:szCs w:val="24"/>
        </w:rPr>
        <w:t>to mean</w:t>
      </w:r>
      <w:proofErr w:type="gramEnd"/>
      <w:r>
        <w:rPr>
          <w:sz w:val="24"/>
          <w:szCs w:val="24"/>
        </w:rPr>
        <w:t xml:space="preserve"> vacation that is credited to an employee all at once for a set period of time such as a calendar or fiscal year, is considered to be accrued depends on the employer’s policy or established practice. If the policy states that employees are credited with vacation as an advance against future accruals, the employer will be obligated to pay out all unused vacation which would have accrued at the time of separation – the employer is not obligated to pay out for unused vacation which would not yet have been accrued. If the employee used more time than would have been accrued at the time of separation, in this limited circumstance, the employer may deduct the amount of used, unaccrued time that exceeded what would have been accrued at the time of separation from the employee’s last paycheck.   </w:t>
      </w:r>
    </w:p>
    <w:p w14:paraId="7E9A8505" w14:textId="77777777" w:rsidR="00345BF8" w:rsidRPr="00262230" w:rsidRDefault="00345BF8" w:rsidP="00345BF8">
      <w:pPr>
        <w:ind w:left="360"/>
        <w:rPr>
          <w:sz w:val="24"/>
          <w:szCs w:val="24"/>
        </w:rPr>
      </w:pPr>
      <w:r>
        <w:rPr>
          <w:sz w:val="24"/>
          <w:szCs w:val="24"/>
        </w:rPr>
        <w:t>In the absence of a clear policy or established practice establishing that front-loaded vacation is advanced against future accruals, however, WHD will presume that front-loaded vacation is accrued, in the full amount credited to the employee at the time that the vacation is credited. WHD strongly recommends that employers who use front-loading have a clear written policy.</w:t>
      </w:r>
      <w:r w:rsidRPr="00262230">
        <w:rPr>
          <w:sz w:val="24"/>
          <w:szCs w:val="24"/>
        </w:rPr>
        <w:t xml:space="preserve"> </w:t>
      </w:r>
    </w:p>
    <w:p w14:paraId="08EE1E36" w14:textId="77777777" w:rsidR="00345BF8" w:rsidRPr="001F7BA0" w:rsidRDefault="00345BF8" w:rsidP="00345BF8">
      <w:pPr>
        <w:pStyle w:val="ListParagraph"/>
        <w:numPr>
          <w:ilvl w:val="0"/>
          <w:numId w:val="9"/>
        </w:numPr>
        <w:spacing w:after="160" w:line="259" w:lineRule="auto"/>
        <w:rPr>
          <w:b/>
          <w:bCs/>
          <w:sz w:val="24"/>
          <w:szCs w:val="24"/>
        </w:rPr>
      </w:pPr>
      <w:r w:rsidRPr="001F7BA0">
        <w:rPr>
          <w:b/>
          <w:bCs/>
          <w:sz w:val="24"/>
          <w:szCs w:val="24"/>
        </w:rPr>
        <w:t>If an employer offers unlimited vacation, does that constitute accrued vacation?</w:t>
      </w:r>
    </w:p>
    <w:p w14:paraId="3209A7CE" w14:textId="77777777" w:rsidR="00345BF8" w:rsidRDefault="00345BF8" w:rsidP="00345BF8">
      <w:pPr>
        <w:ind w:left="360"/>
        <w:rPr>
          <w:sz w:val="24"/>
          <w:szCs w:val="24"/>
        </w:rPr>
      </w:pPr>
      <w:r>
        <w:rPr>
          <w:sz w:val="24"/>
          <w:szCs w:val="24"/>
        </w:rPr>
        <w:t>Unlimited vacation may be considered accrued if the employee has a defined amount of time that is available to them at any given time.</w:t>
      </w:r>
    </w:p>
    <w:p w14:paraId="3777476E" w14:textId="77777777" w:rsidR="00345BF8" w:rsidRPr="001F7BA0" w:rsidRDefault="00345BF8" w:rsidP="00345BF8">
      <w:pPr>
        <w:pStyle w:val="ListParagraph"/>
        <w:numPr>
          <w:ilvl w:val="0"/>
          <w:numId w:val="9"/>
        </w:numPr>
        <w:spacing w:after="160" w:line="259" w:lineRule="auto"/>
        <w:rPr>
          <w:b/>
          <w:bCs/>
          <w:sz w:val="24"/>
          <w:szCs w:val="24"/>
        </w:rPr>
      </w:pPr>
      <w:r w:rsidRPr="001F7BA0">
        <w:rPr>
          <w:b/>
          <w:bCs/>
          <w:sz w:val="24"/>
          <w:szCs w:val="24"/>
        </w:rPr>
        <w:t xml:space="preserve">Does the statute require that accrued vacation roll over from year to year? </w:t>
      </w:r>
    </w:p>
    <w:p w14:paraId="75FC0646" w14:textId="77777777" w:rsidR="00345BF8" w:rsidRPr="00262230" w:rsidRDefault="00345BF8" w:rsidP="00345BF8">
      <w:pPr>
        <w:ind w:left="360"/>
        <w:rPr>
          <w:sz w:val="24"/>
          <w:szCs w:val="24"/>
        </w:rPr>
      </w:pPr>
      <w:r>
        <w:rPr>
          <w:sz w:val="24"/>
          <w:szCs w:val="24"/>
        </w:rPr>
        <w:t xml:space="preserve">The statute only requires that employers pay accrued, unused vacation at the time of separation. </w:t>
      </w:r>
    </w:p>
    <w:p w14:paraId="608997ED" w14:textId="77777777" w:rsidR="00345BF8" w:rsidRDefault="00345BF8" w:rsidP="00345BF8">
      <w:pPr>
        <w:rPr>
          <w:sz w:val="24"/>
          <w:szCs w:val="24"/>
        </w:rPr>
      </w:pPr>
    </w:p>
    <w:p w14:paraId="3F30D17D" w14:textId="1996398A" w:rsidR="00345BF8" w:rsidRPr="00064E9C" w:rsidRDefault="00345BF8" w:rsidP="00345BF8">
      <w:r w:rsidRPr="00BC4D75">
        <w:rPr>
          <w:sz w:val="24"/>
          <w:szCs w:val="24"/>
        </w:rPr>
        <w:lastRenderedPageBreak/>
        <w:t>Revision history:</w:t>
      </w:r>
    </w:p>
    <w:sectPr w:rsidR="00345BF8" w:rsidRPr="00064E9C" w:rsidSect="00A31AA7">
      <w:headerReference w:type="default" r:id="rId7"/>
      <w:footerReference w:type="default" r:id="rId8"/>
      <w:type w:val="continuous"/>
      <w:pgSz w:w="12240" w:h="15840" w:code="1"/>
      <w:pgMar w:top="2430" w:right="1170" w:bottom="540" w:left="117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2B6B2" w14:textId="77777777" w:rsidR="008E09ED" w:rsidRDefault="008E09ED">
      <w:r>
        <w:separator/>
      </w:r>
    </w:p>
  </w:endnote>
  <w:endnote w:type="continuationSeparator" w:id="0">
    <w:p w14:paraId="5546A7DB" w14:textId="77777777" w:rsidR="008E09ED" w:rsidRDefault="008E0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oudy-Old-Style">
    <w:altName w:val="Cambria"/>
    <w:panose1 w:val="00000000000000000000"/>
    <w:charset w:val="00"/>
    <w:family w:val="roman"/>
    <w:notTrueType/>
    <w:pitch w:val="variable"/>
    <w:sig w:usb0="00000003" w:usb1="00000000" w:usb2="00000000" w:usb3="00000000" w:csb0="00000001" w:csb1="00000000"/>
  </w:font>
  <w:font w:name="Helve-WP">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A7F48" w14:textId="72CB8A9D" w:rsidR="00AE0D44" w:rsidRDefault="00AE0D44" w:rsidP="008E791C">
    <w:pPr>
      <w:pStyle w:val="Footer"/>
      <w:tabs>
        <w:tab w:val="clear" w:pos="4320"/>
        <w:tab w:val="clear" w:pos="8640"/>
        <w:tab w:val="center" w:pos="5760"/>
        <w:tab w:val="right" w:pos="10980"/>
      </w:tabs>
    </w:pPr>
    <w:r>
      <w:rPr>
        <w:rFonts w:ascii="Goudy-Old-Style" w:hAnsi="Goudy-Old-Style"/>
        <w:smallCaps/>
        <w:spacing w:val="22"/>
        <w:sz w:val="16"/>
      </w:rPr>
      <w:t>phone: (207) 623-7900 (</w:t>
    </w:r>
    <w:r>
      <w:rPr>
        <w:rFonts w:ascii="Goudy-Old-Style" w:hAnsi="Goudy-Old-Style"/>
        <w:spacing w:val="22"/>
        <w:sz w:val="16"/>
      </w:rPr>
      <w:t>Voice</w:t>
    </w:r>
    <w:r>
      <w:rPr>
        <w:rFonts w:ascii="Goudy-Old-Style" w:hAnsi="Goudy-Old-Style"/>
        <w:smallCaps/>
        <w:spacing w:val="22"/>
        <w:sz w:val="16"/>
      </w:rPr>
      <w:t>)</w:t>
    </w:r>
    <w:r w:rsidR="000B690E">
      <w:rPr>
        <w:rFonts w:ascii="Goudy-Old-Style" w:hAnsi="Goudy-Old-Style"/>
        <w:smallCaps/>
        <w:spacing w:val="22"/>
        <w:sz w:val="16"/>
      </w:rPr>
      <w:t xml:space="preserve">    </w:t>
    </w:r>
    <w:r w:rsidR="008E791C">
      <w:rPr>
        <w:rFonts w:ascii="Goudy-Old-Style" w:hAnsi="Goudy-Old-Style"/>
        <w:smallCaps/>
        <w:spacing w:val="22"/>
        <w:sz w:val="16"/>
      </w:rPr>
      <w:t xml:space="preserve">                          </w:t>
    </w:r>
    <w:r w:rsidR="000459DE">
      <w:rPr>
        <w:rFonts w:ascii="Goudy-Old-Style" w:hAnsi="Goudy-Old-Style"/>
        <w:smallCaps/>
        <w:sz w:val="10"/>
      </w:rPr>
      <w:t>Printed on recycled paper</w:t>
    </w:r>
    <w:r>
      <w:rPr>
        <w:rFonts w:ascii="Goudy-Old-Style" w:hAnsi="Goudy-Old-Style"/>
        <w:smallCaps/>
        <w:sz w:val="10"/>
      </w:rPr>
      <w:tab/>
    </w:r>
    <w:r>
      <w:rPr>
        <w:rFonts w:ascii="Goudy-Old-Style" w:hAnsi="Goudy-Old-Style"/>
        <w:smallCaps/>
        <w:spacing w:val="17"/>
        <w:sz w:val="16"/>
      </w:rPr>
      <w:t xml:space="preserve">   </w:t>
    </w:r>
    <w:r w:rsidR="008E791C">
      <w:rPr>
        <w:rFonts w:ascii="Goudy-Old-Style" w:hAnsi="Goudy-Old-Style"/>
        <w:smallCaps/>
        <w:spacing w:val="17"/>
        <w:sz w:val="16"/>
      </w:rPr>
      <w:t xml:space="preserve">                                                </w:t>
    </w:r>
    <w:r>
      <w:rPr>
        <w:rFonts w:ascii="Goudy-Old-Style" w:hAnsi="Goudy-Old-Style"/>
        <w:smallCaps/>
        <w:spacing w:val="22"/>
        <w:sz w:val="16"/>
      </w:rPr>
      <w:t xml:space="preserve"> fax: (207) 623-7938  </w:t>
    </w:r>
  </w:p>
  <w:p w14:paraId="5E51D84D" w14:textId="536D1518" w:rsidR="00AE0D44" w:rsidRDefault="008E791C" w:rsidP="00A31AA7">
    <w:pPr>
      <w:pStyle w:val="Footer"/>
      <w:tabs>
        <w:tab w:val="clear" w:pos="4320"/>
        <w:tab w:val="center" w:pos="5760"/>
      </w:tabs>
      <w:ind w:left="810"/>
      <w:rPr>
        <w:rFonts w:ascii="Goudy-Old-Style" w:hAnsi="Goudy-Old-Style"/>
        <w:smallCaps/>
        <w:spacing w:val="22"/>
        <w:sz w:val="16"/>
      </w:rPr>
    </w:pPr>
    <w:r>
      <w:t xml:space="preserve">                                                     </w:t>
    </w:r>
    <w:r w:rsidR="000B690E">
      <w:rPr>
        <w:rFonts w:ascii="Goudy-Old-Style" w:hAnsi="Goudy-Old-Style"/>
        <w:smallCaps/>
        <w:spacing w:val="22"/>
        <w:sz w:val="16"/>
      </w:rPr>
      <w:t>TTY users call Maine Relay 711</w:t>
    </w:r>
  </w:p>
  <w:p w14:paraId="04E3F870" w14:textId="0AC6BB5B" w:rsidR="00AE0D44" w:rsidRDefault="00AE0D44" w:rsidP="00A31AA7">
    <w:pPr>
      <w:pStyle w:val="Footer"/>
      <w:tabs>
        <w:tab w:val="clear" w:pos="4320"/>
        <w:tab w:val="center" w:pos="5760"/>
      </w:tabs>
      <w:ind w:left="810" w:right="-288"/>
      <w:rPr>
        <w:rFonts w:ascii="Goudy-Old-Style" w:hAnsi="Goudy-Old-Style"/>
        <w:smallCaps/>
        <w:spacing w:val="22"/>
        <w:sz w:val="16"/>
      </w:rPr>
    </w:pPr>
    <w:r>
      <w:rPr>
        <w:rFonts w:ascii="Goudy-Old-Style" w:hAnsi="Goudy-Old-Style"/>
        <w:smallCaps/>
        <w:spacing w:val="22"/>
        <w:sz w:val="16"/>
      </w:rPr>
      <w:t>offices located at: Central Maine Commerce Center, 45 commerce dr., Augusta, ME 04330</w:t>
    </w:r>
  </w:p>
  <w:p w14:paraId="38BE9AD5" w14:textId="77777777" w:rsidR="00AE0D44" w:rsidRDefault="00AE0D44">
    <w:pPr>
      <w:pStyle w:val="Footer"/>
      <w:tabs>
        <w:tab w:val="clear" w:pos="4320"/>
        <w:tab w:val="center" w:pos="5760"/>
      </w:tabs>
      <w:ind w:left="7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01ECF" w14:textId="77777777" w:rsidR="008E09ED" w:rsidRDefault="008E09ED">
      <w:r>
        <w:separator/>
      </w:r>
    </w:p>
  </w:footnote>
  <w:footnote w:type="continuationSeparator" w:id="0">
    <w:p w14:paraId="5E7C1846" w14:textId="77777777" w:rsidR="008E09ED" w:rsidRDefault="008E0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30" w:type="dxa"/>
      <w:tblInd w:w="-972" w:type="dxa"/>
      <w:tblLayout w:type="fixed"/>
      <w:tblLook w:val="0000" w:firstRow="0" w:lastRow="0" w:firstColumn="0" w:lastColumn="0" w:noHBand="0" w:noVBand="0"/>
    </w:tblPr>
    <w:tblGrid>
      <w:gridCol w:w="2250"/>
      <w:gridCol w:w="7055"/>
      <w:gridCol w:w="2125"/>
    </w:tblGrid>
    <w:tr w:rsidR="00AE0D44" w14:paraId="59BDAD9A" w14:textId="77777777" w:rsidTr="00A31AA7">
      <w:tc>
        <w:tcPr>
          <w:tcW w:w="2250" w:type="dxa"/>
        </w:tcPr>
        <w:p w14:paraId="092B48F7" w14:textId="77777777" w:rsidR="00AE0D44" w:rsidRDefault="00AE0D44" w:rsidP="0030098B">
          <w:pPr>
            <w:ind w:left="72"/>
            <w:jc w:val="center"/>
          </w:pPr>
          <w:r>
            <w:rPr>
              <w:noProof/>
              <w:sz w:val="16"/>
            </w:rPr>
            <w:drawing>
              <wp:inline distT="0" distB="0" distL="0" distR="0" wp14:anchorId="1F7C10F9" wp14:editId="75A3EC0F">
                <wp:extent cx="876300" cy="914400"/>
                <wp:effectExtent l="1905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6300" cy="914400"/>
                        </a:xfrm>
                        <a:prstGeom prst="rect">
                          <a:avLst/>
                        </a:prstGeom>
                        <a:noFill/>
                        <a:ln w="9525">
                          <a:noFill/>
                          <a:miter lim="800000"/>
                          <a:headEnd/>
                          <a:tailEnd/>
                        </a:ln>
                      </pic:spPr>
                    </pic:pic>
                  </a:graphicData>
                </a:graphic>
              </wp:inline>
            </w:drawing>
          </w:r>
        </w:p>
      </w:tc>
      <w:tc>
        <w:tcPr>
          <w:tcW w:w="7055" w:type="dxa"/>
        </w:tcPr>
        <w:p w14:paraId="5C9AE5A6" w14:textId="77777777" w:rsidR="00AE0D44" w:rsidRDefault="00AE0D44">
          <w:pPr>
            <w:jc w:val="center"/>
            <w:rPr>
              <w:rFonts w:ascii="Goudy-Old-Style" w:hAnsi="Goudy-Old-Style"/>
              <w:smallCaps/>
              <w:spacing w:val="21"/>
            </w:rPr>
          </w:pPr>
          <w:r>
            <w:rPr>
              <w:rFonts w:ascii="Goudy-Old-Style" w:hAnsi="Goudy-Old-Style"/>
              <w:smallCaps/>
              <w:spacing w:val="21"/>
            </w:rPr>
            <w:t xml:space="preserve">state of </w:t>
          </w:r>
          <w:proofErr w:type="spellStart"/>
          <w:r>
            <w:rPr>
              <w:rFonts w:ascii="Goudy-Old-Style" w:hAnsi="Goudy-Old-Style"/>
              <w:smallCaps/>
              <w:spacing w:val="21"/>
            </w:rPr>
            <w:t>maine</w:t>
          </w:r>
          <w:proofErr w:type="spellEnd"/>
        </w:p>
        <w:p w14:paraId="3D68FACE" w14:textId="77777777" w:rsidR="00AE0D44" w:rsidRDefault="00AE0D44">
          <w:pPr>
            <w:jc w:val="center"/>
            <w:rPr>
              <w:rFonts w:ascii="Goudy-Old-Style" w:hAnsi="Goudy-Old-Style"/>
              <w:smallCaps/>
              <w:spacing w:val="21"/>
            </w:rPr>
          </w:pPr>
          <w:r>
            <w:rPr>
              <w:rFonts w:ascii="Goudy-Old-Style" w:hAnsi="Goudy-Old-Style"/>
              <w:smallCaps/>
              <w:spacing w:val="21"/>
            </w:rPr>
            <w:t>Department of Labor</w:t>
          </w:r>
        </w:p>
        <w:p w14:paraId="7F6A8115" w14:textId="77777777" w:rsidR="00AE0D44" w:rsidRDefault="00AE0D44">
          <w:pPr>
            <w:jc w:val="center"/>
            <w:rPr>
              <w:rFonts w:ascii="Goudy-Old-Style" w:hAnsi="Goudy-Old-Style"/>
              <w:smallCaps/>
              <w:spacing w:val="21"/>
            </w:rPr>
          </w:pPr>
          <w:r>
            <w:rPr>
              <w:rFonts w:ascii="Goudy-Old-Style" w:hAnsi="Goudy-Old-Style"/>
              <w:smallCaps/>
              <w:spacing w:val="21"/>
            </w:rPr>
            <w:t>Bureau of Labor Standards</w:t>
          </w:r>
        </w:p>
        <w:p w14:paraId="33E6F113" w14:textId="77777777" w:rsidR="00AE0D44" w:rsidRDefault="00AE0D44">
          <w:pPr>
            <w:jc w:val="center"/>
            <w:rPr>
              <w:rFonts w:ascii="Goudy-Old-Style" w:hAnsi="Goudy-Old-Style"/>
              <w:smallCaps/>
              <w:spacing w:val="21"/>
            </w:rPr>
          </w:pPr>
          <w:r>
            <w:rPr>
              <w:rFonts w:ascii="Goudy-Old-Style" w:hAnsi="Goudy-Old-Style"/>
              <w:smallCaps/>
              <w:spacing w:val="21"/>
            </w:rPr>
            <w:t>45 state house station</w:t>
          </w:r>
        </w:p>
        <w:p w14:paraId="3DBB35DA" w14:textId="77777777" w:rsidR="00AE0D44" w:rsidRDefault="00AE0D44">
          <w:pPr>
            <w:jc w:val="center"/>
            <w:rPr>
              <w:rFonts w:ascii="Goudy-Old-Style" w:hAnsi="Goudy-Old-Style"/>
              <w:smallCaps/>
              <w:spacing w:val="21"/>
            </w:rPr>
          </w:pPr>
          <w:proofErr w:type="spellStart"/>
          <w:r>
            <w:rPr>
              <w:rFonts w:ascii="Goudy-Old-Style" w:hAnsi="Goudy-Old-Style"/>
              <w:smallCaps/>
              <w:spacing w:val="21"/>
            </w:rPr>
            <w:t>augusta</w:t>
          </w:r>
          <w:proofErr w:type="spellEnd"/>
          <w:r>
            <w:rPr>
              <w:rFonts w:ascii="Goudy-Old-Style" w:hAnsi="Goudy-Old-Style"/>
              <w:smallCaps/>
              <w:spacing w:val="21"/>
            </w:rPr>
            <w:t xml:space="preserve">, </w:t>
          </w:r>
          <w:proofErr w:type="spellStart"/>
          <w:r>
            <w:rPr>
              <w:rFonts w:ascii="Goudy-Old-Style" w:hAnsi="Goudy-Old-Style"/>
              <w:smallCaps/>
              <w:spacing w:val="21"/>
            </w:rPr>
            <w:t>maine</w:t>
          </w:r>
          <w:proofErr w:type="spellEnd"/>
        </w:p>
        <w:p w14:paraId="520DBEC4" w14:textId="77777777" w:rsidR="00AE0D44" w:rsidRDefault="00AE0D44">
          <w:pPr>
            <w:jc w:val="center"/>
          </w:pPr>
          <w:r>
            <w:rPr>
              <w:rFonts w:ascii="Goudy-Old-Style" w:hAnsi="Goudy-Old-Style"/>
              <w:smallCaps/>
              <w:spacing w:val="21"/>
            </w:rPr>
            <w:t>04333-0045</w:t>
          </w:r>
        </w:p>
      </w:tc>
      <w:tc>
        <w:tcPr>
          <w:tcW w:w="2125" w:type="dxa"/>
        </w:tcPr>
        <w:p w14:paraId="745C457C" w14:textId="77777777" w:rsidR="00AE0D44" w:rsidRDefault="00AE0D44"/>
        <w:p w14:paraId="12E28F8D" w14:textId="77777777" w:rsidR="00AE0D44" w:rsidRDefault="00AE0D44">
          <w:pPr>
            <w:ind w:right="-108"/>
          </w:pPr>
        </w:p>
        <w:p w14:paraId="18A9BE1C" w14:textId="77777777" w:rsidR="00AE0D44" w:rsidRDefault="00AE0D44">
          <w:pPr>
            <w:jc w:val="center"/>
            <w:rPr>
              <w:rFonts w:ascii="Helve-WP" w:hAnsi="Helve-WP"/>
              <w:sz w:val="14"/>
            </w:rPr>
          </w:pPr>
        </w:p>
        <w:p w14:paraId="42EF0041" w14:textId="77777777" w:rsidR="00AE0D44" w:rsidRDefault="00AB5ED9" w:rsidP="00A67D43">
          <w:pPr>
            <w:jc w:val="center"/>
            <w:rPr>
              <w:rFonts w:ascii="Helve-WP" w:hAnsi="Helve-WP"/>
              <w:sz w:val="14"/>
            </w:rPr>
          </w:pPr>
          <w:r>
            <w:rPr>
              <w:rFonts w:ascii="Helve-WP" w:hAnsi="Helve-WP"/>
              <w:sz w:val="14"/>
            </w:rPr>
            <w:t>LAURA A. FORTMAN</w:t>
          </w:r>
        </w:p>
        <w:p w14:paraId="65E98D69" w14:textId="77777777" w:rsidR="00AE0D44" w:rsidRDefault="00AE0D44">
          <w:pPr>
            <w:jc w:val="center"/>
            <w:rPr>
              <w:rFonts w:ascii="Helvetica" w:hAnsi="Helvetica"/>
              <w:sz w:val="10"/>
            </w:rPr>
          </w:pPr>
        </w:p>
        <w:p w14:paraId="4BE2E024" w14:textId="77777777" w:rsidR="00AE0D44" w:rsidRDefault="00AE0D44">
          <w:pPr>
            <w:jc w:val="center"/>
          </w:pPr>
          <w:r>
            <w:rPr>
              <w:rFonts w:ascii="Helve-WP" w:hAnsi="Helve-WP"/>
              <w:sz w:val="10"/>
            </w:rPr>
            <w:t xml:space="preserve"> COMMISSIONER</w:t>
          </w:r>
        </w:p>
      </w:tc>
    </w:tr>
    <w:tr w:rsidR="00AE0D44" w14:paraId="1D187DE1" w14:textId="77777777" w:rsidTr="00A31AA7">
      <w:tc>
        <w:tcPr>
          <w:tcW w:w="2250" w:type="dxa"/>
        </w:tcPr>
        <w:p w14:paraId="5CB9D5B2" w14:textId="77777777" w:rsidR="00AE0D44" w:rsidRDefault="00AB5ED9">
          <w:pPr>
            <w:jc w:val="center"/>
          </w:pPr>
          <w:r>
            <w:rPr>
              <w:rFonts w:ascii="Helve-WP" w:hAnsi="Helve-WP"/>
              <w:sz w:val="14"/>
            </w:rPr>
            <w:t>JANET T. MILLS</w:t>
          </w:r>
        </w:p>
      </w:tc>
      <w:tc>
        <w:tcPr>
          <w:tcW w:w="7055" w:type="dxa"/>
        </w:tcPr>
        <w:p w14:paraId="6047E4F4" w14:textId="77777777" w:rsidR="00AE0D44" w:rsidRDefault="00AE0D44">
          <w:pPr>
            <w:pStyle w:val="DefaultText"/>
          </w:pPr>
        </w:p>
      </w:tc>
      <w:tc>
        <w:tcPr>
          <w:tcW w:w="2125" w:type="dxa"/>
        </w:tcPr>
        <w:p w14:paraId="412755EF" w14:textId="76F71B94" w:rsidR="00AE0D44" w:rsidRPr="002673B4" w:rsidRDefault="00604DEE" w:rsidP="003E32FE">
          <w:pPr>
            <w:jc w:val="center"/>
            <w:rPr>
              <w:rFonts w:ascii="Helve-WP" w:hAnsi="Helve-WP"/>
              <w:sz w:val="14"/>
            </w:rPr>
          </w:pPr>
          <w:r>
            <w:rPr>
              <w:rFonts w:ascii="Helve-WP" w:hAnsi="Helve-WP"/>
              <w:sz w:val="14"/>
            </w:rPr>
            <w:t>MICHAEL ROLAND</w:t>
          </w:r>
        </w:p>
      </w:tc>
    </w:tr>
    <w:tr w:rsidR="00AE0D44" w14:paraId="3834EE98" w14:textId="77777777" w:rsidTr="00A31AA7">
      <w:tc>
        <w:tcPr>
          <w:tcW w:w="2250" w:type="dxa"/>
        </w:tcPr>
        <w:p w14:paraId="4FA1E23A" w14:textId="77777777" w:rsidR="00AE0D44" w:rsidRDefault="00AE0D44" w:rsidP="00490954">
          <w:pPr>
            <w:tabs>
              <w:tab w:val="center" w:pos="1017"/>
              <w:tab w:val="right" w:pos="2034"/>
            </w:tabs>
          </w:pPr>
          <w:r>
            <w:rPr>
              <w:rFonts w:ascii="Helve-WP" w:hAnsi="Helve-WP"/>
              <w:sz w:val="10"/>
            </w:rPr>
            <w:tab/>
            <w:t>GOVERNOR</w:t>
          </w:r>
          <w:r>
            <w:rPr>
              <w:rFonts w:ascii="Helve-WP" w:hAnsi="Helve-WP"/>
              <w:sz w:val="10"/>
            </w:rPr>
            <w:tab/>
          </w:r>
        </w:p>
      </w:tc>
      <w:tc>
        <w:tcPr>
          <w:tcW w:w="7055" w:type="dxa"/>
        </w:tcPr>
        <w:p w14:paraId="10709B79" w14:textId="77777777" w:rsidR="00AE0D44" w:rsidRDefault="00AE0D44">
          <w:pPr>
            <w:pStyle w:val="DefaultText"/>
          </w:pPr>
        </w:p>
      </w:tc>
      <w:tc>
        <w:tcPr>
          <w:tcW w:w="2125" w:type="dxa"/>
        </w:tcPr>
        <w:p w14:paraId="4B09209C" w14:textId="77777777" w:rsidR="00AE0D44" w:rsidRPr="002673B4" w:rsidRDefault="002673B4">
          <w:pPr>
            <w:jc w:val="center"/>
            <w:rPr>
              <w:rFonts w:ascii="Helve-WP" w:hAnsi="Helve-WP"/>
              <w:sz w:val="10"/>
            </w:rPr>
          </w:pPr>
          <w:r>
            <w:rPr>
              <w:rFonts w:ascii="Helve-WP" w:hAnsi="Helve-WP"/>
              <w:sz w:val="10"/>
            </w:rPr>
            <w:t>DIRECTOR</w:t>
          </w:r>
        </w:p>
      </w:tc>
    </w:tr>
  </w:tbl>
  <w:p w14:paraId="61B2029A" w14:textId="77777777" w:rsidR="00AE0D44" w:rsidRDefault="00AE0D4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F4D40"/>
    <w:multiLevelType w:val="hybridMultilevel"/>
    <w:tmpl w:val="9F6ED4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56B5487"/>
    <w:multiLevelType w:val="hybridMultilevel"/>
    <w:tmpl w:val="129ADE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8124294"/>
    <w:multiLevelType w:val="hybridMultilevel"/>
    <w:tmpl w:val="135AAD1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E1D31D1"/>
    <w:multiLevelType w:val="singleLevel"/>
    <w:tmpl w:val="C1E879B4"/>
    <w:lvl w:ilvl="0">
      <w:start w:val="1"/>
      <w:numFmt w:val="decimal"/>
      <w:lvlText w:val="%1)"/>
      <w:lvlJc w:val="left"/>
      <w:pPr>
        <w:tabs>
          <w:tab w:val="num" w:pos="1080"/>
        </w:tabs>
        <w:ind w:left="1080" w:hanging="360"/>
      </w:pPr>
      <w:rPr>
        <w:rFonts w:hint="default"/>
      </w:rPr>
    </w:lvl>
  </w:abstractNum>
  <w:abstractNum w:abstractNumId="4" w15:restartNumberingAfterBreak="0">
    <w:nsid w:val="43167348"/>
    <w:multiLevelType w:val="hybridMultilevel"/>
    <w:tmpl w:val="94A63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1312D2"/>
    <w:multiLevelType w:val="hybridMultilevel"/>
    <w:tmpl w:val="536CB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CE644BE"/>
    <w:multiLevelType w:val="hybridMultilevel"/>
    <w:tmpl w:val="C166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954"/>
    <w:rsid w:val="00007F94"/>
    <w:rsid w:val="00010C2C"/>
    <w:rsid w:val="0002781F"/>
    <w:rsid w:val="00036481"/>
    <w:rsid w:val="000459DE"/>
    <w:rsid w:val="00052658"/>
    <w:rsid w:val="00064E9C"/>
    <w:rsid w:val="00072B6E"/>
    <w:rsid w:val="00082A56"/>
    <w:rsid w:val="00083E40"/>
    <w:rsid w:val="000B1849"/>
    <w:rsid w:val="000B44AD"/>
    <w:rsid w:val="000B690E"/>
    <w:rsid w:val="000D6916"/>
    <w:rsid w:val="000F15EE"/>
    <w:rsid w:val="0010514D"/>
    <w:rsid w:val="001151DB"/>
    <w:rsid w:val="00131869"/>
    <w:rsid w:val="00136347"/>
    <w:rsid w:val="001452E8"/>
    <w:rsid w:val="00172499"/>
    <w:rsid w:val="0017249D"/>
    <w:rsid w:val="00180B3D"/>
    <w:rsid w:val="00181B5F"/>
    <w:rsid w:val="0018505F"/>
    <w:rsid w:val="00190E9B"/>
    <w:rsid w:val="001B225E"/>
    <w:rsid w:val="001B678F"/>
    <w:rsid w:val="001F5203"/>
    <w:rsid w:val="00203616"/>
    <w:rsid w:val="00206B58"/>
    <w:rsid w:val="00213D00"/>
    <w:rsid w:val="00215321"/>
    <w:rsid w:val="002326D7"/>
    <w:rsid w:val="0024265B"/>
    <w:rsid w:val="00257C90"/>
    <w:rsid w:val="002673B4"/>
    <w:rsid w:val="00267D75"/>
    <w:rsid w:val="002731F4"/>
    <w:rsid w:val="00285E27"/>
    <w:rsid w:val="002936BE"/>
    <w:rsid w:val="00295C12"/>
    <w:rsid w:val="00296157"/>
    <w:rsid w:val="002A2C7E"/>
    <w:rsid w:val="002A446D"/>
    <w:rsid w:val="002A4801"/>
    <w:rsid w:val="002B06C2"/>
    <w:rsid w:val="002B2700"/>
    <w:rsid w:val="002C18AB"/>
    <w:rsid w:val="002D1F95"/>
    <w:rsid w:val="002F0835"/>
    <w:rsid w:val="002F15DF"/>
    <w:rsid w:val="0030098B"/>
    <w:rsid w:val="00303C5B"/>
    <w:rsid w:val="00303DE8"/>
    <w:rsid w:val="003151D7"/>
    <w:rsid w:val="00315610"/>
    <w:rsid w:val="0032360E"/>
    <w:rsid w:val="00323B62"/>
    <w:rsid w:val="00344C29"/>
    <w:rsid w:val="00344FFA"/>
    <w:rsid w:val="003458E4"/>
    <w:rsid w:val="00345BF8"/>
    <w:rsid w:val="00350EBB"/>
    <w:rsid w:val="00350EBD"/>
    <w:rsid w:val="0036799C"/>
    <w:rsid w:val="00370C62"/>
    <w:rsid w:val="00375FC1"/>
    <w:rsid w:val="003A2134"/>
    <w:rsid w:val="003A6B85"/>
    <w:rsid w:val="003B5225"/>
    <w:rsid w:val="003B740F"/>
    <w:rsid w:val="003C213D"/>
    <w:rsid w:val="003C728A"/>
    <w:rsid w:val="003D357A"/>
    <w:rsid w:val="003D7FA1"/>
    <w:rsid w:val="003E32FE"/>
    <w:rsid w:val="003F045E"/>
    <w:rsid w:val="003F6B92"/>
    <w:rsid w:val="00400169"/>
    <w:rsid w:val="00401B78"/>
    <w:rsid w:val="00402DDE"/>
    <w:rsid w:val="004149C5"/>
    <w:rsid w:val="0041599D"/>
    <w:rsid w:val="0043186B"/>
    <w:rsid w:val="00443757"/>
    <w:rsid w:val="00451AAD"/>
    <w:rsid w:val="00457CB0"/>
    <w:rsid w:val="00463810"/>
    <w:rsid w:val="00464A15"/>
    <w:rsid w:val="00490954"/>
    <w:rsid w:val="004931E2"/>
    <w:rsid w:val="004936FE"/>
    <w:rsid w:val="00493BDA"/>
    <w:rsid w:val="004A1F32"/>
    <w:rsid w:val="004A5FF4"/>
    <w:rsid w:val="004B5F74"/>
    <w:rsid w:val="004C65DC"/>
    <w:rsid w:val="004D4B75"/>
    <w:rsid w:val="00501729"/>
    <w:rsid w:val="005063EF"/>
    <w:rsid w:val="005065A0"/>
    <w:rsid w:val="005170A1"/>
    <w:rsid w:val="00522373"/>
    <w:rsid w:val="00543CFA"/>
    <w:rsid w:val="00545BA3"/>
    <w:rsid w:val="00546223"/>
    <w:rsid w:val="005D613B"/>
    <w:rsid w:val="005E3A91"/>
    <w:rsid w:val="005E5DB3"/>
    <w:rsid w:val="00604DEE"/>
    <w:rsid w:val="0060729A"/>
    <w:rsid w:val="00610D8C"/>
    <w:rsid w:val="006362AB"/>
    <w:rsid w:val="00650304"/>
    <w:rsid w:val="00662783"/>
    <w:rsid w:val="00687007"/>
    <w:rsid w:val="00692A5E"/>
    <w:rsid w:val="006B1EDD"/>
    <w:rsid w:val="006C45A4"/>
    <w:rsid w:val="006C7D21"/>
    <w:rsid w:val="006D6530"/>
    <w:rsid w:val="006E7212"/>
    <w:rsid w:val="00700B87"/>
    <w:rsid w:val="007047D2"/>
    <w:rsid w:val="00707577"/>
    <w:rsid w:val="00726DD9"/>
    <w:rsid w:val="00733308"/>
    <w:rsid w:val="00735987"/>
    <w:rsid w:val="00737EB1"/>
    <w:rsid w:val="00786AAE"/>
    <w:rsid w:val="007A2C5A"/>
    <w:rsid w:val="007B06D4"/>
    <w:rsid w:val="007B5F11"/>
    <w:rsid w:val="007C3485"/>
    <w:rsid w:val="007E44DC"/>
    <w:rsid w:val="007F7C46"/>
    <w:rsid w:val="00802E39"/>
    <w:rsid w:val="00811576"/>
    <w:rsid w:val="00817A16"/>
    <w:rsid w:val="008209EE"/>
    <w:rsid w:val="0082281D"/>
    <w:rsid w:val="00835A72"/>
    <w:rsid w:val="00852FD3"/>
    <w:rsid w:val="00874454"/>
    <w:rsid w:val="00874CF5"/>
    <w:rsid w:val="00884B5A"/>
    <w:rsid w:val="008E09ED"/>
    <w:rsid w:val="008E791C"/>
    <w:rsid w:val="0090488E"/>
    <w:rsid w:val="00907D7B"/>
    <w:rsid w:val="009264CC"/>
    <w:rsid w:val="009341F4"/>
    <w:rsid w:val="009400EE"/>
    <w:rsid w:val="00942D02"/>
    <w:rsid w:val="00977DE5"/>
    <w:rsid w:val="00980316"/>
    <w:rsid w:val="009805F9"/>
    <w:rsid w:val="009A16AC"/>
    <w:rsid w:val="009D2063"/>
    <w:rsid w:val="009D24BA"/>
    <w:rsid w:val="009E6B94"/>
    <w:rsid w:val="009F2A5C"/>
    <w:rsid w:val="00A039CA"/>
    <w:rsid w:val="00A15B96"/>
    <w:rsid w:val="00A31AA7"/>
    <w:rsid w:val="00A32710"/>
    <w:rsid w:val="00A32D31"/>
    <w:rsid w:val="00A51815"/>
    <w:rsid w:val="00A53B47"/>
    <w:rsid w:val="00A602B0"/>
    <w:rsid w:val="00A6480A"/>
    <w:rsid w:val="00A674C4"/>
    <w:rsid w:val="00A67D43"/>
    <w:rsid w:val="00A73F53"/>
    <w:rsid w:val="00AB408C"/>
    <w:rsid w:val="00AB445C"/>
    <w:rsid w:val="00AB5ED9"/>
    <w:rsid w:val="00AE0D44"/>
    <w:rsid w:val="00AF52D5"/>
    <w:rsid w:val="00AF758B"/>
    <w:rsid w:val="00B11460"/>
    <w:rsid w:val="00B12D1A"/>
    <w:rsid w:val="00B259A4"/>
    <w:rsid w:val="00B318D9"/>
    <w:rsid w:val="00B31F3F"/>
    <w:rsid w:val="00B33967"/>
    <w:rsid w:val="00B4398D"/>
    <w:rsid w:val="00B53FC6"/>
    <w:rsid w:val="00B5754D"/>
    <w:rsid w:val="00B637CD"/>
    <w:rsid w:val="00B63BAB"/>
    <w:rsid w:val="00B71DE2"/>
    <w:rsid w:val="00B76843"/>
    <w:rsid w:val="00B925E3"/>
    <w:rsid w:val="00BA0AC9"/>
    <w:rsid w:val="00BA26FB"/>
    <w:rsid w:val="00BC4C4B"/>
    <w:rsid w:val="00BC4D75"/>
    <w:rsid w:val="00BC6399"/>
    <w:rsid w:val="00BD0436"/>
    <w:rsid w:val="00BD2B6F"/>
    <w:rsid w:val="00BD59B7"/>
    <w:rsid w:val="00BF2B85"/>
    <w:rsid w:val="00C0050F"/>
    <w:rsid w:val="00C10C89"/>
    <w:rsid w:val="00C147A6"/>
    <w:rsid w:val="00C152A0"/>
    <w:rsid w:val="00C32727"/>
    <w:rsid w:val="00C37376"/>
    <w:rsid w:val="00C52EE2"/>
    <w:rsid w:val="00C5797D"/>
    <w:rsid w:val="00C57EF6"/>
    <w:rsid w:val="00C66A94"/>
    <w:rsid w:val="00C677E1"/>
    <w:rsid w:val="00C67C87"/>
    <w:rsid w:val="00C934E2"/>
    <w:rsid w:val="00CA0DCC"/>
    <w:rsid w:val="00CB72E6"/>
    <w:rsid w:val="00CC4883"/>
    <w:rsid w:val="00CD13EA"/>
    <w:rsid w:val="00CD5CF8"/>
    <w:rsid w:val="00CE6C56"/>
    <w:rsid w:val="00CF70FC"/>
    <w:rsid w:val="00D05590"/>
    <w:rsid w:val="00D205F3"/>
    <w:rsid w:val="00D2104B"/>
    <w:rsid w:val="00D24BE0"/>
    <w:rsid w:val="00D25E35"/>
    <w:rsid w:val="00D3148B"/>
    <w:rsid w:val="00D3793C"/>
    <w:rsid w:val="00D4408D"/>
    <w:rsid w:val="00D44F66"/>
    <w:rsid w:val="00D47814"/>
    <w:rsid w:val="00D85A36"/>
    <w:rsid w:val="00DA1E61"/>
    <w:rsid w:val="00DC057A"/>
    <w:rsid w:val="00DC0A87"/>
    <w:rsid w:val="00DC3354"/>
    <w:rsid w:val="00E070DB"/>
    <w:rsid w:val="00E218C6"/>
    <w:rsid w:val="00E21C49"/>
    <w:rsid w:val="00E319B8"/>
    <w:rsid w:val="00E33CB6"/>
    <w:rsid w:val="00E3735A"/>
    <w:rsid w:val="00E4165A"/>
    <w:rsid w:val="00E53219"/>
    <w:rsid w:val="00E647F4"/>
    <w:rsid w:val="00E70739"/>
    <w:rsid w:val="00E740D6"/>
    <w:rsid w:val="00EC1F0B"/>
    <w:rsid w:val="00EC3941"/>
    <w:rsid w:val="00EC589D"/>
    <w:rsid w:val="00EC69AF"/>
    <w:rsid w:val="00EE14EA"/>
    <w:rsid w:val="00EF5387"/>
    <w:rsid w:val="00EF72CF"/>
    <w:rsid w:val="00F02B32"/>
    <w:rsid w:val="00F04125"/>
    <w:rsid w:val="00F06FAC"/>
    <w:rsid w:val="00F11F1F"/>
    <w:rsid w:val="00F42306"/>
    <w:rsid w:val="00F61684"/>
    <w:rsid w:val="00F76E92"/>
    <w:rsid w:val="00F856B4"/>
    <w:rsid w:val="00F955AA"/>
    <w:rsid w:val="00FA71D6"/>
    <w:rsid w:val="00FB0533"/>
    <w:rsid w:val="00FC34F1"/>
    <w:rsid w:val="00FE3F86"/>
    <w:rsid w:val="00FE7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C32359"/>
  <w15:docId w15:val="{ABE747CC-5FD1-461B-B619-0B03A3AF0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B92"/>
  </w:style>
  <w:style w:type="paragraph" w:styleId="Heading1">
    <w:name w:val="heading 1"/>
    <w:basedOn w:val="Normal"/>
    <w:qFormat/>
    <w:rsid w:val="003F6B92"/>
    <w:pPr>
      <w:spacing w:before="280" w:after="140"/>
      <w:outlineLvl w:val="0"/>
    </w:pPr>
    <w:rPr>
      <w:rFonts w:ascii="Arial Black" w:hAnsi="Arial Black"/>
      <w:sz w:val="28"/>
    </w:rPr>
  </w:style>
  <w:style w:type="paragraph" w:styleId="Heading2">
    <w:name w:val="heading 2"/>
    <w:basedOn w:val="Normal"/>
    <w:qFormat/>
    <w:rsid w:val="003F6B92"/>
    <w:pPr>
      <w:spacing w:before="120" w:after="120"/>
      <w:outlineLvl w:val="1"/>
    </w:pPr>
    <w:rPr>
      <w:rFonts w:ascii="Arial" w:hAnsi="Arial"/>
      <w:b/>
      <w:sz w:val="24"/>
    </w:rPr>
  </w:style>
  <w:style w:type="paragraph" w:styleId="Heading3">
    <w:name w:val="heading 3"/>
    <w:basedOn w:val="Normal"/>
    <w:qFormat/>
    <w:rsid w:val="003F6B92"/>
    <w:pPr>
      <w:spacing w:before="120" w:after="120"/>
      <w:outlineLvl w:val="2"/>
    </w:pPr>
    <w:rPr>
      <w:b/>
      <w:sz w:val="24"/>
    </w:rPr>
  </w:style>
  <w:style w:type="paragraph" w:styleId="Heading4">
    <w:name w:val="heading 4"/>
    <w:basedOn w:val="Normal"/>
    <w:next w:val="Normal"/>
    <w:qFormat/>
    <w:rsid w:val="003F6B92"/>
    <w:pPr>
      <w:keepNext/>
      <w:tabs>
        <w:tab w:val="left" w:pos="1440"/>
      </w:tabs>
      <w:ind w:left="1350" w:hanging="1350"/>
      <w:outlineLvl w:val="3"/>
    </w:pPr>
    <w:rPr>
      <w:sz w:val="24"/>
    </w:rPr>
  </w:style>
  <w:style w:type="paragraph" w:styleId="Heading5">
    <w:name w:val="heading 5"/>
    <w:basedOn w:val="Normal"/>
    <w:next w:val="Normal"/>
    <w:qFormat/>
    <w:rsid w:val="003F6B92"/>
    <w:pPr>
      <w:keepNext/>
      <w:ind w:left="1440"/>
      <w:outlineLvl w:val="4"/>
    </w:pPr>
    <w:rPr>
      <w:sz w:val="24"/>
    </w:rPr>
  </w:style>
  <w:style w:type="paragraph" w:styleId="Heading6">
    <w:name w:val="heading 6"/>
    <w:basedOn w:val="Normal"/>
    <w:next w:val="Normal"/>
    <w:qFormat/>
    <w:rsid w:val="003F6B92"/>
    <w:pPr>
      <w:keepNext/>
      <w:jc w:val="center"/>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F6B92"/>
    <w:pPr>
      <w:tabs>
        <w:tab w:val="center" w:pos="4320"/>
        <w:tab w:val="right" w:pos="8640"/>
      </w:tabs>
    </w:pPr>
  </w:style>
  <w:style w:type="paragraph" w:styleId="Footer">
    <w:name w:val="footer"/>
    <w:basedOn w:val="Normal"/>
    <w:semiHidden/>
    <w:rsid w:val="003F6B92"/>
    <w:pPr>
      <w:tabs>
        <w:tab w:val="center" w:pos="4320"/>
        <w:tab w:val="right" w:pos="8640"/>
      </w:tabs>
    </w:pPr>
  </w:style>
  <w:style w:type="paragraph" w:styleId="Title">
    <w:name w:val="Title"/>
    <w:basedOn w:val="Normal"/>
    <w:qFormat/>
    <w:rsid w:val="003F6B92"/>
    <w:pPr>
      <w:spacing w:after="960"/>
      <w:jc w:val="center"/>
    </w:pPr>
    <w:rPr>
      <w:rFonts w:ascii="Arial Black" w:hAnsi="Arial Black"/>
      <w:sz w:val="48"/>
    </w:rPr>
  </w:style>
  <w:style w:type="paragraph" w:customStyle="1" w:styleId="BodySingle">
    <w:name w:val="Body Single"/>
    <w:basedOn w:val="Normal"/>
    <w:rsid w:val="003F6B92"/>
    <w:rPr>
      <w:sz w:val="24"/>
    </w:rPr>
  </w:style>
  <w:style w:type="paragraph" w:customStyle="1" w:styleId="Bullet1">
    <w:name w:val="Bullet 1"/>
    <w:basedOn w:val="Normal"/>
    <w:rsid w:val="003F6B92"/>
    <w:rPr>
      <w:sz w:val="24"/>
    </w:rPr>
  </w:style>
  <w:style w:type="paragraph" w:customStyle="1" w:styleId="Bullet2">
    <w:name w:val="Bullet 2"/>
    <w:basedOn w:val="Normal"/>
    <w:rsid w:val="003F6B92"/>
    <w:rPr>
      <w:sz w:val="24"/>
    </w:rPr>
  </w:style>
  <w:style w:type="paragraph" w:customStyle="1" w:styleId="FirstLineIndent">
    <w:name w:val="First Line Indent"/>
    <w:basedOn w:val="Normal"/>
    <w:rsid w:val="003F6B92"/>
    <w:pPr>
      <w:ind w:firstLine="720"/>
    </w:pPr>
    <w:rPr>
      <w:sz w:val="24"/>
    </w:rPr>
  </w:style>
  <w:style w:type="paragraph" w:customStyle="1" w:styleId="NumberList">
    <w:name w:val="Number List"/>
    <w:basedOn w:val="Normal"/>
    <w:rsid w:val="003F6B92"/>
    <w:rPr>
      <w:sz w:val="24"/>
    </w:rPr>
  </w:style>
  <w:style w:type="paragraph" w:customStyle="1" w:styleId="OutlineNumbering">
    <w:name w:val="Outline Numbering"/>
    <w:basedOn w:val="Normal"/>
    <w:rsid w:val="003F6B92"/>
    <w:rPr>
      <w:sz w:val="24"/>
    </w:rPr>
  </w:style>
  <w:style w:type="paragraph" w:customStyle="1" w:styleId="TableText">
    <w:name w:val="Table Text"/>
    <w:basedOn w:val="Normal"/>
    <w:rsid w:val="003F6B92"/>
    <w:pPr>
      <w:tabs>
        <w:tab w:val="decimal" w:pos="0"/>
      </w:tabs>
    </w:pPr>
    <w:rPr>
      <w:sz w:val="24"/>
    </w:rPr>
  </w:style>
  <w:style w:type="paragraph" w:customStyle="1" w:styleId="DefaultText">
    <w:name w:val="Default Text"/>
    <w:basedOn w:val="Normal"/>
    <w:rsid w:val="003F6B92"/>
    <w:rPr>
      <w:sz w:val="24"/>
    </w:rPr>
  </w:style>
  <w:style w:type="character" w:styleId="Hyperlink">
    <w:name w:val="Hyperlink"/>
    <w:basedOn w:val="DefaultParagraphFont"/>
    <w:semiHidden/>
    <w:rsid w:val="003F6B92"/>
    <w:rPr>
      <w:color w:val="0000FF"/>
      <w:u w:val="single"/>
    </w:rPr>
  </w:style>
  <w:style w:type="character" w:styleId="FollowedHyperlink">
    <w:name w:val="FollowedHyperlink"/>
    <w:basedOn w:val="DefaultParagraphFont"/>
    <w:semiHidden/>
    <w:rsid w:val="003F6B92"/>
    <w:rPr>
      <w:color w:val="800080"/>
      <w:u w:val="single"/>
    </w:rPr>
  </w:style>
  <w:style w:type="paragraph" w:styleId="BlockText">
    <w:name w:val="Block Text"/>
    <w:basedOn w:val="Normal"/>
    <w:semiHidden/>
    <w:rsid w:val="003F6B92"/>
    <w:pPr>
      <w:ind w:left="1440" w:right="1008"/>
    </w:pPr>
  </w:style>
  <w:style w:type="character" w:customStyle="1" w:styleId="headnote1">
    <w:name w:val="headnote1"/>
    <w:basedOn w:val="DefaultParagraphFont"/>
    <w:rsid w:val="00E647F4"/>
    <w:rPr>
      <w:b/>
      <w:bCs/>
    </w:rPr>
  </w:style>
  <w:style w:type="paragraph" w:styleId="BalloonText">
    <w:name w:val="Balloon Text"/>
    <w:basedOn w:val="Normal"/>
    <w:link w:val="BalloonTextChar"/>
    <w:uiPriority w:val="99"/>
    <w:semiHidden/>
    <w:unhideWhenUsed/>
    <w:rsid w:val="009A16AC"/>
    <w:rPr>
      <w:rFonts w:ascii="Tahoma" w:hAnsi="Tahoma" w:cs="Tahoma"/>
      <w:sz w:val="16"/>
      <w:szCs w:val="16"/>
    </w:rPr>
  </w:style>
  <w:style w:type="character" w:customStyle="1" w:styleId="BalloonTextChar">
    <w:name w:val="Balloon Text Char"/>
    <w:basedOn w:val="DefaultParagraphFont"/>
    <w:link w:val="BalloonText"/>
    <w:uiPriority w:val="99"/>
    <w:semiHidden/>
    <w:rsid w:val="009A16AC"/>
    <w:rPr>
      <w:rFonts w:ascii="Tahoma" w:hAnsi="Tahoma" w:cs="Tahoma"/>
      <w:sz w:val="16"/>
      <w:szCs w:val="16"/>
    </w:rPr>
  </w:style>
  <w:style w:type="character" w:customStyle="1" w:styleId="HeaderChar">
    <w:name w:val="Header Char"/>
    <w:basedOn w:val="DefaultParagraphFont"/>
    <w:link w:val="Header"/>
    <w:rsid w:val="00610D8C"/>
  </w:style>
  <w:style w:type="paragraph" w:styleId="PlainText">
    <w:name w:val="Plain Text"/>
    <w:basedOn w:val="Normal"/>
    <w:link w:val="PlainTextChar"/>
    <w:uiPriority w:val="99"/>
    <w:semiHidden/>
    <w:unhideWhenUsed/>
    <w:rsid w:val="00A73F53"/>
    <w:rPr>
      <w:rFonts w:ascii="Calibri" w:eastAsiaTheme="minorEastAsia" w:hAnsi="Calibri"/>
      <w:sz w:val="22"/>
      <w:szCs w:val="21"/>
    </w:rPr>
  </w:style>
  <w:style w:type="character" w:customStyle="1" w:styleId="PlainTextChar">
    <w:name w:val="Plain Text Char"/>
    <w:basedOn w:val="DefaultParagraphFont"/>
    <w:link w:val="PlainText"/>
    <w:uiPriority w:val="99"/>
    <w:semiHidden/>
    <w:rsid w:val="00A73F53"/>
    <w:rPr>
      <w:rFonts w:ascii="Calibri" w:eastAsiaTheme="minorEastAsia" w:hAnsi="Calibri"/>
      <w:sz w:val="22"/>
      <w:szCs w:val="21"/>
    </w:rPr>
  </w:style>
  <w:style w:type="paragraph" w:styleId="NoSpacing">
    <w:name w:val="No Spacing"/>
    <w:uiPriority w:val="1"/>
    <w:qFormat/>
    <w:rsid w:val="00D3793C"/>
    <w:rPr>
      <w:rFonts w:asciiTheme="minorHAnsi" w:eastAsiaTheme="minorHAnsi" w:hAnsiTheme="minorHAnsi" w:cstheme="minorBidi"/>
      <w:sz w:val="22"/>
      <w:szCs w:val="22"/>
    </w:rPr>
  </w:style>
  <w:style w:type="paragraph" w:styleId="ListParagraph">
    <w:name w:val="List Paragraph"/>
    <w:basedOn w:val="Normal"/>
    <w:uiPriority w:val="34"/>
    <w:qFormat/>
    <w:rsid w:val="00E218C6"/>
    <w:pPr>
      <w:ind w:left="720"/>
      <w:contextualSpacing/>
    </w:pPr>
  </w:style>
  <w:style w:type="character" w:styleId="UnresolvedMention">
    <w:name w:val="Unresolved Mention"/>
    <w:basedOn w:val="DefaultParagraphFont"/>
    <w:uiPriority w:val="99"/>
    <w:semiHidden/>
    <w:unhideWhenUsed/>
    <w:rsid w:val="00636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30038">
      <w:bodyDiv w:val="1"/>
      <w:marLeft w:val="0"/>
      <w:marRight w:val="0"/>
      <w:marTop w:val="0"/>
      <w:marBottom w:val="0"/>
      <w:divBdr>
        <w:top w:val="none" w:sz="0" w:space="0" w:color="auto"/>
        <w:left w:val="none" w:sz="0" w:space="0" w:color="auto"/>
        <w:bottom w:val="none" w:sz="0" w:space="0" w:color="auto"/>
        <w:right w:val="none" w:sz="0" w:space="0" w:color="auto"/>
      </w:divBdr>
    </w:div>
    <w:div w:id="899555011">
      <w:bodyDiv w:val="1"/>
      <w:marLeft w:val="0"/>
      <w:marRight w:val="0"/>
      <w:marTop w:val="0"/>
      <w:marBottom w:val="0"/>
      <w:divBdr>
        <w:top w:val="none" w:sz="0" w:space="0" w:color="auto"/>
        <w:left w:val="none" w:sz="0" w:space="0" w:color="auto"/>
        <w:bottom w:val="none" w:sz="0" w:space="0" w:color="auto"/>
        <w:right w:val="none" w:sz="0" w:space="0" w:color="auto"/>
      </w:divBdr>
    </w:div>
    <w:div w:id="1146778755">
      <w:bodyDiv w:val="1"/>
      <w:marLeft w:val="0"/>
      <w:marRight w:val="0"/>
      <w:marTop w:val="0"/>
      <w:marBottom w:val="0"/>
      <w:divBdr>
        <w:top w:val="none" w:sz="0" w:space="0" w:color="auto"/>
        <w:left w:val="none" w:sz="0" w:space="0" w:color="auto"/>
        <w:bottom w:val="none" w:sz="0" w:space="0" w:color="auto"/>
        <w:right w:val="none" w:sz="0" w:space="0" w:color="auto"/>
      </w:divBdr>
    </w:div>
    <w:div w:id="1171530793">
      <w:bodyDiv w:val="1"/>
      <w:marLeft w:val="0"/>
      <w:marRight w:val="0"/>
      <w:marTop w:val="0"/>
      <w:marBottom w:val="0"/>
      <w:divBdr>
        <w:top w:val="none" w:sz="0" w:space="0" w:color="auto"/>
        <w:left w:val="none" w:sz="0" w:space="0" w:color="auto"/>
        <w:bottom w:val="none" w:sz="0" w:space="0" w:color="auto"/>
        <w:right w:val="none" w:sz="0" w:space="0" w:color="auto"/>
      </w:divBdr>
    </w:div>
    <w:div w:id="1339042537">
      <w:bodyDiv w:val="1"/>
      <w:marLeft w:val="0"/>
      <w:marRight w:val="0"/>
      <w:marTop w:val="0"/>
      <w:marBottom w:val="0"/>
      <w:divBdr>
        <w:top w:val="none" w:sz="0" w:space="0" w:color="auto"/>
        <w:left w:val="none" w:sz="0" w:space="0" w:color="auto"/>
        <w:bottom w:val="none" w:sz="0" w:space="0" w:color="auto"/>
        <w:right w:val="none" w:sz="0" w:space="0" w:color="auto"/>
      </w:divBdr>
    </w:div>
    <w:div w:id="162360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959</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April 19, 2000</vt:lpstr>
    </vt:vector>
  </TitlesOfParts>
  <Company>Bureau of Labor Standards</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19, 2000</dc:title>
  <dc:creator>Eldridge, Verna</dc:creator>
  <cp:lastModifiedBy>Cotnoir, Scott R.</cp:lastModifiedBy>
  <cp:revision>4</cp:revision>
  <cp:lastPrinted>2021-03-10T15:06:00Z</cp:lastPrinted>
  <dcterms:created xsi:type="dcterms:W3CDTF">2022-09-20T15:35:00Z</dcterms:created>
  <dcterms:modified xsi:type="dcterms:W3CDTF">2022-09-20T15:38:00Z</dcterms:modified>
</cp:coreProperties>
</file>