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DFEC2" w14:textId="77777777" w:rsidR="00FF4FA8" w:rsidRPr="003E0A69" w:rsidRDefault="00802260">
      <w:pPr>
        <w:rPr>
          <w:rFonts w:asciiTheme="majorHAnsi" w:hAnsiTheme="majorHAnsi" w:cstheme="majorHAnsi"/>
        </w:rPr>
      </w:pPr>
      <w:bookmarkStart w:id="0" w:name="_GoBack"/>
      <w:bookmarkEnd w:id="0"/>
      <w:r w:rsidRPr="003E0A69">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45D4487D" wp14:editId="7BEDAFE9">
                <wp:simplePos x="0" y="0"/>
                <wp:positionH relativeFrom="column">
                  <wp:posOffset>-571500</wp:posOffset>
                </wp:positionH>
                <wp:positionV relativeFrom="paragraph">
                  <wp:posOffset>-628015</wp:posOffset>
                </wp:positionV>
                <wp:extent cx="8199120" cy="1343025"/>
                <wp:effectExtent l="0" t="0" r="11430" b="28575"/>
                <wp:wrapNone/>
                <wp:docPr id="1" name="Rectangle 1"/>
                <wp:cNvGraphicFramePr/>
                <a:graphic xmlns:a="http://schemas.openxmlformats.org/drawingml/2006/main">
                  <a:graphicData uri="http://schemas.microsoft.com/office/word/2010/wordprocessingShape">
                    <wps:wsp>
                      <wps:cNvSpPr/>
                      <wps:spPr>
                        <a:xfrm>
                          <a:off x="0" y="0"/>
                          <a:ext cx="8199120" cy="1343025"/>
                        </a:xfrm>
                        <a:prstGeom prst="rect">
                          <a:avLst/>
                        </a:prstGeom>
                        <a:solidFill>
                          <a:srgbClr val="23493E"/>
                        </a:solidFill>
                        <a:ln w="12700" cap="flat" cmpd="sng">
                          <a:solidFill>
                            <a:srgbClr val="31538F"/>
                          </a:solidFill>
                          <a:prstDash val="solid"/>
                          <a:miter lim="800000"/>
                          <a:headEnd type="none" w="sm" len="sm"/>
                          <a:tailEnd type="none" w="sm" len="sm"/>
                        </a:ln>
                      </wps:spPr>
                      <wps:txbx>
                        <w:txbxContent>
                          <w:p w14:paraId="6B8C0B85" w14:textId="77777777" w:rsidR="00F67A3C" w:rsidRDefault="00F67A3C">
                            <w:pPr>
                              <w:spacing w:after="0" w:line="240" w:lineRule="auto"/>
                              <w:textDirection w:val="btLr"/>
                            </w:pPr>
                            <w:r>
                              <w:t xml:space="preserve"> </w:t>
                            </w:r>
                            <w:r>
                              <w:tab/>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8100"/>
                            </w:tblGrid>
                            <w:tr w:rsidR="00F67A3C" w14:paraId="47FD50D4" w14:textId="77777777" w:rsidTr="001D0E75">
                              <w:tc>
                                <w:tcPr>
                                  <w:tcW w:w="2165" w:type="dxa"/>
                                </w:tcPr>
                                <w:p w14:paraId="76A2DBFC" w14:textId="77777777" w:rsidR="00F67A3C" w:rsidRDefault="00F67A3C" w:rsidP="00F67A3C">
                                  <w:pPr>
                                    <w:jc w:val="center"/>
                                    <w:textDirection w:val="btLr"/>
                                  </w:pPr>
                                  <w:r>
                                    <w:rPr>
                                      <w:noProof/>
                                    </w:rPr>
                                    <w:drawing>
                                      <wp:inline distT="0" distB="0" distL="0" distR="0" wp14:anchorId="52E0C05E" wp14:editId="1340A760">
                                        <wp:extent cx="1029335" cy="7505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10"/>
                                                <a:srcRect/>
                                                <a:stretch>
                                                  <a:fillRect/>
                                                </a:stretch>
                                              </pic:blipFill>
                                              <pic:spPr>
                                                <a:xfrm>
                                                  <a:off x="0" y="0"/>
                                                  <a:ext cx="1029335" cy="750570"/>
                                                </a:xfrm>
                                                <a:prstGeom prst="rect">
                                                  <a:avLst/>
                                                </a:prstGeom>
                                                <a:ln/>
                                              </pic:spPr>
                                            </pic:pic>
                                          </a:graphicData>
                                        </a:graphic>
                                      </wp:inline>
                                    </w:drawing>
                                  </w:r>
                                </w:p>
                              </w:tc>
                              <w:tc>
                                <w:tcPr>
                                  <w:tcW w:w="8100" w:type="dxa"/>
                                  <w:vAlign w:val="center"/>
                                </w:tcPr>
                                <w:p w14:paraId="60DE3753" w14:textId="77777777" w:rsidR="00F67A3C" w:rsidRPr="00F67A3C" w:rsidRDefault="00F67A3C" w:rsidP="00F67A3C">
                                  <w:pPr>
                                    <w:jc w:val="center"/>
                                    <w:textDirection w:val="btLr"/>
                                    <w:rPr>
                                      <w:color w:val="FFFFFF" w:themeColor="background1"/>
                                      <w:sz w:val="48"/>
                                      <w:szCs w:val="48"/>
                                    </w:rPr>
                                  </w:pPr>
                                  <w:r w:rsidRPr="00F67A3C">
                                    <w:rPr>
                                      <w:color w:val="FFFFFF" w:themeColor="background1"/>
                                      <w:sz w:val="48"/>
                                      <w:szCs w:val="48"/>
                                    </w:rPr>
                                    <w:t>Labor Laws Relating to COVID-19</w:t>
                                  </w:r>
                                </w:p>
                              </w:tc>
                            </w:tr>
                          </w:tbl>
                          <w:p w14:paraId="5C12C183" w14:textId="77777777" w:rsidR="00FF4FA8" w:rsidRDefault="00FF4FA8">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5D4487D" id="Rectangle 1" o:spid="_x0000_s1026" style="position:absolute;margin-left:-45pt;margin-top:-49.45pt;width:645.6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" fillcolor="#23493e" strokecolor="#31538f" strokeweight="1pt">
                <v:stroke startarrowwidth="narrow" startarrowlength="short" endarrowwidth="narrow" endarrowlength="short"/>
                <v:textbox inset="2.53958mm,2.53958mm,2.53958mm,2.53958mm">
                  <w:txbxContent>
                    <w:p w14:paraId="6B8C0B85" w14:textId="77777777" w:rsidR="00F67A3C" w:rsidRDefault="00F67A3C">
                      <w:pPr>
                        <w:spacing w:after="0" w:line="240" w:lineRule="auto"/>
                        <w:textDirection w:val="btLr"/>
                      </w:pPr>
                      <w:r>
                        <w:t xml:space="preserve"> </w:t>
                      </w:r>
                      <w:r>
                        <w:tab/>
                      </w: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8100"/>
                      </w:tblGrid>
                      <w:tr w:rsidR="00F67A3C" w14:paraId="47FD50D4" w14:textId="77777777" w:rsidTr="001D0E75">
                        <w:tc>
                          <w:tcPr>
                            <w:tcW w:w="2165" w:type="dxa"/>
                          </w:tcPr>
                          <w:p w14:paraId="76A2DBFC" w14:textId="77777777" w:rsidR="00F67A3C" w:rsidRDefault="00F67A3C" w:rsidP="00F67A3C">
                            <w:pPr>
                              <w:jc w:val="center"/>
                              <w:textDirection w:val="btLr"/>
                            </w:pPr>
                            <w:r>
                              <w:rPr>
                                <w:noProof/>
                              </w:rPr>
                              <w:drawing>
                                <wp:inline distT="0" distB="0" distL="0" distR="0" wp14:anchorId="52E0C05E" wp14:editId="1340A760">
                                  <wp:extent cx="1029335" cy="7505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10"/>
                                          <a:srcRect/>
                                          <a:stretch>
                                            <a:fillRect/>
                                          </a:stretch>
                                        </pic:blipFill>
                                        <pic:spPr>
                                          <a:xfrm>
                                            <a:off x="0" y="0"/>
                                            <a:ext cx="1029335" cy="750570"/>
                                          </a:xfrm>
                                          <a:prstGeom prst="rect">
                                            <a:avLst/>
                                          </a:prstGeom>
                                          <a:ln/>
                                        </pic:spPr>
                                      </pic:pic>
                                    </a:graphicData>
                                  </a:graphic>
                                </wp:inline>
                              </w:drawing>
                            </w:r>
                          </w:p>
                        </w:tc>
                        <w:tc>
                          <w:tcPr>
                            <w:tcW w:w="8100" w:type="dxa"/>
                            <w:vAlign w:val="center"/>
                          </w:tcPr>
                          <w:p w14:paraId="60DE3753" w14:textId="77777777" w:rsidR="00F67A3C" w:rsidRPr="00F67A3C" w:rsidRDefault="00F67A3C" w:rsidP="00F67A3C">
                            <w:pPr>
                              <w:jc w:val="center"/>
                              <w:textDirection w:val="btLr"/>
                              <w:rPr>
                                <w:color w:val="FFFFFF" w:themeColor="background1"/>
                                <w:sz w:val="48"/>
                                <w:szCs w:val="48"/>
                              </w:rPr>
                            </w:pPr>
                            <w:r w:rsidRPr="00F67A3C">
                              <w:rPr>
                                <w:color w:val="FFFFFF" w:themeColor="background1"/>
                                <w:sz w:val="48"/>
                                <w:szCs w:val="48"/>
                              </w:rPr>
                              <w:t>Labor Laws Relating to COVID-19</w:t>
                            </w:r>
                          </w:p>
                        </w:tc>
                      </w:tr>
                    </w:tbl>
                    <w:p w14:paraId="5C12C183" w14:textId="77777777" w:rsidR="00FF4FA8" w:rsidRDefault="00FF4FA8">
                      <w:pPr>
                        <w:spacing w:after="0" w:line="240" w:lineRule="auto"/>
                        <w:textDirection w:val="btLr"/>
                      </w:pPr>
                    </w:p>
                  </w:txbxContent>
                </v:textbox>
              </v:rect>
            </w:pict>
          </mc:Fallback>
        </mc:AlternateContent>
      </w:r>
    </w:p>
    <w:p w14:paraId="1613164C" w14:textId="77777777" w:rsidR="00FF4FA8" w:rsidRPr="003E0A69" w:rsidRDefault="00FF4FA8">
      <w:pPr>
        <w:pBdr>
          <w:top w:val="nil"/>
          <w:left w:val="nil"/>
          <w:bottom w:val="nil"/>
          <w:right w:val="nil"/>
          <w:between w:val="nil"/>
        </w:pBdr>
        <w:spacing w:after="0" w:line="240" w:lineRule="auto"/>
        <w:jc w:val="both"/>
        <w:rPr>
          <w:rFonts w:asciiTheme="majorHAnsi" w:hAnsiTheme="majorHAnsi" w:cstheme="majorHAnsi"/>
          <w:color w:val="000000"/>
          <w:sz w:val="24"/>
          <w:szCs w:val="24"/>
        </w:rPr>
      </w:pPr>
    </w:p>
    <w:p w14:paraId="754B0F76" w14:textId="77777777" w:rsidR="00FF4FA8" w:rsidRPr="003E0A69" w:rsidRDefault="00FF4FA8">
      <w:pPr>
        <w:tabs>
          <w:tab w:val="left" w:pos="5184"/>
        </w:tabs>
        <w:rPr>
          <w:rFonts w:asciiTheme="majorHAnsi" w:hAnsiTheme="majorHAnsi" w:cstheme="majorHAnsi"/>
        </w:rPr>
      </w:pPr>
    </w:p>
    <w:p w14:paraId="5B9D285D" w14:textId="77777777" w:rsidR="00F67A3C" w:rsidRPr="004A0A07" w:rsidRDefault="00F67A3C">
      <w:pPr>
        <w:tabs>
          <w:tab w:val="left" w:pos="5184"/>
        </w:tabs>
        <w:rPr>
          <w:rFonts w:asciiTheme="majorHAnsi" w:hAnsiTheme="majorHAnsi" w:cstheme="majorHAnsi"/>
          <w:sz w:val="24"/>
          <w:szCs w:val="24"/>
        </w:rPr>
      </w:pPr>
    </w:p>
    <w:p w14:paraId="4794322B" w14:textId="77777777" w:rsidR="003E0A69" w:rsidRPr="004A0A07" w:rsidRDefault="00E94B67" w:rsidP="003E0A69">
      <w:pPr>
        <w:tabs>
          <w:tab w:val="left" w:pos="5184"/>
        </w:tabs>
        <w:spacing w:after="120"/>
        <w:jc w:val="both"/>
        <w:rPr>
          <w:rFonts w:asciiTheme="majorHAnsi" w:hAnsiTheme="majorHAnsi" w:cstheme="majorHAnsi"/>
          <w:sz w:val="24"/>
          <w:szCs w:val="24"/>
        </w:rPr>
      </w:pPr>
      <w:r w:rsidRPr="004A0A07">
        <w:rPr>
          <w:rFonts w:asciiTheme="majorHAnsi" w:hAnsiTheme="majorHAnsi" w:cstheme="majorHAnsi"/>
          <w:b/>
          <w:sz w:val="24"/>
          <w:szCs w:val="24"/>
        </w:rPr>
        <w:t>Maine’s Employment Leave for Caregivers and Persons Affected by Public Health Emergencies</w:t>
      </w:r>
      <w:r w:rsidRPr="004A0A07">
        <w:rPr>
          <w:rFonts w:asciiTheme="majorHAnsi" w:hAnsiTheme="majorHAnsi" w:cstheme="majorHAnsi"/>
          <w:sz w:val="24"/>
          <w:szCs w:val="24"/>
        </w:rPr>
        <w:t xml:space="preserve"> </w:t>
      </w:r>
      <w:r w:rsidR="00287A85" w:rsidRPr="004A0A07">
        <w:rPr>
          <w:rFonts w:asciiTheme="majorHAnsi" w:hAnsiTheme="majorHAnsi" w:cstheme="majorHAnsi"/>
          <w:sz w:val="24"/>
          <w:szCs w:val="24"/>
        </w:rPr>
        <w:t>covers</w:t>
      </w:r>
      <w:r w:rsidRPr="004A0A07">
        <w:rPr>
          <w:rFonts w:asciiTheme="majorHAnsi" w:hAnsiTheme="majorHAnsi" w:cstheme="majorHAnsi"/>
          <w:sz w:val="24"/>
          <w:szCs w:val="24"/>
        </w:rPr>
        <w:t xml:space="preserve"> employees who </w:t>
      </w:r>
      <w:r w:rsidR="00A3628E" w:rsidRPr="004A0A07">
        <w:rPr>
          <w:rFonts w:asciiTheme="majorHAnsi" w:hAnsiTheme="majorHAnsi" w:cstheme="majorHAnsi"/>
          <w:sz w:val="24"/>
          <w:szCs w:val="24"/>
        </w:rPr>
        <w:t xml:space="preserve">are </w:t>
      </w:r>
      <w:r w:rsidRPr="004A0A07">
        <w:rPr>
          <w:rFonts w:asciiTheme="majorHAnsi" w:hAnsiTheme="majorHAnsi" w:cstheme="majorHAnsi"/>
          <w:sz w:val="24"/>
          <w:szCs w:val="24"/>
        </w:rPr>
        <w:t>either themselves</w:t>
      </w:r>
      <w:r w:rsidR="00287A85" w:rsidRPr="004A0A07">
        <w:rPr>
          <w:rFonts w:asciiTheme="majorHAnsi" w:hAnsiTheme="majorHAnsi" w:cstheme="majorHAnsi"/>
          <w:sz w:val="24"/>
          <w:szCs w:val="24"/>
        </w:rPr>
        <w:t xml:space="preserve"> affected</w:t>
      </w:r>
      <w:r w:rsidRPr="004A0A07">
        <w:rPr>
          <w:rFonts w:asciiTheme="majorHAnsi" w:hAnsiTheme="majorHAnsi" w:cstheme="majorHAnsi"/>
          <w:sz w:val="24"/>
          <w:szCs w:val="24"/>
        </w:rPr>
        <w:t xml:space="preserve"> or who are caring for </w:t>
      </w:r>
      <w:r w:rsidR="00287A85" w:rsidRPr="004A0A07">
        <w:rPr>
          <w:rFonts w:asciiTheme="majorHAnsi" w:hAnsiTheme="majorHAnsi" w:cstheme="majorHAnsi"/>
          <w:sz w:val="24"/>
          <w:szCs w:val="24"/>
        </w:rPr>
        <w:t>an immediate family member</w:t>
      </w:r>
      <w:r w:rsidRPr="004A0A07">
        <w:rPr>
          <w:rFonts w:asciiTheme="majorHAnsi" w:hAnsiTheme="majorHAnsi" w:cstheme="majorHAnsi"/>
          <w:sz w:val="24"/>
          <w:szCs w:val="24"/>
        </w:rPr>
        <w:t xml:space="preserve"> who </w:t>
      </w:r>
      <w:r w:rsidR="00287A85" w:rsidRPr="004A0A07">
        <w:rPr>
          <w:rFonts w:asciiTheme="majorHAnsi" w:hAnsiTheme="majorHAnsi" w:cstheme="majorHAnsi"/>
          <w:sz w:val="24"/>
          <w:szCs w:val="24"/>
        </w:rPr>
        <w:t xml:space="preserve">is affected by a public health emergency. </w:t>
      </w:r>
    </w:p>
    <w:p w14:paraId="3720B1B5" w14:textId="77777777" w:rsidR="003E0A69" w:rsidRPr="004A0A07" w:rsidRDefault="00287A85" w:rsidP="003E0A69">
      <w:pPr>
        <w:tabs>
          <w:tab w:val="left" w:pos="5184"/>
        </w:tabs>
        <w:spacing w:after="120"/>
        <w:jc w:val="both"/>
        <w:rPr>
          <w:rFonts w:asciiTheme="majorHAnsi" w:hAnsiTheme="majorHAnsi" w:cstheme="majorHAnsi"/>
          <w:sz w:val="24"/>
          <w:szCs w:val="24"/>
        </w:rPr>
      </w:pPr>
      <w:r w:rsidRPr="004A0A07">
        <w:rPr>
          <w:rFonts w:asciiTheme="majorHAnsi" w:hAnsiTheme="majorHAnsi" w:cstheme="majorHAnsi"/>
          <w:sz w:val="24"/>
          <w:szCs w:val="24"/>
        </w:rPr>
        <w:t xml:space="preserve">Being affected by a public health emergency means undergoing treatment or being in </w:t>
      </w:r>
      <w:r w:rsidR="00E94B67" w:rsidRPr="004A0A07">
        <w:rPr>
          <w:rFonts w:asciiTheme="majorHAnsi" w:hAnsiTheme="majorHAnsi" w:cstheme="majorHAnsi"/>
          <w:sz w:val="24"/>
          <w:szCs w:val="24"/>
        </w:rPr>
        <w:t>quarantine or isolation</w:t>
      </w:r>
      <w:r w:rsidRPr="004A0A07">
        <w:rPr>
          <w:rFonts w:asciiTheme="majorHAnsi" w:hAnsiTheme="majorHAnsi" w:cstheme="majorHAnsi"/>
          <w:sz w:val="24"/>
          <w:szCs w:val="24"/>
        </w:rPr>
        <w:t xml:space="preserve">, among other things. The need for leave must be communicated to the employer within a reasonable timeframe. </w:t>
      </w:r>
    </w:p>
    <w:p w14:paraId="74A2C354" w14:textId="7F67405B" w:rsidR="004A0A07" w:rsidRDefault="00287A85" w:rsidP="004A0A07">
      <w:pPr>
        <w:tabs>
          <w:tab w:val="left" w:pos="5184"/>
        </w:tabs>
        <w:spacing w:after="240"/>
        <w:jc w:val="both"/>
        <w:rPr>
          <w:rFonts w:asciiTheme="majorHAnsi" w:hAnsiTheme="majorHAnsi" w:cstheme="majorHAnsi"/>
          <w:b/>
          <w:sz w:val="24"/>
          <w:szCs w:val="24"/>
        </w:rPr>
      </w:pPr>
      <w:r w:rsidRPr="004A0A07">
        <w:rPr>
          <w:rFonts w:asciiTheme="majorHAnsi" w:hAnsiTheme="majorHAnsi" w:cstheme="majorHAnsi"/>
          <w:sz w:val="24"/>
          <w:szCs w:val="24"/>
        </w:rPr>
        <w:t>Leave may be either paid or unpaid. Exceptions include government employees who are responsible for ensuring public health and safety and employe</w:t>
      </w:r>
      <w:r w:rsidR="002322E8" w:rsidRPr="004A0A07">
        <w:rPr>
          <w:rFonts w:asciiTheme="majorHAnsi" w:hAnsiTheme="majorHAnsi" w:cstheme="majorHAnsi"/>
          <w:sz w:val="24"/>
          <w:szCs w:val="24"/>
        </w:rPr>
        <w:t xml:space="preserve">es whose leave would cause an undue hardship requiring the employer to downsize operations. </w:t>
      </w:r>
    </w:p>
    <w:p w14:paraId="79BF2612" w14:textId="1AAD03AF" w:rsidR="004A0A07" w:rsidRPr="004A0A07" w:rsidRDefault="00F67A3C" w:rsidP="004A0A07">
      <w:pPr>
        <w:tabs>
          <w:tab w:val="left" w:pos="5184"/>
        </w:tabs>
        <w:spacing w:after="240"/>
        <w:jc w:val="both"/>
        <w:rPr>
          <w:rFonts w:asciiTheme="majorHAnsi" w:hAnsiTheme="majorHAnsi" w:cstheme="majorHAnsi"/>
          <w:sz w:val="24"/>
          <w:szCs w:val="24"/>
        </w:rPr>
      </w:pPr>
      <w:r w:rsidRPr="004A0A07">
        <w:rPr>
          <w:rFonts w:asciiTheme="majorHAnsi" w:hAnsiTheme="majorHAnsi" w:cstheme="majorHAnsi"/>
          <w:b/>
          <w:sz w:val="24"/>
          <w:szCs w:val="24"/>
        </w:rPr>
        <w:t>Maine’s Family Medical Leave</w:t>
      </w:r>
      <w:r w:rsidRPr="004A0A07">
        <w:rPr>
          <w:rFonts w:asciiTheme="majorHAnsi" w:hAnsiTheme="majorHAnsi" w:cstheme="majorHAnsi"/>
          <w:sz w:val="24"/>
          <w:szCs w:val="24"/>
        </w:rPr>
        <w:t xml:space="preserve"> laws apply to an employee that has worked for the same employer for at least 12 consecutive months. The employee would be entitled to up to 10 work weeks of job-protected unpaid Family Medical Leave in any two years</w:t>
      </w:r>
      <w:r w:rsidR="001D0E75" w:rsidRPr="004A0A07">
        <w:rPr>
          <w:rFonts w:asciiTheme="majorHAnsi" w:hAnsiTheme="majorHAnsi" w:cstheme="majorHAnsi"/>
          <w:sz w:val="24"/>
          <w:szCs w:val="24"/>
        </w:rPr>
        <w:t xml:space="preserve">. However, employers with fewer than 15 employees </w:t>
      </w:r>
      <w:r w:rsidRPr="004A0A07">
        <w:rPr>
          <w:rFonts w:asciiTheme="majorHAnsi" w:hAnsiTheme="majorHAnsi" w:cstheme="majorHAnsi"/>
          <w:sz w:val="24"/>
          <w:szCs w:val="24"/>
        </w:rPr>
        <w:t xml:space="preserve">employed at a permanent work site </w:t>
      </w:r>
      <w:r w:rsidR="001D0E75" w:rsidRPr="004A0A07">
        <w:rPr>
          <w:rFonts w:asciiTheme="majorHAnsi" w:hAnsiTheme="majorHAnsi" w:cstheme="majorHAnsi"/>
          <w:sz w:val="24"/>
          <w:szCs w:val="24"/>
        </w:rPr>
        <w:t>are exempt</w:t>
      </w:r>
      <w:r w:rsidRPr="004A0A07">
        <w:rPr>
          <w:rFonts w:asciiTheme="majorHAnsi" w:hAnsiTheme="majorHAnsi" w:cstheme="majorHAnsi"/>
          <w:sz w:val="24"/>
          <w:szCs w:val="24"/>
        </w:rPr>
        <w:t xml:space="preserve">. Employers may provide paid leave at their discretion.  </w:t>
      </w:r>
    </w:p>
    <w:p w14:paraId="5303B0E0" w14:textId="232C68DA" w:rsidR="00F67A3C" w:rsidRPr="004A0A07" w:rsidRDefault="00F67A3C" w:rsidP="00483801">
      <w:pPr>
        <w:tabs>
          <w:tab w:val="left" w:pos="5184"/>
        </w:tabs>
        <w:spacing w:after="120"/>
        <w:jc w:val="both"/>
        <w:rPr>
          <w:rFonts w:asciiTheme="majorHAnsi" w:hAnsiTheme="majorHAnsi" w:cstheme="majorHAnsi"/>
          <w:sz w:val="24"/>
          <w:szCs w:val="24"/>
        </w:rPr>
      </w:pPr>
      <w:r w:rsidRPr="004A0A07">
        <w:rPr>
          <w:rFonts w:asciiTheme="majorHAnsi" w:hAnsiTheme="majorHAnsi" w:cstheme="majorHAnsi"/>
          <w:b/>
          <w:sz w:val="24"/>
          <w:szCs w:val="24"/>
        </w:rPr>
        <w:t>Maine’s Family Sick Leave</w:t>
      </w:r>
      <w:r w:rsidRPr="004A0A07">
        <w:rPr>
          <w:rFonts w:asciiTheme="majorHAnsi" w:hAnsiTheme="majorHAnsi" w:cstheme="majorHAnsi"/>
          <w:sz w:val="24"/>
          <w:szCs w:val="24"/>
        </w:rPr>
        <w:t xml:space="preserve"> law states that if an employer provides paid leave, then the employer </w:t>
      </w:r>
      <w:r w:rsidR="001D0E75" w:rsidRPr="004A0A07">
        <w:rPr>
          <w:rFonts w:asciiTheme="majorHAnsi" w:hAnsiTheme="majorHAnsi" w:cstheme="majorHAnsi"/>
          <w:sz w:val="24"/>
          <w:szCs w:val="24"/>
        </w:rPr>
        <w:t>must</w:t>
      </w:r>
      <w:r w:rsidRPr="004A0A07">
        <w:rPr>
          <w:rFonts w:asciiTheme="majorHAnsi" w:hAnsiTheme="majorHAnsi" w:cstheme="majorHAnsi"/>
          <w:sz w:val="24"/>
          <w:szCs w:val="24"/>
        </w:rPr>
        <w:t xml:space="preserve"> allow an employee to use the paid leave for the care of an immediate family member who is ill. This law gives the employee the right to choose what type of leave they are going to use, if their employer provides multiple benefits</w:t>
      </w:r>
      <w:r w:rsidR="001D0E75" w:rsidRPr="004A0A07">
        <w:rPr>
          <w:rFonts w:asciiTheme="majorHAnsi" w:hAnsiTheme="majorHAnsi" w:cstheme="majorHAnsi"/>
          <w:sz w:val="24"/>
          <w:szCs w:val="24"/>
        </w:rPr>
        <w:t xml:space="preserve"> (</w:t>
      </w:r>
      <w:r w:rsidRPr="004A0A07">
        <w:rPr>
          <w:rFonts w:asciiTheme="majorHAnsi" w:hAnsiTheme="majorHAnsi" w:cstheme="majorHAnsi"/>
          <w:sz w:val="24"/>
          <w:szCs w:val="24"/>
        </w:rPr>
        <w:t>such as sick, vacation, or personal</w:t>
      </w:r>
      <w:r w:rsidR="001D0E75" w:rsidRPr="004A0A07">
        <w:rPr>
          <w:rFonts w:asciiTheme="majorHAnsi" w:hAnsiTheme="majorHAnsi" w:cstheme="majorHAnsi"/>
          <w:sz w:val="24"/>
          <w:szCs w:val="24"/>
        </w:rPr>
        <w:t>)</w:t>
      </w:r>
      <w:r w:rsidRPr="004A0A07">
        <w:rPr>
          <w:rFonts w:asciiTheme="majorHAnsi" w:hAnsiTheme="majorHAnsi" w:cstheme="majorHAnsi"/>
          <w:sz w:val="24"/>
          <w:szCs w:val="24"/>
        </w:rPr>
        <w:t xml:space="preserve"> with limitations. </w:t>
      </w:r>
      <w:r w:rsidR="001D0E75" w:rsidRPr="004A0A07">
        <w:rPr>
          <w:rFonts w:asciiTheme="majorHAnsi" w:hAnsiTheme="majorHAnsi" w:cstheme="majorHAnsi"/>
          <w:sz w:val="24"/>
          <w:szCs w:val="24"/>
        </w:rPr>
        <w:t xml:space="preserve">This law section does not apply to the illness of the employee, </w:t>
      </w:r>
      <w:r w:rsidR="00475C01" w:rsidRPr="004A0A07">
        <w:rPr>
          <w:rFonts w:asciiTheme="majorHAnsi" w:hAnsiTheme="majorHAnsi" w:cstheme="majorHAnsi"/>
          <w:sz w:val="24"/>
          <w:szCs w:val="24"/>
        </w:rPr>
        <w:t xml:space="preserve">for which the employer may require the use of sick leave. </w:t>
      </w:r>
    </w:p>
    <w:p w14:paraId="26E7A9B9" w14:textId="2066D5BB" w:rsidR="003E0A69" w:rsidRPr="004A0A07" w:rsidRDefault="00F67A3C" w:rsidP="00483801">
      <w:pPr>
        <w:tabs>
          <w:tab w:val="left" w:pos="5184"/>
        </w:tabs>
        <w:spacing w:after="120"/>
        <w:jc w:val="both"/>
        <w:rPr>
          <w:rFonts w:asciiTheme="majorHAnsi" w:hAnsiTheme="majorHAnsi" w:cstheme="majorHAnsi"/>
          <w:sz w:val="24"/>
          <w:szCs w:val="24"/>
        </w:rPr>
      </w:pPr>
      <w:r w:rsidRPr="004A0A07">
        <w:rPr>
          <w:rFonts w:asciiTheme="majorHAnsi" w:hAnsiTheme="majorHAnsi" w:cstheme="majorHAnsi"/>
          <w:sz w:val="24"/>
          <w:szCs w:val="24"/>
        </w:rPr>
        <w:t xml:space="preserve">Larger businesses, such as </w:t>
      </w:r>
      <w:r w:rsidR="00475C01" w:rsidRPr="004A0A07">
        <w:rPr>
          <w:rFonts w:asciiTheme="majorHAnsi" w:hAnsiTheme="majorHAnsi" w:cstheme="majorHAnsi"/>
          <w:sz w:val="24"/>
          <w:szCs w:val="24"/>
        </w:rPr>
        <w:t>those</w:t>
      </w:r>
      <w:r w:rsidRPr="004A0A07">
        <w:rPr>
          <w:rFonts w:asciiTheme="majorHAnsi" w:hAnsiTheme="majorHAnsi" w:cstheme="majorHAnsi"/>
          <w:sz w:val="24"/>
          <w:szCs w:val="24"/>
        </w:rPr>
        <w:t xml:space="preserve"> that have 50 or more employees, </w:t>
      </w:r>
      <w:r w:rsidR="00475C01" w:rsidRPr="004A0A07">
        <w:rPr>
          <w:rFonts w:asciiTheme="majorHAnsi" w:hAnsiTheme="majorHAnsi" w:cstheme="majorHAnsi"/>
          <w:sz w:val="24"/>
          <w:szCs w:val="24"/>
        </w:rPr>
        <w:t xml:space="preserve">are also subject to the </w:t>
      </w:r>
      <w:r w:rsidRPr="004A0A07">
        <w:rPr>
          <w:rFonts w:asciiTheme="majorHAnsi" w:hAnsiTheme="majorHAnsi" w:cstheme="majorHAnsi"/>
          <w:sz w:val="24"/>
          <w:szCs w:val="24"/>
        </w:rPr>
        <w:t>federal Family and Medical Leave Act</w:t>
      </w:r>
      <w:r w:rsidR="003E0A69" w:rsidRPr="004A0A07">
        <w:rPr>
          <w:rFonts w:asciiTheme="majorHAnsi" w:hAnsiTheme="majorHAnsi" w:cstheme="majorHAnsi"/>
          <w:sz w:val="24"/>
          <w:szCs w:val="24"/>
        </w:rPr>
        <w:t xml:space="preserve"> (FMLA)</w:t>
      </w:r>
      <w:r w:rsidRPr="004A0A07">
        <w:rPr>
          <w:rFonts w:asciiTheme="majorHAnsi" w:hAnsiTheme="majorHAnsi" w:cstheme="majorHAnsi"/>
          <w:sz w:val="24"/>
          <w:szCs w:val="24"/>
        </w:rPr>
        <w:t xml:space="preserve"> laws</w:t>
      </w:r>
      <w:r w:rsidR="00475C01" w:rsidRPr="004A0A07">
        <w:rPr>
          <w:rFonts w:asciiTheme="majorHAnsi" w:hAnsiTheme="majorHAnsi" w:cstheme="majorHAnsi"/>
          <w:sz w:val="24"/>
          <w:szCs w:val="24"/>
        </w:rPr>
        <w:t>. This requires that</w:t>
      </w:r>
      <w:r w:rsidRPr="004A0A07">
        <w:rPr>
          <w:rFonts w:asciiTheme="majorHAnsi" w:hAnsiTheme="majorHAnsi" w:cstheme="majorHAnsi"/>
          <w:sz w:val="24"/>
          <w:szCs w:val="24"/>
        </w:rPr>
        <w:t xml:space="preserve"> up to 12 weeks of </w:t>
      </w:r>
      <w:r w:rsidR="00475C01" w:rsidRPr="004A0A07">
        <w:rPr>
          <w:rFonts w:asciiTheme="majorHAnsi" w:hAnsiTheme="majorHAnsi" w:cstheme="majorHAnsi"/>
          <w:sz w:val="24"/>
          <w:szCs w:val="24"/>
        </w:rPr>
        <w:t xml:space="preserve">unpaid </w:t>
      </w:r>
      <w:r w:rsidRPr="004A0A07">
        <w:rPr>
          <w:rFonts w:asciiTheme="majorHAnsi" w:hAnsiTheme="majorHAnsi" w:cstheme="majorHAnsi"/>
          <w:sz w:val="24"/>
          <w:szCs w:val="24"/>
        </w:rPr>
        <w:t xml:space="preserve">leave </w:t>
      </w:r>
      <w:r w:rsidR="00475C01" w:rsidRPr="004A0A07">
        <w:rPr>
          <w:rFonts w:asciiTheme="majorHAnsi" w:hAnsiTheme="majorHAnsi" w:cstheme="majorHAnsi"/>
          <w:sz w:val="24"/>
          <w:szCs w:val="24"/>
        </w:rPr>
        <w:t xml:space="preserve">be provided </w:t>
      </w:r>
      <w:r w:rsidRPr="004A0A07">
        <w:rPr>
          <w:rFonts w:asciiTheme="majorHAnsi" w:hAnsiTheme="majorHAnsi" w:cstheme="majorHAnsi"/>
          <w:sz w:val="24"/>
          <w:szCs w:val="24"/>
        </w:rPr>
        <w:t xml:space="preserve">for a qualifying event. </w:t>
      </w:r>
      <w:r w:rsidR="00475C01" w:rsidRPr="004A0A07">
        <w:rPr>
          <w:rFonts w:asciiTheme="majorHAnsi" w:hAnsiTheme="majorHAnsi" w:cstheme="majorHAnsi"/>
          <w:sz w:val="24"/>
          <w:szCs w:val="24"/>
        </w:rPr>
        <w:t xml:space="preserve">Employers may provide paid leave at their discretion. </w:t>
      </w:r>
    </w:p>
    <w:p w14:paraId="1544832F" w14:textId="4953977E" w:rsidR="001D0E75" w:rsidRPr="004A0A07" w:rsidRDefault="00F67A3C" w:rsidP="003E0A69">
      <w:pPr>
        <w:tabs>
          <w:tab w:val="left" w:pos="5184"/>
        </w:tabs>
        <w:spacing w:after="0"/>
        <w:jc w:val="both"/>
        <w:rPr>
          <w:rFonts w:asciiTheme="majorHAnsi" w:hAnsiTheme="majorHAnsi" w:cstheme="majorHAnsi"/>
          <w:b/>
          <w:sz w:val="24"/>
          <w:szCs w:val="24"/>
        </w:rPr>
      </w:pPr>
      <w:r w:rsidRPr="004A0A07">
        <w:rPr>
          <w:rFonts w:asciiTheme="majorHAnsi" w:hAnsiTheme="majorHAnsi" w:cstheme="majorHAnsi"/>
          <w:b/>
          <w:sz w:val="24"/>
          <w:szCs w:val="24"/>
        </w:rPr>
        <w:t xml:space="preserve">U.S. Department of Labor FAQ’s about federal </w:t>
      </w:r>
      <w:r w:rsidR="003E0A69" w:rsidRPr="004A0A07">
        <w:rPr>
          <w:rFonts w:asciiTheme="majorHAnsi" w:hAnsiTheme="majorHAnsi" w:cstheme="majorHAnsi"/>
          <w:b/>
          <w:sz w:val="24"/>
          <w:szCs w:val="24"/>
        </w:rPr>
        <w:t>FMLA</w:t>
      </w:r>
      <w:r w:rsidRPr="004A0A07">
        <w:rPr>
          <w:rFonts w:asciiTheme="majorHAnsi" w:hAnsiTheme="majorHAnsi" w:cstheme="majorHAnsi"/>
          <w:b/>
          <w:sz w:val="24"/>
          <w:szCs w:val="24"/>
        </w:rPr>
        <w:t xml:space="preserve">: </w:t>
      </w:r>
    </w:p>
    <w:p w14:paraId="3AE13C8C" w14:textId="39C37D26" w:rsidR="004A0A07" w:rsidRPr="004A0A07" w:rsidRDefault="00204B99" w:rsidP="004A0A07">
      <w:pPr>
        <w:tabs>
          <w:tab w:val="left" w:pos="5184"/>
        </w:tabs>
        <w:spacing w:after="240"/>
        <w:jc w:val="both"/>
        <w:rPr>
          <w:rFonts w:asciiTheme="majorHAnsi" w:hAnsiTheme="majorHAnsi" w:cstheme="majorHAnsi"/>
          <w:sz w:val="24"/>
          <w:szCs w:val="24"/>
        </w:rPr>
      </w:pPr>
      <w:hyperlink r:id="rId11" w:history="1">
        <w:r w:rsidR="003E0A69" w:rsidRPr="004A0A07">
          <w:rPr>
            <w:rStyle w:val="Hyperlink"/>
            <w:rFonts w:asciiTheme="majorHAnsi" w:hAnsiTheme="majorHAnsi" w:cstheme="majorHAnsi"/>
            <w:sz w:val="24"/>
            <w:szCs w:val="24"/>
          </w:rPr>
          <w:t>https://www.dol.gov/agencies/whd/fmla/pandemic</w:t>
        </w:r>
      </w:hyperlink>
      <w:r w:rsidR="00F67A3C" w:rsidRPr="004A0A07">
        <w:rPr>
          <w:rFonts w:asciiTheme="majorHAnsi" w:hAnsiTheme="majorHAnsi" w:cstheme="majorHAnsi"/>
          <w:sz w:val="24"/>
          <w:szCs w:val="24"/>
        </w:rPr>
        <w:t xml:space="preserve"> </w:t>
      </w:r>
    </w:p>
    <w:p w14:paraId="40F18886" w14:textId="6BB661C9" w:rsidR="004A0A07" w:rsidRPr="004A0A07" w:rsidRDefault="00F67A3C" w:rsidP="004A0A07">
      <w:pPr>
        <w:tabs>
          <w:tab w:val="left" w:pos="5184"/>
        </w:tabs>
        <w:spacing w:after="240"/>
        <w:jc w:val="both"/>
        <w:rPr>
          <w:rFonts w:asciiTheme="majorHAnsi" w:hAnsiTheme="majorHAnsi" w:cstheme="majorHAnsi"/>
          <w:sz w:val="24"/>
          <w:szCs w:val="24"/>
        </w:rPr>
      </w:pPr>
      <w:r w:rsidRPr="004A0A07">
        <w:rPr>
          <w:rFonts w:asciiTheme="majorHAnsi" w:hAnsiTheme="majorHAnsi" w:cstheme="majorHAnsi"/>
          <w:b/>
          <w:sz w:val="24"/>
          <w:szCs w:val="24"/>
        </w:rPr>
        <w:t>Maine’s Earned Paid Leave</w:t>
      </w:r>
      <w:r w:rsidRPr="004A0A07">
        <w:rPr>
          <w:rFonts w:asciiTheme="majorHAnsi" w:hAnsiTheme="majorHAnsi" w:cstheme="majorHAnsi"/>
          <w:sz w:val="24"/>
          <w:szCs w:val="24"/>
        </w:rPr>
        <w:t xml:space="preserve"> law does not go into effect until January 1, 2021.  This law, when in effect, will </w:t>
      </w:r>
      <w:r w:rsidR="00482EBE" w:rsidRPr="004A0A07">
        <w:rPr>
          <w:rFonts w:asciiTheme="majorHAnsi" w:hAnsiTheme="majorHAnsi" w:cstheme="majorHAnsi"/>
          <w:sz w:val="24"/>
          <w:szCs w:val="24"/>
        </w:rPr>
        <w:t>provide the ability for employees to accrue up to 40 hours of paid time off</w:t>
      </w:r>
      <w:r w:rsidR="00802260" w:rsidRPr="004A0A07">
        <w:rPr>
          <w:rFonts w:asciiTheme="majorHAnsi" w:hAnsiTheme="majorHAnsi" w:cstheme="majorHAnsi"/>
          <w:sz w:val="24"/>
          <w:szCs w:val="24"/>
        </w:rPr>
        <w:t>,</w:t>
      </w:r>
      <w:r w:rsidR="00482EBE" w:rsidRPr="004A0A07">
        <w:rPr>
          <w:rFonts w:asciiTheme="majorHAnsi" w:hAnsiTheme="majorHAnsi" w:cstheme="majorHAnsi"/>
          <w:sz w:val="24"/>
          <w:szCs w:val="24"/>
        </w:rPr>
        <w:t xml:space="preserve"> based on the number of hours they work for an employer</w:t>
      </w:r>
      <w:r w:rsidRPr="004A0A07">
        <w:rPr>
          <w:rFonts w:asciiTheme="majorHAnsi" w:hAnsiTheme="majorHAnsi" w:cstheme="majorHAnsi"/>
          <w:sz w:val="24"/>
          <w:szCs w:val="24"/>
        </w:rPr>
        <w:t xml:space="preserve">.  </w:t>
      </w:r>
    </w:p>
    <w:p w14:paraId="706975AF" w14:textId="6DDC8BF1" w:rsidR="00F67A3C" w:rsidRPr="004A0A07" w:rsidRDefault="00F67A3C" w:rsidP="004A0A07">
      <w:pPr>
        <w:tabs>
          <w:tab w:val="left" w:pos="5184"/>
        </w:tabs>
        <w:spacing w:after="240"/>
        <w:jc w:val="both"/>
        <w:rPr>
          <w:rFonts w:asciiTheme="majorHAnsi" w:hAnsiTheme="majorHAnsi" w:cstheme="majorHAnsi"/>
          <w:sz w:val="24"/>
          <w:szCs w:val="24"/>
        </w:rPr>
      </w:pPr>
      <w:r w:rsidRPr="004A0A07">
        <w:rPr>
          <w:rFonts w:asciiTheme="majorHAnsi" w:hAnsiTheme="majorHAnsi" w:cstheme="majorHAnsi"/>
          <w:b/>
          <w:sz w:val="24"/>
          <w:szCs w:val="24"/>
        </w:rPr>
        <w:t>Work-Related Illness</w:t>
      </w:r>
      <w:r w:rsidRPr="004A0A07">
        <w:rPr>
          <w:rFonts w:asciiTheme="majorHAnsi" w:hAnsiTheme="majorHAnsi" w:cstheme="majorHAnsi"/>
          <w:sz w:val="24"/>
          <w:szCs w:val="24"/>
        </w:rPr>
        <w:t xml:space="preserve"> - If the illness is work related, the employee and employer should consult with the Maine Workers’ Compensation Board. For more information about the Worker’s Compensation Board, visit  </w:t>
      </w:r>
      <w:hyperlink r:id="rId12" w:history="1">
        <w:r w:rsidRPr="004A0A07">
          <w:rPr>
            <w:rStyle w:val="Hyperlink"/>
            <w:rFonts w:asciiTheme="majorHAnsi" w:hAnsiTheme="majorHAnsi" w:cstheme="majorHAnsi"/>
            <w:sz w:val="24"/>
            <w:szCs w:val="24"/>
          </w:rPr>
          <w:t>https://www.maine.gov/wcb/</w:t>
        </w:r>
      </w:hyperlink>
      <w:r w:rsidRPr="004A0A07">
        <w:rPr>
          <w:rFonts w:asciiTheme="majorHAnsi" w:hAnsiTheme="majorHAnsi" w:cstheme="majorHAnsi"/>
          <w:sz w:val="24"/>
          <w:szCs w:val="24"/>
        </w:rPr>
        <w:t xml:space="preserve"> </w:t>
      </w:r>
    </w:p>
    <w:p w14:paraId="39D852EC" w14:textId="77777777" w:rsidR="004A0A07" w:rsidRDefault="004A0A07" w:rsidP="004A0A07">
      <w:pPr>
        <w:tabs>
          <w:tab w:val="left" w:pos="5184"/>
        </w:tabs>
        <w:jc w:val="both"/>
        <w:rPr>
          <w:rFonts w:asciiTheme="majorHAnsi" w:hAnsiTheme="majorHAnsi" w:cstheme="majorHAnsi"/>
          <w:sz w:val="24"/>
          <w:szCs w:val="24"/>
        </w:rPr>
      </w:pPr>
    </w:p>
    <w:p w14:paraId="6FD485D9" w14:textId="77777777" w:rsidR="004A0A07" w:rsidRDefault="004A0A07" w:rsidP="004A0A07">
      <w:pPr>
        <w:tabs>
          <w:tab w:val="left" w:pos="5184"/>
        </w:tabs>
        <w:jc w:val="both"/>
        <w:rPr>
          <w:rFonts w:asciiTheme="majorHAnsi" w:hAnsiTheme="majorHAnsi" w:cstheme="majorHAnsi"/>
          <w:sz w:val="24"/>
          <w:szCs w:val="24"/>
        </w:rPr>
      </w:pPr>
    </w:p>
    <w:p w14:paraId="4B003DCA" w14:textId="3AF1F86F" w:rsidR="004A0A07" w:rsidRPr="004A0A07" w:rsidRDefault="00E94B67" w:rsidP="004A0A07">
      <w:pPr>
        <w:tabs>
          <w:tab w:val="left" w:pos="5184"/>
        </w:tabs>
        <w:jc w:val="both"/>
        <w:rPr>
          <w:rStyle w:val="Hyperlink"/>
          <w:rFonts w:asciiTheme="majorHAnsi" w:hAnsiTheme="majorHAnsi" w:cstheme="majorHAnsi"/>
          <w:sz w:val="24"/>
          <w:szCs w:val="24"/>
        </w:rPr>
      </w:pPr>
      <w:r w:rsidRPr="004A0A07">
        <w:rPr>
          <w:rFonts w:asciiTheme="majorHAnsi" w:hAnsiTheme="majorHAnsi" w:cstheme="majorHAnsi"/>
          <w:sz w:val="24"/>
          <w:szCs w:val="24"/>
        </w:rPr>
        <w:t xml:space="preserve">For more information, please visit </w:t>
      </w:r>
      <w:hyperlink r:id="rId13" w:history="1">
        <w:r w:rsidR="004A0A07" w:rsidRPr="00773F33">
          <w:rPr>
            <w:rStyle w:val="Hyperlink"/>
            <w:rFonts w:asciiTheme="majorHAnsi" w:hAnsiTheme="majorHAnsi" w:cstheme="majorHAnsi"/>
            <w:sz w:val="24"/>
            <w:szCs w:val="24"/>
          </w:rPr>
          <w:t>https://www.maine.gov/labor/bls/index.shtml</w:t>
        </w:r>
      </w:hyperlink>
      <w:r w:rsidR="004A0A07">
        <w:rPr>
          <w:rStyle w:val="Hyperlink"/>
          <w:rFonts w:asciiTheme="majorHAnsi" w:hAnsiTheme="majorHAnsi" w:cstheme="majorHAnsi"/>
          <w:sz w:val="24"/>
          <w:szCs w:val="24"/>
        </w:rPr>
        <w:t xml:space="preserve"> </w:t>
      </w:r>
    </w:p>
    <w:p w14:paraId="5668E7E9" w14:textId="77777777" w:rsidR="004A0A07" w:rsidRDefault="004A0A07" w:rsidP="004A0A07">
      <w:pPr>
        <w:tabs>
          <w:tab w:val="left" w:pos="5184"/>
        </w:tabs>
        <w:rPr>
          <w:rStyle w:val="Hyperlink"/>
          <w:rFonts w:asciiTheme="majorHAnsi" w:hAnsiTheme="majorHAnsi" w:cstheme="majorHAnsi"/>
          <w:color w:val="auto"/>
          <w:sz w:val="28"/>
          <w:szCs w:val="26"/>
        </w:rPr>
      </w:pPr>
    </w:p>
    <w:p w14:paraId="5BF197C6" w14:textId="2912EF09" w:rsidR="00626A4F" w:rsidRPr="004A0A07" w:rsidRDefault="00626A4F" w:rsidP="0060501C">
      <w:pPr>
        <w:tabs>
          <w:tab w:val="left" w:pos="5184"/>
        </w:tabs>
        <w:jc w:val="center"/>
        <w:rPr>
          <w:rStyle w:val="Hyperlink"/>
          <w:rFonts w:asciiTheme="majorHAnsi" w:hAnsiTheme="majorHAnsi" w:cstheme="majorHAnsi"/>
          <w:color w:val="auto"/>
          <w:sz w:val="28"/>
          <w:szCs w:val="26"/>
        </w:rPr>
      </w:pPr>
      <w:r w:rsidRPr="004A0A07">
        <w:rPr>
          <w:rStyle w:val="Hyperlink"/>
          <w:rFonts w:asciiTheme="majorHAnsi" w:hAnsiTheme="majorHAnsi" w:cstheme="majorHAnsi"/>
          <w:color w:val="auto"/>
          <w:sz w:val="28"/>
          <w:szCs w:val="26"/>
        </w:rPr>
        <w:lastRenderedPageBreak/>
        <w:t xml:space="preserve">Frequently </w:t>
      </w:r>
      <w:r w:rsidR="003E0A69" w:rsidRPr="004A0A07">
        <w:rPr>
          <w:rStyle w:val="Hyperlink"/>
          <w:rFonts w:asciiTheme="majorHAnsi" w:hAnsiTheme="majorHAnsi" w:cstheme="majorHAnsi"/>
          <w:color w:val="auto"/>
          <w:sz w:val="28"/>
          <w:szCs w:val="26"/>
        </w:rPr>
        <w:t>A</w:t>
      </w:r>
      <w:r w:rsidRPr="004A0A07">
        <w:rPr>
          <w:rStyle w:val="Hyperlink"/>
          <w:rFonts w:asciiTheme="majorHAnsi" w:hAnsiTheme="majorHAnsi" w:cstheme="majorHAnsi"/>
          <w:color w:val="auto"/>
          <w:sz w:val="28"/>
          <w:szCs w:val="26"/>
        </w:rPr>
        <w:t xml:space="preserve">sked </w:t>
      </w:r>
      <w:r w:rsidR="003E0A69" w:rsidRPr="004A0A07">
        <w:rPr>
          <w:rStyle w:val="Hyperlink"/>
          <w:rFonts w:asciiTheme="majorHAnsi" w:hAnsiTheme="majorHAnsi" w:cstheme="majorHAnsi"/>
          <w:color w:val="auto"/>
          <w:sz w:val="28"/>
          <w:szCs w:val="26"/>
        </w:rPr>
        <w:t>Q</w:t>
      </w:r>
      <w:r w:rsidRPr="004A0A07">
        <w:rPr>
          <w:rStyle w:val="Hyperlink"/>
          <w:rFonts w:asciiTheme="majorHAnsi" w:hAnsiTheme="majorHAnsi" w:cstheme="majorHAnsi"/>
          <w:color w:val="auto"/>
          <w:sz w:val="28"/>
          <w:szCs w:val="26"/>
        </w:rPr>
        <w:t>uestions:</w:t>
      </w:r>
    </w:p>
    <w:p w14:paraId="3E823E15" w14:textId="77777777" w:rsidR="003E0A69" w:rsidRPr="004A0A07" w:rsidRDefault="00626A4F" w:rsidP="003E0A69">
      <w:pPr>
        <w:pStyle w:val="NoSpacing"/>
        <w:spacing w:after="120"/>
        <w:rPr>
          <w:rFonts w:asciiTheme="majorHAnsi" w:hAnsiTheme="majorHAnsi" w:cstheme="majorHAnsi"/>
          <w:b/>
          <w:i/>
          <w:sz w:val="24"/>
        </w:rPr>
      </w:pPr>
      <w:r w:rsidRPr="004A0A07">
        <w:rPr>
          <w:rFonts w:asciiTheme="majorHAnsi" w:hAnsiTheme="majorHAnsi" w:cstheme="majorHAnsi"/>
          <w:b/>
          <w:sz w:val="24"/>
        </w:rPr>
        <w:t>Q</w:t>
      </w:r>
      <w:r w:rsidRPr="004A0A07">
        <w:rPr>
          <w:rFonts w:asciiTheme="majorHAnsi" w:hAnsiTheme="majorHAnsi" w:cstheme="majorHAnsi"/>
          <w:b/>
          <w:i/>
          <w:sz w:val="24"/>
        </w:rPr>
        <w:t>. I am salary-exempt. Does my employer have to pay my full salary if the business is closed due to COVID-19?</w:t>
      </w:r>
    </w:p>
    <w:p w14:paraId="3C108A9D" w14:textId="67127143" w:rsidR="00626A4F" w:rsidRPr="004A0A07" w:rsidRDefault="00626A4F" w:rsidP="003E0A69">
      <w:pPr>
        <w:pStyle w:val="NoSpacing"/>
        <w:spacing w:after="120"/>
        <w:rPr>
          <w:rFonts w:asciiTheme="majorHAnsi" w:hAnsiTheme="majorHAnsi" w:cstheme="majorHAnsi"/>
          <w:sz w:val="24"/>
        </w:rPr>
      </w:pPr>
      <w:r w:rsidRPr="004A0A07">
        <w:rPr>
          <w:rFonts w:asciiTheme="majorHAnsi" w:hAnsiTheme="majorHAnsi" w:cstheme="majorHAnsi"/>
          <w:b/>
          <w:bCs/>
          <w:sz w:val="24"/>
        </w:rPr>
        <w:t>A:</w:t>
      </w:r>
      <w:r w:rsidRPr="004A0A07">
        <w:rPr>
          <w:rFonts w:asciiTheme="majorHAnsi" w:hAnsiTheme="majorHAnsi" w:cstheme="majorHAnsi"/>
          <w:sz w:val="24"/>
        </w:rPr>
        <w:t>  If the salary-exempt employee worked any part of the week then the employee must receive their full salary. The employer can require the employee use their paid benefit time such as vacation, sick, personal, etc. If the salary-exempt employee doesn’t have time available, the employer is still required to pay the full salary for the remainder of that week.  If the business is closed for subsequent week(s) and the salary-exempt employee does not work at all during the week then the employer would not be required to pay any portion of the salary.</w:t>
      </w:r>
    </w:p>
    <w:p w14:paraId="498FF35A" w14:textId="77777777" w:rsidR="003E0A69" w:rsidRPr="004A0A07" w:rsidRDefault="003E0A69" w:rsidP="003E0A69">
      <w:pPr>
        <w:pStyle w:val="NoSpacing"/>
        <w:spacing w:after="120"/>
        <w:rPr>
          <w:rFonts w:asciiTheme="majorHAnsi" w:hAnsiTheme="majorHAnsi" w:cstheme="majorHAnsi"/>
          <w:b/>
          <w:sz w:val="24"/>
        </w:rPr>
      </w:pPr>
    </w:p>
    <w:p w14:paraId="326C9E15" w14:textId="773BF241" w:rsidR="00626A4F" w:rsidRPr="004A0A07" w:rsidRDefault="00626A4F" w:rsidP="003E0A69">
      <w:pPr>
        <w:pStyle w:val="NoSpacing"/>
        <w:spacing w:after="120"/>
        <w:rPr>
          <w:rFonts w:asciiTheme="majorHAnsi" w:hAnsiTheme="majorHAnsi" w:cstheme="majorHAnsi"/>
          <w:b/>
          <w:i/>
          <w:sz w:val="24"/>
        </w:rPr>
      </w:pPr>
      <w:r w:rsidRPr="004A0A07">
        <w:rPr>
          <w:rFonts w:asciiTheme="majorHAnsi" w:hAnsiTheme="majorHAnsi" w:cstheme="majorHAnsi"/>
          <w:b/>
          <w:sz w:val="24"/>
        </w:rPr>
        <w:t xml:space="preserve">Q. </w:t>
      </w:r>
      <w:r w:rsidRPr="004A0A07">
        <w:rPr>
          <w:rFonts w:asciiTheme="majorHAnsi" w:hAnsiTheme="majorHAnsi" w:cstheme="majorHAnsi"/>
          <w:b/>
          <w:i/>
          <w:sz w:val="24"/>
        </w:rPr>
        <w:t>I am an hourly employee (non-exempt). Does my employer have to pay me if the business closed due to COVID-19?</w:t>
      </w:r>
    </w:p>
    <w:p w14:paraId="0BF95FA1" w14:textId="32779FA2" w:rsidR="00626A4F" w:rsidRPr="004A0A07" w:rsidRDefault="00626A4F" w:rsidP="003E0A69">
      <w:pPr>
        <w:spacing w:after="120"/>
        <w:rPr>
          <w:rFonts w:asciiTheme="majorHAnsi" w:hAnsiTheme="majorHAnsi" w:cstheme="majorHAnsi"/>
          <w:sz w:val="24"/>
        </w:rPr>
      </w:pPr>
      <w:r w:rsidRPr="004A0A07">
        <w:rPr>
          <w:rFonts w:asciiTheme="majorHAnsi" w:hAnsiTheme="majorHAnsi" w:cstheme="majorHAnsi"/>
          <w:b/>
          <w:bCs/>
          <w:sz w:val="24"/>
        </w:rPr>
        <w:t>A:</w:t>
      </w:r>
      <w:r w:rsidRPr="004A0A07">
        <w:rPr>
          <w:rFonts w:asciiTheme="majorHAnsi" w:hAnsiTheme="majorHAnsi" w:cstheme="majorHAnsi"/>
          <w:sz w:val="24"/>
        </w:rPr>
        <w:t xml:space="preserve"> No. Employers are only required to pay non-exempt employees for time </w:t>
      </w:r>
      <w:proofErr w:type="gramStart"/>
      <w:r w:rsidRPr="004A0A07">
        <w:rPr>
          <w:rFonts w:asciiTheme="majorHAnsi" w:hAnsiTheme="majorHAnsi" w:cstheme="majorHAnsi"/>
          <w:sz w:val="24"/>
        </w:rPr>
        <w:t>actually worked</w:t>
      </w:r>
      <w:proofErr w:type="gramEnd"/>
      <w:r w:rsidRPr="004A0A07">
        <w:rPr>
          <w:rFonts w:asciiTheme="majorHAnsi" w:hAnsiTheme="majorHAnsi" w:cstheme="majorHAnsi"/>
          <w:sz w:val="24"/>
        </w:rPr>
        <w:t>. Whether or not the employee can use their paid benefit time such as vacation, sick, personal, etc. is solely at the discretion of the employer.</w:t>
      </w:r>
    </w:p>
    <w:p w14:paraId="3233DED2" w14:textId="77777777" w:rsidR="003E0A69" w:rsidRPr="004A0A07" w:rsidRDefault="003E0A69" w:rsidP="003E0A69">
      <w:pPr>
        <w:spacing w:after="120"/>
        <w:rPr>
          <w:rFonts w:asciiTheme="majorHAnsi" w:hAnsiTheme="majorHAnsi" w:cstheme="majorHAnsi"/>
          <w:color w:val="1F497D"/>
          <w:sz w:val="24"/>
        </w:rPr>
      </w:pPr>
    </w:p>
    <w:p w14:paraId="6E1F10CD" w14:textId="7BA75760" w:rsidR="00626A4F" w:rsidRPr="004A0A07" w:rsidRDefault="00626A4F" w:rsidP="003E0A69">
      <w:pPr>
        <w:spacing w:after="120"/>
        <w:rPr>
          <w:rFonts w:asciiTheme="majorHAnsi" w:hAnsiTheme="majorHAnsi" w:cstheme="majorHAnsi"/>
          <w:b/>
          <w:i/>
          <w:sz w:val="24"/>
        </w:rPr>
      </w:pPr>
      <w:r w:rsidRPr="004A0A07">
        <w:rPr>
          <w:rFonts w:asciiTheme="majorHAnsi" w:hAnsiTheme="majorHAnsi" w:cstheme="majorHAnsi"/>
          <w:b/>
          <w:sz w:val="24"/>
        </w:rPr>
        <w:t xml:space="preserve">Q. </w:t>
      </w:r>
      <w:r w:rsidRPr="004A0A07">
        <w:rPr>
          <w:rFonts w:asciiTheme="majorHAnsi" w:hAnsiTheme="majorHAnsi" w:cstheme="majorHAnsi"/>
          <w:b/>
          <w:i/>
          <w:sz w:val="24"/>
        </w:rPr>
        <w:t>Can a minor work additional hours if their school is closed due to COVID-19?</w:t>
      </w:r>
    </w:p>
    <w:p w14:paraId="78D6485A" w14:textId="0AF7F762" w:rsidR="00626A4F" w:rsidRPr="004A0A07" w:rsidRDefault="00626A4F" w:rsidP="003E0A69">
      <w:pPr>
        <w:spacing w:after="120"/>
        <w:rPr>
          <w:rFonts w:asciiTheme="majorHAnsi" w:hAnsiTheme="majorHAnsi" w:cstheme="majorHAnsi"/>
          <w:sz w:val="24"/>
        </w:rPr>
      </w:pPr>
      <w:r w:rsidRPr="004A0A07">
        <w:rPr>
          <w:rFonts w:asciiTheme="majorHAnsi" w:hAnsiTheme="majorHAnsi" w:cstheme="majorHAnsi"/>
          <w:b/>
          <w:bCs/>
          <w:sz w:val="24"/>
        </w:rPr>
        <w:t>A:</w:t>
      </w:r>
      <w:r w:rsidRPr="004A0A07">
        <w:rPr>
          <w:rFonts w:asciiTheme="majorHAnsi" w:hAnsiTheme="majorHAnsi" w:cstheme="majorHAnsi"/>
          <w:sz w:val="24"/>
        </w:rPr>
        <w:t>  No. In most cases, schools have closed their buildings, but the students are still required to do daily assignments remotely. Therefore, school is still considered “in session.”</w:t>
      </w:r>
    </w:p>
    <w:p w14:paraId="65DA1CF4" w14:textId="77777777" w:rsidR="003E0A69" w:rsidRPr="004A0A07" w:rsidRDefault="003E0A69" w:rsidP="003E0A69">
      <w:pPr>
        <w:spacing w:after="120"/>
        <w:rPr>
          <w:rFonts w:asciiTheme="majorHAnsi" w:hAnsiTheme="majorHAnsi" w:cstheme="majorHAnsi"/>
          <w:sz w:val="24"/>
        </w:rPr>
      </w:pPr>
    </w:p>
    <w:p w14:paraId="6352B210" w14:textId="77777777" w:rsidR="003E0A69" w:rsidRPr="004A0A07" w:rsidRDefault="003E0A69" w:rsidP="003E0A69">
      <w:pPr>
        <w:spacing w:after="120"/>
        <w:rPr>
          <w:rFonts w:asciiTheme="majorHAnsi" w:hAnsiTheme="majorHAnsi" w:cstheme="majorHAnsi"/>
          <w:b/>
          <w:bCs/>
          <w:sz w:val="24"/>
        </w:rPr>
      </w:pPr>
      <w:r w:rsidRPr="004A0A07">
        <w:rPr>
          <w:rFonts w:asciiTheme="majorHAnsi" w:hAnsiTheme="majorHAnsi" w:cstheme="majorHAnsi"/>
          <w:b/>
          <w:bCs/>
          <w:sz w:val="24"/>
        </w:rPr>
        <w:t>Q:</w:t>
      </w:r>
      <w:r w:rsidRPr="004A0A07">
        <w:rPr>
          <w:rFonts w:asciiTheme="majorHAnsi" w:hAnsiTheme="majorHAnsi" w:cstheme="majorHAnsi"/>
          <w:b/>
          <w:bCs/>
          <w:i/>
          <w:sz w:val="24"/>
        </w:rPr>
        <w:t xml:space="preserve"> Will the Bureau of Labor Standards at the Maine Department of Labor ask for information about my immigration status?</w:t>
      </w:r>
    </w:p>
    <w:p w14:paraId="0B0927FA" w14:textId="7B9598E0" w:rsidR="003E0A69" w:rsidRPr="004A0A07" w:rsidRDefault="003E0A69" w:rsidP="003E0A69">
      <w:pPr>
        <w:spacing w:after="120"/>
        <w:rPr>
          <w:rFonts w:asciiTheme="majorHAnsi" w:hAnsiTheme="majorHAnsi" w:cstheme="majorHAnsi"/>
          <w:sz w:val="24"/>
        </w:rPr>
      </w:pPr>
      <w:r w:rsidRPr="004A0A07">
        <w:rPr>
          <w:rFonts w:asciiTheme="majorHAnsi" w:hAnsiTheme="majorHAnsi" w:cstheme="majorHAnsi"/>
          <w:b/>
          <w:sz w:val="24"/>
        </w:rPr>
        <w:t>A:</w:t>
      </w:r>
      <w:r w:rsidRPr="004A0A07">
        <w:rPr>
          <w:rFonts w:asciiTheme="majorHAnsi" w:hAnsiTheme="majorHAnsi" w:cstheme="majorHAnsi"/>
          <w:sz w:val="24"/>
        </w:rPr>
        <w:t xml:space="preserve"> As far as the Bureau of Labor Standards is concerned, a worker is a worker. We do not ask for immigration status or a social security number when responding to worker inquiries or complaints. We enforce Maine’s labor laws without regard to whether an employee has work authorization or is undocumented.</w:t>
      </w:r>
    </w:p>
    <w:p w14:paraId="3516BA38" w14:textId="77777777" w:rsidR="003E0A69" w:rsidRPr="004A0A07" w:rsidRDefault="003E0A69" w:rsidP="003E0A69">
      <w:pPr>
        <w:spacing w:after="120"/>
        <w:rPr>
          <w:rFonts w:asciiTheme="majorHAnsi" w:hAnsiTheme="majorHAnsi" w:cstheme="majorHAnsi"/>
          <w:b/>
          <w:bCs/>
          <w:sz w:val="24"/>
        </w:rPr>
      </w:pPr>
    </w:p>
    <w:p w14:paraId="794F5106" w14:textId="77777777" w:rsidR="003E0A69" w:rsidRPr="004A0A07" w:rsidRDefault="003E0A69" w:rsidP="003E0A69">
      <w:pPr>
        <w:pStyle w:val="Default"/>
        <w:spacing w:after="120"/>
        <w:rPr>
          <w:rFonts w:asciiTheme="majorHAnsi" w:hAnsiTheme="majorHAnsi" w:cstheme="majorHAnsi"/>
          <w:b/>
          <w:bCs/>
          <w:i/>
          <w:szCs w:val="22"/>
        </w:rPr>
      </w:pPr>
      <w:r w:rsidRPr="004A0A07">
        <w:rPr>
          <w:rFonts w:asciiTheme="majorHAnsi" w:hAnsiTheme="majorHAnsi" w:cstheme="majorHAnsi"/>
          <w:b/>
          <w:bCs/>
          <w:szCs w:val="22"/>
        </w:rPr>
        <w:t xml:space="preserve">Q: </w:t>
      </w:r>
      <w:r w:rsidRPr="004A0A07">
        <w:rPr>
          <w:rFonts w:asciiTheme="majorHAnsi" w:hAnsiTheme="majorHAnsi" w:cstheme="majorHAnsi"/>
          <w:b/>
          <w:bCs/>
          <w:i/>
          <w:szCs w:val="22"/>
        </w:rPr>
        <w:t>How long can I take leave under Maine’s Employment Leave for Caregivers and Persons Affected by Public Health Emergencies?</w:t>
      </w:r>
    </w:p>
    <w:p w14:paraId="7963DB78" w14:textId="43F2BF19" w:rsidR="003E0A69" w:rsidRPr="004A0A07" w:rsidRDefault="003E0A69" w:rsidP="003E0A69">
      <w:pPr>
        <w:pStyle w:val="Default"/>
        <w:spacing w:after="120"/>
        <w:rPr>
          <w:rFonts w:asciiTheme="majorHAnsi" w:hAnsiTheme="majorHAnsi" w:cstheme="majorHAnsi"/>
          <w:color w:val="auto"/>
          <w:szCs w:val="22"/>
        </w:rPr>
      </w:pPr>
      <w:r w:rsidRPr="004A0A07">
        <w:rPr>
          <w:rFonts w:asciiTheme="majorHAnsi" w:hAnsiTheme="majorHAnsi" w:cstheme="majorHAnsi"/>
          <w:b/>
          <w:color w:val="auto"/>
          <w:szCs w:val="22"/>
        </w:rPr>
        <w:t>A:</w:t>
      </w:r>
      <w:r w:rsidRPr="004A0A07">
        <w:rPr>
          <w:rFonts w:asciiTheme="majorHAnsi" w:hAnsiTheme="majorHAnsi" w:cstheme="majorHAnsi"/>
          <w:color w:val="auto"/>
          <w:szCs w:val="22"/>
        </w:rPr>
        <w:t xml:space="preserve"> This leave only applies during the State of Civil Emergency declared by the governor. It continues for a reasonable and necessary time after the emergency has ended for people that have contracted COVID-19 or were exposed to COVID-19 during the State of Civil Emergency.</w:t>
      </w:r>
    </w:p>
    <w:p w14:paraId="529A0A3B" w14:textId="77777777" w:rsidR="003E0A69" w:rsidRPr="004A0A07" w:rsidRDefault="003E0A69" w:rsidP="003E0A69">
      <w:pPr>
        <w:pStyle w:val="Default"/>
        <w:spacing w:after="120"/>
        <w:rPr>
          <w:rFonts w:asciiTheme="majorHAnsi" w:hAnsiTheme="majorHAnsi" w:cstheme="majorHAnsi"/>
          <w:color w:val="auto"/>
          <w:szCs w:val="22"/>
        </w:rPr>
      </w:pPr>
    </w:p>
    <w:p w14:paraId="7ECAAD2D" w14:textId="77777777" w:rsidR="003E0A69" w:rsidRPr="004A0A07" w:rsidRDefault="003E0A69" w:rsidP="003E0A69">
      <w:pPr>
        <w:spacing w:after="120"/>
        <w:rPr>
          <w:rFonts w:asciiTheme="majorHAnsi" w:hAnsiTheme="majorHAnsi" w:cstheme="majorHAnsi"/>
          <w:b/>
          <w:bCs/>
          <w:sz w:val="24"/>
        </w:rPr>
      </w:pPr>
      <w:r w:rsidRPr="004A0A07">
        <w:rPr>
          <w:rFonts w:asciiTheme="majorHAnsi" w:hAnsiTheme="majorHAnsi" w:cstheme="majorHAnsi"/>
          <w:b/>
          <w:bCs/>
          <w:sz w:val="24"/>
        </w:rPr>
        <w:t xml:space="preserve">Q: </w:t>
      </w:r>
      <w:r w:rsidRPr="004A0A07">
        <w:rPr>
          <w:rFonts w:asciiTheme="majorHAnsi" w:hAnsiTheme="majorHAnsi" w:cstheme="majorHAnsi"/>
          <w:b/>
          <w:bCs/>
          <w:i/>
          <w:sz w:val="24"/>
        </w:rPr>
        <w:t>Can an employer refuse to bring me back to work if I take leave under Maine’s Employment Leave for Caregivers and Persons Affected by Public Health Emergencies, or one of the other leave laws?</w:t>
      </w:r>
    </w:p>
    <w:p w14:paraId="0E819B89" w14:textId="713972FF" w:rsidR="003E0A69" w:rsidRPr="004A0A07" w:rsidRDefault="003E0A69" w:rsidP="004A0A07">
      <w:pPr>
        <w:spacing w:after="120"/>
        <w:rPr>
          <w:rFonts w:asciiTheme="majorHAnsi" w:hAnsiTheme="majorHAnsi" w:cstheme="majorHAnsi"/>
          <w:b/>
          <w:bCs/>
          <w:sz w:val="24"/>
        </w:rPr>
      </w:pPr>
      <w:r w:rsidRPr="004A0A07">
        <w:rPr>
          <w:rFonts w:asciiTheme="majorHAnsi" w:hAnsiTheme="majorHAnsi" w:cstheme="majorHAnsi"/>
          <w:b/>
          <w:sz w:val="24"/>
        </w:rPr>
        <w:t>A:</w:t>
      </w:r>
      <w:r w:rsidRPr="004A0A07">
        <w:rPr>
          <w:rFonts w:asciiTheme="majorHAnsi" w:hAnsiTheme="majorHAnsi" w:cstheme="majorHAnsi"/>
          <w:sz w:val="24"/>
        </w:rPr>
        <w:t xml:space="preserve"> </w:t>
      </w:r>
      <w:r w:rsidRPr="004A0A07">
        <w:rPr>
          <w:rFonts w:asciiTheme="majorHAnsi" w:hAnsiTheme="majorHAnsi" w:cstheme="majorHAnsi"/>
          <w:color w:val="000000"/>
          <w:sz w:val="24"/>
          <w:shd w:val="clear" w:color="auto" w:fill="FFFFFF"/>
        </w:rPr>
        <w:t>It would not be lawful for an employer to terminate employment because you are taking leave under one of these laws.</w:t>
      </w:r>
      <w:r w:rsidRPr="004A0A07">
        <w:rPr>
          <w:rFonts w:asciiTheme="majorHAnsi" w:hAnsiTheme="majorHAnsi" w:cstheme="majorHAnsi"/>
          <w:sz w:val="24"/>
        </w:rPr>
        <w:t xml:space="preserve"> However, Maine is an employment at-will state. </w:t>
      </w:r>
      <w:r w:rsidRPr="004A0A07">
        <w:rPr>
          <w:rFonts w:asciiTheme="majorHAnsi" w:hAnsiTheme="majorHAnsi" w:cstheme="majorHAnsi"/>
          <w:color w:val="000000"/>
          <w:sz w:val="24"/>
          <w:shd w:val="clear" w:color="auto" w:fill="FFFFFF"/>
        </w:rPr>
        <w:t xml:space="preserve">At-will employment means that, absent a union contract or individual employment contract, an employer is free to terminate an employee at any </w:t>
      </w:r>
      <w:r w:rsidRPr="004A0A07">
        <w:rPr>
          <w:rFonts w:asciiTheme="majorHAnsi" w:hAnsiTheme="majorHAnsi" w:cstheme="majorHAnsi"/>
          <w:sz w:val="24"/>
          <w:shd w:val="clear" w:color="auto" w:fill="FFFFFF"/>
        </w:rPr>
        <w:t xml:space="preserve">time and for any reason, </w:t>
      </w:r>
      <w:proofErr w:type="gramStart"/>
      <w:r w:rsidRPr="004A0A07">
        <w:rPr>
          <w:rFonts w:asciiTheme="majorHAnsi" w:hAnsiTheme="majorHAnsi" w:cstheme="majorHAnsi"/>
          <w:sz w:val="24"/>
          <w:shd w:val="clear" w:color="auto" w:fill="FFFFFF"/>
        </w:rPr>
        <w:t>as long as</w:t>
      </w:r>
      <w:proofErr w:type="gramEnd"/>
      <w:r w:rsidRPr="004A0A07">
        <w:rPr>
          <w:rFonts w:asciiTheme="majorHAnsi" w:hAnsiTheme="majorHAnsi" w:cstheme="majorHAnsi"/>
          <w:sz w:val="24"/>
          <w:shd w:val="clear" w:color="auto" w:fill="FFFFFF"/>
        </w:rPr>
        <w:t xml:space="preserve"> the reason is not discriminatory, and it is not specifically prohibited in statute.</w:t>
      </w:r>
    </w:p>
    <w:sectPr w:rsidR="003E0A69" w:rsidRPr="004A0A07">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E7D5" w14:textId="77777777" w:rsidR="006B18EB" w:rsidRDefault="006B18EB" w:rsidP="00F67A3C">
      <w:pPr>
        <w:spacing w:after="0" w:line="240" w:lineRule="auto"/>
      </w:pPr>
      <w:r>
        <w:separator/>
      </w:r>
    </w:p>
  </w:endnote>
  <w:endnote w:type="continuationSeparator" w:id="0">
    <w:p w14:paraId="3532A89A" w14:textId="77777777" w:rsidR="006B18EB" w:rsidRDefault="006B18EB" w:rsidP="00F6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474E" w14:textId="4AB9E57B" w:rsidR="00F67A3C" w:rsidRPr="00ED46AA" w:rsidRDefault="003E0A69">
    <w:pPr>
      <w:pStyle w:val="Footer"/>
      <w:rPr>
        <w:sz w:val="20"/>
        <w:szCs w:val="20"/>
      </w:rPr>
    </w:pPr>
    <w:r>
      <w:rPr>
        <w:sz w:val="20"/>
        <w:szCs w:val="20"/>
      </w:rPr>
      <w:t>July</w:t>
    </w:r>
    <w:r w:rsidR="00ED46AA" w:rsidRPr="00ED46AA">
      <w:rPr>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3A32D" w14:textId="77777777" w:rsidR="006B18EB" w:rsidRDefault="006B18EB" w:rsidP="00F67A3C">
      <w:pPr>
        <w:spacing w:after="0" w:line="240" w:lineRule="auto"/>
      </w:pPr>
      <w:r>
        <w:separator/>
      </w:r>
    </w:p>
  </w:footnote>
  <w:footnote w:type="continuationSeparator" w:id="0">
    <w:p w14:paraId="61B77326" w14:textId="77777777" w:rsidR="006B18EB" w:rsidRDefault="006B18EB" w:rsidP="00F6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18A5"/>
    <w:multiLevelType w:val="multilevel"/>
    <w:tmpl w:val="70784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C90D29"/>
    <w:multiLevelType w:val="multilevel"/>
    <w:tmpl w:val="04B01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A8"/>
    <w:rsid w:val="001D0E75"/>
    <w:rsid w:val="00204B99"/>
    <w:rsid w:val="002322E8"/>
    <w:rsid w:val="00287A85"/>
    <w:rsid w:val="003E0A69"/>
    <w:rsid w:val="00475C01"/>
    <w:rsid w:val="00482EBE"/>
    <w:rsid w:val="00483801"/>
    <w:rsid w:val="004A0A07"/>
    <w:rsid w:val="0060501C"/>
    <w:rsid w:val="00626A4F"/>
    <w:rsid w:val="00670798"/>
    <w:rsid w:val="006B18EB"/>
    <w:rsid w:val="00802260"/>
    <w:rsid w:val="00A3628E"/>
    <w:rsid w:val="00E15E2B"/>
    <w:rsid w:val="00E94B67"/>
    <w:rsid w:val="00ED46AA"/>
    <w:rsid w:val="00F67A3C"/>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F217"/>
  <w15:docId w15:val="{8FECFFA6-6926-4CF5-9907-EFF0380F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F67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A3C"/>
  </w:style>
  <w:style w:type="paragraph" w:styleId="Footer">
    <w:name w:val="footer"/>
    <w:basedOn w:val="Normal"/>
    <w:link w:val="FooterChar"/>
    <w:uiPriority w:val="99"/>
    <w:unhideWhenUsed/>
    <w:rsid w:val="00F67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A3C"/>
  </w:style>
  <w:style w:type="paragraph" w:styleId="BalloonText">
    <w:name w:val="Balloon Text"/>
    <w:basedOn w:val="Normal"/>
    <w:link w:val="BalloonTextChar"/>
    <w:uiPriority w:val="99"/>
    <w:semiHidden/>
    <w:unhideWhenUsed/>
    <w:rsid w:val="00F6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A3C"/>
    <w:rPr>
      <w:rFonts w:ascii="Segoe UI" w:hAnsi="Segoe UI" w:cs="Segoe UI"/>
      <w:sz w:val="18"/>
      <w:szCs w:val="18"/>
    </w:rPr>
  </w:style>
  <w:style w:type="table" w:styleId="TableGrid">
    <w:name w:val="Table Grid"/>
    <w:basedOn w:val="TableNormal"/>
    <w:uiPriority w:val="39"/>
    <w:rsid w:val="00F6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3C"/>
    <w:rPr>
      <w:color w:val="0000FF" w:themeColor="hyperlink"/>
      <w:u w:val="single"/>
    </w:rPr>
  </w:style>
  <w:style w:type="character" w:customStyle="1" w:styleId="UnresolvedMention1">
    <w:name w:val="Unresolved Mention1"/>
    <w:basedOn w:val="DefaultParagraphFont"/>
    <w:uiPriority w:val="99"/>
    <w:semiHidden/>
    <w:unhideWhenUsed/>
    <w:rsid w:val="00F67A3C"/>
    <w:rPr>
      <w:color w:val="605E5C"/>
      <w:shd w:val="clear" w:color="auto" w:fill="E1DFDD"/>
    </w:rPr>
  </w:style>
  <w:style w:type="character" w:styleId="CommentReference">
    <w:name w:val="annotation reference"/>
    <w:basedOn w:val="DefaultParagraphFont"/>
    <w:uiPriority w:val="99"/>
    <w:semiHidden/>
    <w:unhideWhenUsed/>
    <w:rsid w:val="00475C01"/>
    <w:rPr>
      <w:sz w:val="16"/>
      <w:szCs w:val="16"/>
    </w:rPr>
  </w:style>
  <w:style w:type="paragraph" w:styleId="CommentText">
    <w:name w:val="annotation text"/>
    <w:basedOn w:val="Normal"/>
    <w:link w:val="CommentTextChar"/>
    <w:uiPriority w:val="99"/>
    <w:semiHidden/>
    <w:unhideWhenUsed/>
    <w:rsid w:val="00475C01"/>
    <w:pPr>
      <w:spacing w:line="240" w:lineRule="auto"/>
    </w:pPr>
    <w:rPr>
      <w:sz w:val="20"/>
      <w:szCs w:val="20"/>
    </w:rPr>
  </w:style>
  <w:style w:type="character" w:customStyle="1" w:styleId="CommentTextChar">
    <w:name w:val="Comment Text Char"/>
    <w:basedOn w:val="DefaultParagraphFont"/>
    <w:link w:val="CommentText"/>
    <w:uiPriority w:val="99"/>
    <w:semiHidden/>
    <w:rsid w:val="00475C01"/>
    <w:rPr>
      <w:sz w:val="20"/>
      <w:szCs w:val="20"/>
    </w:rPr>
  </w:style>
  <w:style w:type="paragraph" w:styleId="CommentSubject">
    <w:name w:val="annotation subject"/>
    <w:basedOn w:val="CommentText"/>
    <w:next w:val="CommentText"/>
    <w:link w:val="CommentSubjectChar"/>
    <w:uiPriority w:val="99"/>
    <w:semiHidden/>
    <w:unhideWhenUsed/>
    <w:rsid w:val="00475C01"/>
    <w:rPr>
      <w:b/>
      <w:bCs/>
    </w:rPr>
  </w:style>
  <w:style w:type="character" w:customStyle="1" w:styleId="CommentSubjectChar">
    <w:name w:val="Comment Subject Char"/>
    <w:basedOn w:val="CommentTextChar"/>
    <w:link w:val="CommentSubject"/>
    <w:uiPriority w:val="99"/>
    <w:semiHidden/>
    <w:rsid w:val="00475C01"/>
    <w:rPr>
      <w:b/>
      <w:bCs/>
      <w:sz w:val="20"/>
      <w:szCs w:val="20"/>
    </w:rPr>
  </w:style>
  <w:style w:type="paragraph" w:styleId="NoSpacing">
    <w:name w:val="No Spacing"/>
    <w:basedOn w:val="Normal"/>
    <w:uiPriority w:val="1"/>
    <w:qFormat/>
    <w:rsid w:val="00626A4F"/>
    <w:pPr>
      <w:spacing w:after="0" w:line="240" w:lineRule="auto"/>
    </w:pPr>
    <w:rPr>
      <w:rFonts w:eastAsiaTheme="minorHAnsi"/>
    </w:rPr>
  </w:style>
  <w:style w:type="paragraph" w:customStyle="1" w:styleId="Default">
    <w:name w:val="Default"/>
    <w:basedOn w:val="Normal"/>
    <w:rsid w:val="003E0A69"/>
    <w:pPr>
      <w:autoSpaceDE w:val="0"/>
      <w:autoSpaceDN w:val="0"/>
      <w:spacing w:after="0" w:line="240" w:lineRule="auto"/>
    </w:pPr>
    <w:rPr>
      <w:rFonts w:eastAsiaTheme="minorHAnsi"/>
      <w:color w:val="000000"/>
      <w:sz w:val="24"/>
      <w:szCs w:val="24"/>
    </w:rPr>
  </w:style>
  <w:style w:type="character" w:customStyle="1" w:styleId="UnresolvedMention">
    <w:name w:val="Unresolved Mention"/>
    <w:basedOn w:val="DefaultParagraphFont"/>
    <w:uiPriority w:val="99"/>
    <w:semiHidden/>
    <w:unhideWhenUsed/>
    <w:rsid w:val="003E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7012">
      <w:bodyDiv w:val="1"/>
      <w:marLeft w:val="0"/>
      <w:marRight w:val="0"/>
      <w:marTop w:val="0"/>
      <w:marBottom w:val="0"/>
      <w:divBdr>
        <w:top w:val="none" w:sz="0" w:space="0" w:color="auto"/>
        <w:left w:val="none" w:sz="0" w:space="0" w:color="auto"/>
        <w:bottom w:val="none" w:sz="0" w:space="0" w:color="auto"/>
        <w:right w:val="none" w:sz="0" w:space="0" w:color="auto"/>
      </w:divBdr>
    </w:div>
    <w:div w:id="1481465065">
      <w:bodyDiv w:val="1"/>
      <w:marLeft w:val="0"/>
      <w:marRight w:val="0"/>
      <w:marTop w:val="0"/>
      <w:marBottom w:val="0"/>
      <w:divBdr>
        <w:top w:val="none" w:sz="0" w:space="0" w:color="auto"/>
        <w:left w:val="none" w:sz="0" w:space="0" w:color="auto"/>
        <w:bottom w:val="none" w:sz="0" w:space="0" w:color="auto"/>
        <w:right w:val="none" w:sz="0" w:space="0" w:color="auto"/>
      </w:divBdr>
    </w:div>
    <w:div w:id="177505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labor/bls/index.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wc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l.gov/agencies/whd/fmla/pandem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3658508A800429F932383199411FA" ma:contentTypeVersion="11" ma:contentTypeDescription="Create a new document." ma:contentTypeScope="" ma:versionID="e58ef1d8f76597824ab060e19e379290">
  <xsd:schema xmlns:xsd="http://www.w3.org/2001/XMLSchema" xmlns:xs="http://www.w3.org/2001/XMLSchema" xmlns:p="http://schemas.microsoft.com/office/2006/metadata/properties" xmlns:ns3="858d294e-ebc9-408d-b2d4-09691ff947e0" xmlns:ns4="8b0ad259-5946-4f20-a6a5-4c8c916aa1ee" targetNamespace="http://schemas.microsoft.com/office/2006/metadata/properties" ma:root="true" ma:fieldsID="983db6590827982a39732dfe2e97158c" ns3:_="" ns4:_="">
    <xsd:import namespace="858d294e-ebc9-408d-b2d4-09691ff947e0"/>
    <xsd:import namespace="8b0ad259-5946-4f20-a6a5-4c8c916aa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d294e-ebc9-408d-b2d4-09691ff94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0ad259-5946-4f20-a6a5-4c8c916aa1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D8DC59-01E5-4410-BE70-4084B0CF6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d294e-ebc9-408d-b2d4-09691ff947e0"/>
    <ds:schemaRef ds:uri="8b0ad259-5946-4f20-a6a5-4c8c916aa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406C9-51F2-4AEA-9399-642717744F7B}">
  <ds:schemaRefs>
    <ds:schemaRef ds:uri="http://schemas.openxmlformats.org/package/2006/metadata/core-properties"/>
    <ds:schemaRef ds:uri="http://schemas.microsoft.com/office/2006/documentManagement/types"/>
    <ds:schemaRef ds:uri="http://schemas.microsoft.com/office/infopath/2007/PartnerControls"/>
    <ds:schemaRef ds:uri="858d294e-ebc9-408d-b2d4-09691ff947e0"/>
    <ds:schemaRef ds:uri="http://purl.org/dc/elements/1.1/"/>
    <ds:schemaRef ds:uri="http://schemas.microsoft.com/office/2006/metadata/properties"/>
    <ds:schemaRef ds:uri="http://purl.org/dc/terms/"/>
    <ds:schemaRef ds:uri="8b0ad259-5946-4f20-a6a5-4c8c916aa1ee"/>
    <ds:schemaRef ds:uri="http://www.w3.org/XML/1998/namespace"/>
    <ds:schemaRef ds:uri="http://purl.org/dc/dcmitype/"/>
  </ds:schemaRefs>
</ds:datastoreItem>
</file>

<file path=customXml/itemProps3.xml><?xml version="1.0" encoding="utf-8"?>
<ds:datastoreItem xmlns:ds="http://schemas.openxmlformats.org/officeDocument/2006/customXml" ds:itemID="{06F9C450-CB95-4B2A-9583-8125BC31E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Kip</dc:creator>
  <cp:lastModifiedBy>Mitchell, Kip</cp:lastModifiedBy>
  <cp:revision>2</cp:revision>
  <dcterms:created xsi:type="dcterms:W3CDTF">2020-07-27T14:40:00Z</dcterms:created>
  <dcterms:modified xsi:type="dcterms:W3CDTF">2020-07-27T14:40:00Z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0x0101001623658508A800429F932383199411FA</vt:lpwstr>
  </property>
</Properties>
</file>