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73" w:rsidRDefault="000206BB">
      <w:pPr>
        <w:pStyle w:val="Heading1"/>
        <w:ind w:left="2697"/>
      </w:pPr>
      <w:r>
        <w:t>Maine Occupational Employment and Wage Estimates, May 2018</w:t>
      </w:r>
    </w:p>
    <w:p w:rsidR="00A33273" w:rsidRDefault="000206BB">
      <w:pPr>
        <w:pStyle w:val="BodyText"/>
        <w:spacing w:before="238"/>
        <w:ind w:left="160" w:right="186"/>
      </w:pPr>
      <w:r>
        <w:t xml:space="preserve">The Occupational Employment Statistics (OES) survey produces occupational employment and wage estimates for the nation, each of the 50 states, and most metropolitan statistical areas (MSAs). Tables for Maine (statewide), the metropolitan statistical areas </w:t>
      </w:r>
      <w:r>
        <w:t>(MSAs) of Bangor, Lewiston-Auburn, Portland-South Portland, and each Maine county are provided on our web site. Also provided are the Portsmouth NH-ME and Dover-Durham NH-ME areas which include cities and towns in both New Hampshire and Maine. County-level</w:t>
      </w:r>
      <w:r>
        <w:t xml:space="preserve"> tables and those covering the Local Workforce Investment Board (LWIB) areas are locally produced as an extension of the official OES data series, and are also provided.</w:t>
      </w:r>
    </w:p>
    <w:p w:rsidR="00A33273" w:rsidRDefault="00A33273">
      <w:pPr>
        <w:pStyle w:val="BodyText"/>
        <w:spacing w:before="10"/>
        <w:rPr>
          <w:sz w:val="20"/>
        </w:rPr>
      </w:pPr>
    </w:p>
    <w:p w:rsidR="00A33273" w:rsidRDefault="000206BB">
      <w:pPr>
        <w:pStyle w:val="BodyText"/>
        <w:spacing w:before="1"/>
        <w:ind w:left="160" w:right="94"/>
      </w:pPr>
      <w:r>
        <w:t>The OES survey categorizes jobs into the Standard Occupational Classification (SOC) s</w:t>
      </w:r>
      <w:r>
        <w:t>ystem. The SOC structure consists of 22 major occupational groups based on the type of work performed. Military occupations are not included. While not all detailed SOC occupations are reported in Maine, this report contains over 650 occupational entries a</w:t>
      </w:r>
      <w:r>
        <w:t>t the statewide level. Occupational listings are sorted by SOC code within the 22 major occupational groups.</w:t>
      </w:r>
    </w:p>
    <w:p w:rsidR="00A33273" w:rsidRDefault="00A33273">
      <w:pPr>
        <w:pStyle w:val="BodyText"/>
        <w:spacing w:before="10"/>
        <w:rPr>
          <w:sz w:val="20"/>
        </w:rPr>
      </w:pPr>
    </w:p>
    <w:p w:rsidR="00A33273" w:rsidRDefault="000206BB">
      <w:pPr>
        <w:pStyle w:val="BodyText"/>
        <w:ind w:left="160" w:right="172"/>
      </w:pPr>
      <w:r>
        <w:t>The May 2018 OES estimates are based on six survey panels, May 2018, November/May 2017, November/May 2016, and November 2015. Employment estimates</w:t>
      </w:r>
      <w:r>
        <w:t xml:space="preserve"> are benchmarked to the average employment of November 2017 and May 2018. Wage estimates are benchmarked to May 2018 through the Employment Cost Index (ECI) for each ECI occupational group.</w:t>
      </w:r>
    </w:p>
    <w:p w:rsidR="00A33273" w:rsidRDefault="00A33273">
      <w:pPr>
        <w:pStyle w:val="BodyText"/>
        <w:spacing w:before="10"/>
        <w:rPr>
          <w:sz w:val="20"/>
        </w:rPr>
      </w:pPr>
    </w:p>
    <w:p w:rsidR="00A33273" w:rsidRDefault="000206BB">
      <w:pPr>
        <w:pStyle w:val="BodyText"/>
        <w:ind w:left="160"/>
      </w:pPr>
      <w:r>
        <w:t>The following information is provided:</w:t>
      </w:r>
    </w:p>
    <w:p w:rsidR="00A33273" w:rsidRDefault="00A33273">
      <w:pPr>
        <w:pStyle w:val="BodyText"/>
        <w:spacing w:before="11"/>
        <w:rPr>
          <w:sz w:val="20"/>
        </w:rPr>
      </w:pPr>
    </w:p>
    <w:p w:rsidR="00A33273" w:rsidRDefault="000206BB">
      <w:pPr>
        <w:pStyle w:val="Heading2"/>
        <w:jc w:val="both"/>
      </w:pPr>
      <w:r>
        <w:t>Area Name</w:t>
      </w:r>
    </w:p>
    <w:p w:rsidR="00A33273" w:rsidRDefault="000206BB">
      <w:pPr>
        <w:pStyle w:val="BodyText"/>
        <w:ind w:left="880"/>
        <w:jc w:val="both"/>
      </w:pPr>
      <w:r>
        <w:t xml:space="preserve">The geographic </w:t>
      </w:r>
      <w:r>
        <w:t>area covered by the estimates.</w:t>
      </w:r>
    </w:p>
    <w:p w:rsidR="00A33273" w:rsidRDefault="00A33273">
      <w:pPr>
        <w:pStyle w:val="BodyText"/>
        <w:spacing w:before="10"/>
        <w:rPr>
          <w:sz w:val="20"/>
        </w:rPr>
      </w:pPr>
    </w:p>
    <w:p w:rsidR="00A33273" w:rsidRDefault="000206BB">
      <w:pPr>
        <w:pStyle w:val="Heading2"/>
        <w:jc w:val="both"/>
      </w:pPr>
      <w:r>
        <w:t>SOC Code</w:t>
      </w:r>
    </w:p>
    <w:p w:rsidR="00A33273" w:rsidRDefault="000206BB">
      <w:pPr>
        <w:pStyle w:val="BodyText"/>
        <w:ind w:left="880" w:right="628"/>
        <w:jc w:val="both"/>
      </w:pPr>
      <w:r>
        <w:t>The Standard Occupational Classification code identifies each occupation. It is useful when researching occupational information through O*Net, the Occupational Outlook Handbook, America’s Career One-Stop, and other</w:t>
      </w:r>
      <w:r>
        <w:t xml:space="preserve"> labor market information resources.</w:t>
      </w:r>
    </w:p>
    <w:p w:rsidR="00A33273" w:rsidRDefault="00A33273">
      <w:pPr>
        <w:pStyle w:val="BodyText"/>
        <w:spacing w:before="10"/>
        <w:rPr>
          <w:sz w:val="20"/>
        </w:rPr>
      </w:pPr>
    </w:p>
    <w:p w:rsidR="00A33273" w:rsidRDefault="000206BB">
      <w:pPr>
        <w:pStyle w:val="Heading2"/>
        <w:jc w:val="both"/>
      </w:pPr>
      <w:r>
        <w:t>Occupation Title</w:t>
      </w:r>
    </w:p>
    <w:p w:rsidR="00A33273" w:rsidRDefault="000206BB">
      <w:pPr>
        <w:pStyle w:val="BodyText"/>
        <w:ind w:left="880"/>
        <w:jc w:val="both"/>
      </w:pPr>
      <w:r>
        <w:t>The occupational title assigned to the classification.</w:t>
      </w:r>
    </w:p>
    <w:p w:rsidR="00A33273" w:rsidRDefault="00A33273">
      <w:pPr>
        <w:pStyle w:val="BodyText"/>
        <w:spacing w:before="10"/>
        <w:rPr>
          <w:sz w:val="20"/>
        </w:rPr>
      </w:pPr>
    </w:p>
    <w:p w:rsidR="00A33273" w:rsidRDefault="000206BB">
      <w:pPr>
        <w:pStyle w:val="Heading2"/>
        <w:spacing w:before="1"/>
        <w:jc w:val="both"/>
      </w:pPr>
      <w:r>
        <w:t>Estimated Employment</w:t>
      </w:r>
    </w:p>
    <w:p w:rsidR="00A33273" w:rsidRDefault="000206BB">
      <w:pPr>
        <w:pStyle w:val="BodyText"/>
        <w:ind w:left="880"/>
        <w:jc w:val="both"/>
      </w:pPr>
      <w:r>
        <w:t>Occupational employment estimate for the specified area.</w:t>
      </w:r>
    </w:p>
    <w:p w:rsidR="00A33273" w:rsidRDefault="00A33273">
      <w:pPr>
        <w:pStyle w:val="BodyText"/>
        <w:spacing w:before="9"/>
        <w:rPr>
          <w:sz w:val="20"/>
        </w:rPr>
      </w:pPr>
    </w:p>
    <w:p w:rsidR="00A33273" w:rsidRDefault="000206BB">
      <w:pPr>
        <w:pStyle w:val="Heading2"/>
        <w:spacing w:before="1"/>
        <w:jc w:val="both"/>
      </w:pPr>
      <w:r>
        <w:t>Relative Error (</w:t>
      </w:r>
      <w:proofErr w:type="spellStart"/>
      <w:r>
        <w:t>Empl</w:t>
      </w:r>
      <w:proofErr w:type="spellEnd"/>
      <w:r>
        <w:t>)</w:t>
      </w:r>
    </w:p>
    <w:p w:rsidR="00A33273" w:rsidRDefault="000206BB">
      <w:pPr>
        <w:pStyle w:val="BodyText"/>
        <w:ind w:left="880"/>
      </w:pPr>
      <w:r>
        <w:t>This is the percentage in which true employment might differ from the published estimate. The lower the error, the more reliable the associated estimate of employment.</w:t>
      </w:r>
    </w:p>
    <w:p w:rsidR="00A33273" w:rsidRDefault="00A33273">
      <w:pPr>
        <w:sectPr w:rsidR="00A33273">
          <w:type w:val="continuous"/>
          <w:pgSz w:w="15840" w:h="12240" w:orient="landscape"/>
          <w:pgMar w:top="1000" w:right="1000" w:bottom="280" w:left="920" w:header="720" w:footer="720" w:gutter="0"/>
          <w:cols w:space="720"/>
        </w:sectPr>
      </w:pPr>
    </w:p>
    <w:p w:rsidR="00A33273" w:rsidRDefault="000206BB">
      <w:pPr>
        <w:pStyle w:val="Heading2"/>
        <w:spacing w:before="75"/>
      </w:pPr>
      <w:r>
        <w:lastRenderedPageBreak/>
        <w:t>Mean Wage (Hourly)</w:t>
      </w:r>
    </w:p>
    <w:p w:rsidR="00A33273" w:rsidRDefault="000206BB">
      <w:pPr>
        <w:pStyle w:val="BodyText"/>
        <w:spacing w:before="1"/>
        <w:ind w:left="880"/>
      </w:pPr>
      <w:r>
        <w:t xml:space="preserve">This is the weighted average hourly wage. It is the </w:t>
      </w:r>
      <w:r>
        <w:t>estimated total wages for an occupation divided by its weighted employment.</w:t>
      </w:r>
    </w:p>
    <w:p w:rsidR="00A33273" w:rsidRDefault="00A33273">
      <w:pPr>
        <w:pStyle w:val="BodyText"/>
        <w:spacing w:before="10"/>
        <w:rPr>
          <w:sz w:val="20"/>
        </w:rPr>
      </w:pPr>
    </w:p>
    <w:p w:rsidR="00A33273" w:rsidRDefault="000206BB">
      <w:pPr>
        <w:pStyle w:val="Heading2"/>
      </w:pPr>
      <w:r>
        <w:t>Mean Wage (Annual)</w:t>
      </w:r>
    </w:p>
    <w:p w:rsidR="00A33273" w:rsidRDefault="000206BB">
      <w:pPr>
        <w:pStyle w:val="BodyText"/>
        <w:ind w:left="880" w:right="146"/>
        <w:jc w:val="both"/>
      </w:pPr>
      <w:r>
        <w:t xml:space="preserve">This is the weighted average annual wage, based on a </w:t>
      </w:r>
      <w:proofErr w:type="gramStart"/>
      <w:r>
        <w:t>40 hour</w:t>
      </w:r>
      <w:proofErr w:type="gramEnd"/>
      <w:r>
        <w:t xml:space="preserve"> work-week, 52 weeks per year. Certain occupations, such as teachers, are only calculated at an annu</w:t>
      </w:r>
      <w:r>
        <w:t>al rate due to their non-standard work year. Hourly rates for those occupations cannot be accurately determined.</w:t>
      </w:r>
    </w:p>
    <w:p w:rsidR="00A33273" w:rsidRDefault="00A33273">
      <w:pPr>
        <w:pStyle w:val="BodyText"/>
        <w:spacing w:before="10"/>
        <w:rPr>
          <w:sz w:val="20"/>
        </w:rPr>
      </w:pPr>
    </w:p>
    <w:p w:rsidR="00A33273" w:rsidRDefault="000206BB">
      <w:pPr>
        <w:pStyle w:val="Heading2"/>
      </w:pPr>
      <w:r>
        <w:t>Relative Error (Mean)</w:t>
      </w:r>
    </w:p>
    <w:p w:rsidR="00A33273" w:rsidRDefault="000206BB">
      <w:pPr>
        <w:pStyle w:val="BodyText"/>
        <w:spacing w:before="1"/>
        <w:ind w:left="880" w:right="640"/>
      </w:pPr>
      <w:r>
        <w:t>This is the percentage in which the true mean wage might differ from the published estimate. The lower the error, the mo</w:t>
      </w:r>
      <w:r>
        <w:t>re reliable the associated estimate.</w:t>
      </w:r>
    </w:p>
    <w:p w:rsidR="00A33273" w:rsidRDefault="00A33273">
      <w:pPr>
        <w:pStyle w:val="BodyText"/>
        <w:spacing w:before="9"/>
        <w:rPr>
          <w:sz w:val="20"/>
        </w:rPr>
      </w:pPr>
    </w:p>
    <w:p w:rsidR="00A33273" w:rsidRDefault="000206BB">
      <w:pPr>
        <w:pStyle w:val="Heading2"/>
        <w:spacing w:before="1"/>
      </w:pPr>
      <w:r>
        <w:t>Entry (Hourly and Annual)</w:t>
      </w:r>
    </w:p>
    <w:p w:rsidR="00A33273" w:rsidRDefault="000206BB">
      <w:pPr>
        <w:pStyle w:val="BodyText"/>
        <w:ind w:left="880" w:right="506"/>
      </w:pPr>
      <w:r>
        <w:t>This is the mean of the lower one-third of the data set, or distribution. While not published by the U.S. Bureau of Labor Statistics, it is published locally by many states as an estimate of e</w:t>
      </w:r>
      <w:r>
        <w:t>ntry-level wages.</w:t>
      </w:r>
    </w:p>
    <w:p w:rsidR="00A33273" w:rsidRDefault="00A33273">
      <w:pPr>
        <w:pStyle w:val="BodyText"/>
        <w:spacing w:before="10"/>
        <w:rPr>
          <w:sz w:val="20"/>
        </w:rPr>
      </w:pPr>
    </w:p>
    <w:p w:rsidR="00A33273" w:rsidRDefault="000206BB">
      <w:pPr>
        <w:pStyle w:val="Heading2"/>
      </w:pPr>
      <w:r>
        <w:t>Experienced (Hourly and Annual)</w:t>
      </w:r>
    </w:p>
    <w:p w:rsidR="00A33273" w:rsidRDefault="000206BB">
      <w:pPr>
        <w:pStyle w:val="BodyText"/>
        <w:ind w:left="880"/>
      </w:pPr>
      <w:r>
        <w:t>This is the mean of the upper two-thirds of the data set, or distribution. While not published by the U.S. Bureau of Labor Statistics, it is published locally by many states to estimate wage rates for expe</w:t>
      </w:r>
      <w:r>
        <w:t>rienced workers.</w:t>
      </w:r>
    </w:p>
    <w:p w:rsidR="00A33273" w:rsidRDefault="00A33273">
      <w:pPr>
        <w:pStyle w:val="BodyText"/>
        <w:spacing w:before="5"/>
        <w:rPr>
          <w:sz w:val="20"/>
        </w:rPr>
      </w:pPr>
    </w:p>
    <w:p w:rsidR="00A33273" w:rsidRDefault="000206BB">
      <w:pPr>
        <w:pStyle w:val="Heading2"/>
        <w:spacing w:line="278" w:lineRule="exact"/>
      </w:pPr>
      <w:r>
        <w:t>10</w:t>
      </w:r>
      <w:proofErr w:type="spellStart"/>
      <w:r>
        <w:rPr>
          <w:position w:val="8"/>
          <w:sz w:val="16"/>
        </w:rPr>
        <w:t>th</w:t>
      </w:r>
      <w:proofErr w:type="spellEnd"/>
      <w:r>
        <w:rPr>
          <w:position w:val="8"/>
          <w:sz w:val="16"/>
        </w:rPr>
        <w:t xml:space="preserve"> </w:t>
      </w:r>
      <w:r>
        <w:t>Percentile (Hourly and Annual)</w:t>
      </w:r>
    </w:p>
    <w:p w:rsidR="00A33273" w:rsidRDefault="000206BB">
      <w:pPr>
        <w:pStyle w:val="BodyText"/>
        <w:spacing w:line="278" w:lineRule="exact"/>
        <w:ind w:left="880"/>
      </w:pPr>
      <w:r>
        <w:t>At the 10</w:t>
      </w:r>
      <w:proofErr w:type="spellStart"/>
      <w:r>
        <w:rPr>
          <w:position w:val="8"/>
          <w:sz w:val="16"/>
        </w:rPr>
        <w:t>th</w:t>
      </w:r>
      <w:proofErr w:type="spellEnd"/>
      <w:r>
        <w:rPr>
          <w:position w:val="8"/>
          <w:sz w:val="16"/>
        </w:rPr>
        <w:t xml:space="preserve"> </w:t>
      </w:r>
      <w:r>
        <w:t>percentile, only 10% earn less than this figure, while 90% earn more.</w:t>
      </w:r>
    </w:p>
    <w:p w:rsidR="00A33273" w:rsidRDefault="000206BB">
      <w:pPr>
        <w:pStyle w:val="Heading2"/>
        <w:spacing w:before="235"/>
      </w:pPr>
      <w:r>
        <w:t>25</w:t>
      </w:r>
      <w:proofErr w:type="spellStart"/>
      <w:r>
        <w:rPr>
          <w:position w:val="8"/>
          <w:sz w:val="16"/>
        </w:rPr>
        <w:t>th</w:t>
      </w:r>
      <w:proofErr w:type="spellEnd"/>
      <w:r>
        <w:rPr>
          <w:position w:val="8"/>
          <w:sz w:val="16"/>
        </w:rPr>
        <w:t xml:space="preserve"> </w:t>
      </w:r>
      <w:r>
        <w:t>Percentile (Hourly and Annual)</w:t>
      </w:r>
    </w:p>
    <w:p w:rsidR="00A33273" w:rsidRDefault="000206BB">
      <w:pPr>
        <w:pStyle w:val="BodyText"/>
        <w:ind w:left="880"/>
      </w:pPr>
      <w:r>
        <w:t>Twenty-fifth percentile. This is the lower boundary of the mid-range, where 25% of an occupation earn less and 75% earn more than this figure.</w:t>
      </w:r>
    </w:p>
    <w:p w:rsidR="00A33273" w:rsidRDefault="00A33273">
      <w:pPr>
        <w:pStyle w:val="BodyText"/>
        <w:spacing w:before="10"/>
        <w:rPr>
          <w:sz w:val="20"/>
        </w:rPr>
      </w:pPr>
    </w:p>
    <w:p w:rsidR="00A33273" w:rsidRDefault="000206BB">
      <w:pPr>
        <w:pStyle w:val="Heading2"/>
        <w:spacing w:line="274" w:lineRule="exact"/>
      </w:pPr>
      <w:r>
        <w:t>Median (Hourly and Annual)</w:t>
      </w:r>
    </w:p>
    <w:p w:rsidR="00A33273" w:rsidRDefault="000206BB">
      <w:pPr>
        <w:pStyle w:val="BodyText"/>
        <w:spacing w:line="278" w:lineRule="exact"/>
        <w:ind w:left="880"/>
      </w:pPr>
      <w:r>
        <w:t>The 50</w:t>
      </w:r>
      <w:proofErr w:type="spellStart"/>
      <w:r>
        <w:rPr>
          <w:position w:val="8"/>
          <w:sz w:val="16"/>
        </w:rPr>
        <w:t>th</w:t>
      </w:r>
      <w:proofErr w:type="spellEnd"/>
      <w:r>
        <w:rPr>
          <w:position w:val="8"/>
          <w:sz w:val="16"/>
        </w:rPr>
        <w:t xml:space="preserve"> </w:t>
      </w:r>
      <w:r>
        <w:t>percentile or mid-point. One-half earn less, and one-half earn more than thi</w:t>
      </w:r>
      <w:r>
        <w:t>s amount.</w:t>
      </w:r>
    </w:p>
    <w:p w:rsidR="00A33273" w:rsidRDefault="000206BB">
      <w:pPr>
        <w:pStyle w:val="Heading2"/>
        <w:spacing w:before="236"/>
      </w:pPr>
      <w:r>
        <w:t>75</w:t>
      </w:r>
      <w:proofErr w:type="spellStart"/>
      <w:r>
        <w:rPr>
          <w:position w:val="8"/>
          <w:sz w:val="16"/>
        </w:rPr>
        <w:t>th</w:t>
      </w:r>
      <w:proofErr w:type="spellEnd"/>
      <w:r>
        <w:rPr>
          <w:position w:val="8"/>
          <w:sz w:val="16"/>
        </w:rPr>
        <w:t xml:space="preserve"> </w:t>
      </w:r>
      <w:r>
        <w:t>Percentile (Hourly and Annual)</w:t>
      </w:r>
    </w:p>
    <w:p w:rsidR="00A33273" w:rsidRDefault="000206BB">
      <w:pPr>
        <w:pStyle w:val="BodyText"/>
        <w:ind w:left="880" w:right="572"/>
      </w:pPr>
      <w:r>
        <w:t>Seventy-fifth percentile. This is the upper boundary of the mid-range, where 75% of an occupation earn less and 25% earn more.</w:t>
      </w:r>
    </w:p>
    <w:p w:rsidR="00A33273" w:rsidRDefault="00A33273">
      <w:pPr>
        <w:pStyle w:val="BodyText"/>
        <w:spacing w:before="5"/>
        <w:rPr>
          <w:sz w:val="20"/>
        </w:rPr>
      </w:pPr>
    </w:p>
    <w:p w:rsidR="00A33273" w:rsidRDefault="000206BB">
      <w:pPr>
        <w:pStyle w:val="Heading2"/>
      </w:pPr>
      <w:r>
        <w:t>90</w:t>
      </w:r>
      <w:proofErr w:type="spellStart"/>
      <w:r>
        <w:rPr>
          <w:position w:val="8"/>
          <w:sz w:val="16"/>
        </w:rPr>
        <w:t>th</w:t>
      </w:r>
      <w:proofErr w:type="spellEnd"/>
      <w:r>
        <w:rPr>
          <w:position w:val="8"/>
          <w:sz w:val="16"/>
        </w:rPr>
        <w:t xml:space="preserve"> </w:t>
      </w:r>
      <w:r>
        <w:t>Percentile (Hourly and Annual)</w:t>
      </w:r>
    </w:p>
    <w:p w:rsidR="00A33273" w:rsidRDefault="000206BB">
      <w:pPr>
        <w:pStyle w:val="BodyText"/>
        <w:ind w:left="880"/>
      </w:pPr>
      <w:r>
        <w:t>At this upper boundary, only 10% earn more, while 90% earn less.</w:t>
      </w:r>
    </w:p>
    <w:p w:rsidR="00A33273" w:rsidRDefault="00A33273">
      <w:pPr>
        <w:sectPr w:rsidR="00A33273">
          <w:pgSz w:w="15840" w:h="12240" w:orient="landscape"/>
          <w:pgMar w:top="1000" w:right="1000" w:bottom="280" w:left="920" w:header="720" w:footer="720" w:gutter="0"/>
          <w:cols w:space="720"/>
        </w:sectPr>
      </w:pPr>
    </w:p>
    <w:p w:rsidR="00A33273" w:rsidRDefault="000206BB">
      <w:pPr>
        <w:pStyle w:val="Heading2"/>
        <w:spacing w:before="75"/>
        <w:ind w:left="160"/>
      </w:pPr>
      <w:r>
        <w:lastRenderedPageBreak/>
        <w:t>Occupational Structure</w:t>
      </w:r>
    </w:p>
    <w:p w:rsidR="00A33273" w:rsidRDefault="000206BB">
      <w:pPr>
        <w:pStyle w:val="BodyText"/>
        <w:spacing w:before="1"/>
        <w:ind w:left="160"/>
      </w:pPr>
      <w:r>
        <w:t>Standard Occupational Classification (SOC) Major Occupational Groups:</w:t>
      </w:r>
    </w:p>
    <w:p w:rsidR="00A33273" w:rsidRDefault="00A33273">
      <w:pPr>
        <w:pStyle w:val="BodyText"/>
        <w:spacing w:before="6"/>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1074"/>
        <w:gridCol w:w="6827"/>
      </w:tblGrid>
      <w:tr w:rsidR="00A33273">
        <w:trPr>
          <w:trHeight w:val="272"/>
        </w:trPr>
        <w:tc>
          <w:tcPr>
            <w:tcW w:w="1074" w:type="dxa"/>
          </w:tcPr>
          <w:p w:rsidR="00A33273" w:rsidRDefault="000206BB">
            <w:pPr>
              <w:pStyle w:val="TableParagraph"/>
              <w:spacing w:line="252" w:lineRule="exact"/>
              <w:ind w:right="121"/>
              <w:jc w:val="center"/>
              <w:rPr>
                <w:sz w:val="24"/>
              </w:rPr>
            </w:pPr>
            <w:r>
              <w:rPr>
                <w:sz w:val="24"/>
              </w:rPr>
              <w:t>11-0000</w:t>
            </w:r>
          </w:p>
        </w:tc>
        <w:tc>
          <w:tcPr>
            <w:tcW w:w="6827" w:type="dxa"/>
          </w:tcPr>
          <w:p w:rsidR="00A33273" w:rsidRDefault="000206BB">
            <w:pPr>
              <w:pStyle w:val="TableParagraph"/>
              <w:spacing w:line="252" w:lineRule="exact"/>
              <w:ind w:left="142"/>
              <w:rPr>
                <w:sz w:val="24"/>
              </w:rPr>
            </w:pPr>
            <w:r>
              <w:rPr>
                <w:sz w:val="24"/>
              </w:rPr>
              <w:t>Management Occupations</w:t>
            </w:r>
          </w:p>
        </w:tc>
      </w:tr>
      <w:tr w:rsidR="00A33273">
        <w:trPr>
          <w:trHeight w:val="276"/>
        </w:trPr>
        <w:tc>
          <w:tcPr>
            <w:tcW w:w="1074" w:type="dxa"/>
          </w:tcPr>
          <w:p w:rsidR="00A33273" w:rsidRDefault="000206BB">
            <w:pPr>
              <w:pStyle w:val="TableParagraph"/>
              <w:ind w:right="121"/>
              <w:jc w:val="center"/>
              <w:rPr>
                <w:sz w:val="24"/>
              </w:rPr>
            </w:pPr>
            <w:r>
              <w:rPr>
                <w:sz w:val="24"/>
              </w:rPr>
              <w:t>13-0000</w:t>
            </w:r>
          </w:p>
        </w:tc>
        <w:tc>
          <w:tcPr>
            <w:tcW w:w="6827" w:type="dxa"/>
          </w:tcPr>
          <w:p w:rsidR="00A33273" w:rsidRDefault="000206BB">
            <w:pPr>
              <w:pStyle w:val="TableParagraph"/>
              <w:ind w:left="142"/>
              <w:rPr>
                <w:sz w:val="24"/>
              </w:rPr>
            </w:pPr>
            <w:r>
              <w:rPr>
                <w:sz w:val="24"/>
              </w:rPr>
              <w:t>Business and Financial Operations Occupations</w:t>
            </w:r>
          </w:p>
        </w:tc>
      </w:tr>
      <w:tr w:rsidR="00A33273">
        <w:trPr>
          <w:trHeight w:val="275"/>
        </w:trPr>
        <w:tc>
          <w:tcPr>
            <w:tcW w:w="1074" w:type="dxa"/>
          </w:tcPr>
          <w:p w:rsidR="00A33273" w:rsidRDefault="000206BB">
            <w:pPr>
              <w:pStyle w:val="TableParagraph"/>
              <w:ind w:right="121"/>
              <w:jc w:val="center"/>
              <w:rPr>
                <w:sz w:val="24"/>
              </w:rPr>
            </w:pPr>
            <w:r>
              <w:rPr>
                <w:sz w:val="24"/>
              </w:rPr>
              <w:t>15-0000</w:t>
            </w:r>
          </w:p>
        </w:tc>
        <w:tc>
          <w:tcPr>
            <w:tcW w:w="6827" w:type="dxa"/>
          </w:tcPr>
          <w:p w:rsidR="00A33273" w:rsidRDefault="000206BB">
            <w:pPr>
              <w:pStyle w:val="TableParagraph"/>
              <w:ind w:left="142"/>
              <w:rPr>
                <w:sz w:val="24"/>
              </w:rPr>
            </w:pPr>
            <w:r>
              <w:rPr>
                <w:sz w:val="24"/>
              </w:rPr>
              <w:t>Computer and Mathematical Occupations</w:t>
            </w:r>
          </w:p>
        </w:tc>
      </w:tr>
      <w:tr w:rsidR="00A33273">
        <w:trPr>
          <w:trHeight w:val="276"/>
        </w:trPr>
        <w:tc>
          <w:tcPr>
            <w:tcW w:w="1074" w:type="dxa"/>
          </w:tcPr>
          <w:p w:rsidR="00A33273" w:rsidRDefault="000206BB">
            <w:pPr>
              <w:pStyle w:val="TableParagraph"/>
              <w:ind w:right="121"/>
              <w:jc w:val="center"/>
              <w:rPr>
                <w:sz w:val="24"/>
              </w:rPr>
            </w:pPr>
            <w:r>
              <w:rPr>
                <w:sz w:val="24"/>
              </w:rPr>
              <w:t>17-0000</w:t>
            </w:r>
          </w:p>
        </w:tc>
        <w:tc>
          <w:tcPr>
            <w:tcW w:w="6827" w:type="dxa"/>
          </w:tcPr>
          <w:p w:rsidR="00A33273" w:rsidRDefault="000206BB">
            <w:pPr>
              <w:pStyle w:val="TableParagraph"/>
              <w:ind w:left="142"/>
              <w:rPr>
                <w:sz w:val="24"/>
              </w:rPr>
            </w:pPr>
            <w:r>
              <w:rPr>
                <w:sz w:val="24"/>
              </w:rPr>
              <w:t>Architecture and Engineering Occupations</w:t>
            </w:r>
          </w:p>
        </w:tc>
      </w:tr>
      <w:tr w:rsidR="00A33273">
        <w:trPr>
          <w:trHeight w:val="275"/>
        </w:trPr>
        <w:tc>
          <w:tcPr>
            <w:tcW w:w="1074" w:type="dxa"/>
          </w:tcPr>
          <w:p w:rsidR="00A33273" w:rsidRDefault="000206BB">
            <w:pPr>
              <w:pStyle w:val="TableParagraph"/>
              <w:ind w:right="121"/>
              <w:jc w:val="center"/>
              <w:rPr>
                <w:sz w:val="24"/>
              </w:rPr>
            </w:pPr>
            <w:r>
              <w:rPr>
                <w:sz w:val="24"/>
              </w:rPr>
              <w:t>19-0000</w:t>
            </w:r>
          </w:p>
        </w:tc>
        <w:tc>
          <w:tcPr>
            <w:tcW w:w="6827" w:type="dxa"/>
          </w:tcPr>
          <w:p w:rsidR="00A33273" w:rsidRDefault="000206BB">
            <w:pPr>
              <w:pStyle w:val="TableParagraph"/>
              <w:ind w:left="142"/>
              <w:rPr>
                <w:sz w:val="24"/>
              </w:rPr>
            </w:pPr>
            <w:r>
              <w:rPr>
                <w:sz w:val="24"/>
              </w:rPr>
              <w:t>Life, Physical, and Social Science Occupations</w:t>
            </w:r>
          </w:p>
        </w:tc>
      </w:tr>
      <w:tr w:rsidR="00A33273">
        <w:trPr>
          <w:trHeight w:val="276"/>
        </w:trPr>
        <w:tc>
          <w:tcPr>
            <w:tcW w:w="1074" w:type="dxa"/>
          </w:tcPr>
          <w:p w:rsidR="00A33273" w:rsidRDefault="000206BB">
            <w:pPr>
              <w:pStyle w:val="TableParagraph"/>
              <w:ind w:right="121"/>
              <w:jc w:val="center"/>
              <w:rPr>
                <w:sz w:val="24"/>
              </w:rPr>
            </w:pPr>
            <w:r>
              <w:rPr>
                <w:sz w:val="24"/>
              </w:rPr>
              <w:t>21-0000</w:t>
            </w:r>
          </w:p>
        </w:tc>
        <w:tc>
          <w:tcPr>
            <w:tcW w:w="6827" w:type="dxa"/>
          </w:tcPr>
          <w:p w:rsidR="00A33273" w:rsidRDefault="000206BB">
            <w:pPr>
              <w:pStyle w:val="TableParagraph"/>
              <w:ind w:left="142"/>
              <w:rPr>
                <w:sz w:val="24"/>
              </w:rPr>
            </w:pPr>
            <w:r>
              <w:rPr>
                <w:sz w:val="24"/>
              </w:rPr>
              <w:t>Community and Social Service Occupations</w:t>
            </w:r>
          </w:p>
        </w:tc>
      </w:tr>
      <w:tr w:rsidR="00A33273">
        <w:trPr>
          <w:trHeight w:val="276"/>
        </w:trPr>
        <w:tc>
          <w:tcPr>
            <w:tcW w:w="1074" w:type="dxa"/>
          </w:tcPr>
          <w:p w:rsidR="00A33273" w:rsidRDefault="000206BB">
            <w:pPr>
              <w:pStyle w:val="TableParagraph"/>
              <w:ind w:right="121"/>
              <w:jc w:val="center"/>
              <w:rPr>
                <w:sz w:val="24"/>
              </w:rPr>
            </w:pPr>
            <w:r>
              <w:rPr>
                <w:sz w:val="24"/>
              </w:rPr>
              <w:t>23-0000</w:t>
            </w:r>
          </w:p>
        </w:tc>
        <w:tc>
          <w:tcPr>
            <w:tcW w:w="6827" w:type="dxa"/>
          </w:tcPr>
          <w:p w:rsidR="00A33273" w:rsidRDefault="000206BB">
            <w:pPr>
              <w:pStyle w:val="TableParagraph"/>
              <w:ind w:left="142"/>
              <w:rPr>
                <w:sz w:val="24"/>
              </w:rPr>
            </w:pPr>
            <w:r>
              <w:rPr>
                <w:sz w:val="24"/>
              </w:rPr>
              <w:t>Legal Occupations</w:t>
            </w:r>
          </w:p>
        </w:tc>
      </w:tr>
      <w:tr w:rsidR="00A33273">
        <w:trPr>
          <w:trHeight w:val="276"/>
        </w:trPr>
        <w:tc>
          <w:tcPr>
            <w:tcW w:w="1074" w:type="dxa"/>
          </w:tcPr>
          <w:p w:rsidR="00A33273" w:rsidRDefault="000206BB">
            <w:pPr>
              <w:pStyle w:val="TableParagraph"/>
              <w:ind w:right="121"/>
              <w:jc w:val="center"/>
              <w:rPr>
                <w:sz w:val="24"/>
              </w:rPr>
            </w:pPr>
            <w:r>
              <w:rPr>
                <w:sz w:val="24"/>
              </w:rPr>
              <w:t>25-0000</w:t>
            </w:r>
          </w:p>
        </w:tc>
        <w:tc>
          <w:tcPr>
            <w:tcW w:w="6827" w:type="dxa"/>
          </w:tcPr>
          <w:p w:rsidR="00A33273" w:rsidRDefault="000206BB">
            <w:pPr>
              <w:pStyle w:val="TableParagraph"/>
              <w:ind w:left="142"/>
              <w:rPr>
                <w:sz w:val="24"/>
              </w:rPr>
            </w:pPr>
            <w:r>
              <w:rPr>
                <w:sz w:val="24"/>
              </w:rPr>
              <w:t>Education, Training, and Library Occupations</w:t>
            </w:r>
          </w:p>
        </w:tc>
      </w:tr>
      <w:tr w:rsidR="00A33273">
        <w:trPr>
          <w:trHeight w:val="276"/>
        </w:trPr>
        <w:tc>
          <w:tcPr>
            <w:tcW w:w="1074" w:type="dxa"/>
          </w:tcPr>
          <w:p w:rsidR="00A33273" w:rsidRDefault="000206BB">
            <w:pPr>
              <w:pStyle w:val="TableParagraph"/>
              <w:ind w:right="121"/>
              <w:jc w:val="center"/>
              <w:rPr>
                <w:sz w:val="24"/>
              </w:rPr>
            </w:pPr>
            <w:r>
              <w:rPr>
                <w:sz w:val="24"/>
              </w:rPr>
              <w:t>27-0000</w:t>
            </w:r>
          </w:p>
        </w:tc>
        <w:tc>
          <w:tcPr>
            <w:tcW w:w="6827" w:type="dxa"/>
          </w:tcPr>
          <w:p w:rsidR="00A33273" w:rsidRDefault="000206BB">
            <w:pPr>
              <w:pStyle w:val="TableParagraph"/>
              <w:ind w:left="142"/>
              <w:rPr>
                <w:sz w:val="24"/>
              </w:rPr>
            </w:pPr>
            <w:r>
              <w:rPr>
                <w:sz w:val="24"/>
              </w:rPr>
              <w:t>Art, Design, Entertainment, Sports, and Media Occupations</w:t>
            </w:r>
          </w:p>
        </w:tc>
      </w:tr>
      <w:tr w:rsidR="00A33273">
        <w:trPr>
          <w:trHeight w:val="275"/>
        </w:trPr>
        <w:tc>
          <w:tcPr>
            <w:tcW w:w="1074" w:type="dxa"/>
          </w:tcPr>
          <w:p w:rsidR="00A33273" w:rsidRDefault="000206BB">
            <w:pPr>
              <w:pStyle w:val="TableParagraph"/>
              <w:ind w:right="121"/>
              <w:jc w:val="center"/>
              <w:rPr>
                <w:sz w:val="24"/>
              </w:rPr>
            </w:pPr>
            <w:r>
              <w:rPr>
                <w:sz w:val="24"/>
              </w:rPr>
              <w:t>29-0000</w:t>
            </w:r>
          </w:p>
        </w:tc>
        <w:tc>
          <w:tcPr>
            <w:tcW w:w="6827" w:type="dxa"/>
          </w:tcPr>
          <w:p w:rsidR="00A33273" w:rsidRDefault="000206BB">
            <w:pPr>
              <w:pStyle w:val="TableParagraph"/>
              <w:ind w:left="142"/>
              <w:rPr>
                <w:sz w:val="24"/>
              </w:rPr>
            </w:pPr>
            <w:r>
              <w:rPr>
                <w:sz w:val="24"/>
              </w:rPr>
              <w:t>Healthcare Practitioners and Technical Occupations</w:t>
            </w:r>
          </w:p>
        </w:tc>
      </w:tr>
      <w:tr w:rsidR="00A33273">
        <w:trPr>
          <w:trHeight w:val="276"/>
        </w:trPr>
        <w:tc>
          <w:tcPr>
            <w:tcW w:w="1074" w:type="dxa"/>
          </w:tcPr>
          <w:p w:rsidR="00A33273" w:rsidRDefault="000206BB">
            <w:pPr>
              <w:pStyle w:val="TableParagraph"/>
              <w:ind w:right="121"/>
              <w:jc w:val="center"/>
              <w:rPr>
                <w:sz w:val="24"/>
              </w:rPr>
            </w:pPr>
            <w:r>
              <w:rPr>
                <w:sz w:val="24"/>
              </w:rPr>
              <w:t>31-0000</w:t>
            </w:r>
          </w:p>
        </w:tc>
        <w:tc>
          <w:tcPr>
            <w:tcW w:w="6827" w:type="dxa"/>
          </w:tcPr>
          <w:p w:rsidR="00A33273" w:rsidRDefault="000206BB">
            <w:pPr>
              <w:pStyle w:val="TableParagraph"/>
              <w:ind w:left="142"/>
              <w:rPr>
                <w:sz w:val="24"/>
              </w:rPr>
            </w:pPr>
            <w:r>
              <w:rPr>
                <w:sz w:val="24"/>
              </w:rPr>
              <w:t>Healthcare Support Occupations</w:t>
            </w:r>
          </w:p>
        </w:tc>
      </w:tr>
      <w:tr w:rsidR="00A33273">
        <w:trPr>
          <w:trHeight w:val="275"/>
        </w:trPr>
        <w:tc>
          <w:tcPr>
            <w:tcW w:w="1074" w:type="dxa"/>
          </w:tcPr>
          <w:p w:rsidR="00A33273" w:rsidRDefault="000206BB">
            <w:pPr>
              <w:pStyle w:val="TableParagraph"/>
              <w:ind w:right="121"/>
              <w:jc w:val="center"/>
              <w:rPr>
                <w:sz w:val="24"/>
              </w:rPr>
            </w:pPr>
            <w:r>
              <w:rPr>
                <w:sz w:val="24"/>
              </w:rPr>
              <w:t>33-0000</w:t>
            </w:r>
          </w:p>
        </w:tc>
        <w:tc>
          <w:tcPr>
            <w:tcW w:w="6827" w:type="dxa"/>
          </w:tcPr>
          <w:p w:rsidR="00A33273" w:rsidRDefault="000206BB">
            <w:pPr>
              <w:pStyle w:val="TableParagraph"/>
              <w:ind w:left="142"/>
              <w:rPr>
                <w:sz w:val="24"/>
              </w:rPr>
            </w:pPr>
            <w:r>
              <w:rPr>
                <w:sz w:val="24"/>
              </w:rPr>
              <w:t>Protective Service Occupations</w:t>
            </w:r>
          </w:p>
        </w:tc>
      </w:tr>
      <w:tr w:rsidR="00A33273">
        <w:trPr>
          <w:trHeight w:val="276"/>
        </w:trPr>
        <w:tc>
          <w:tcPr>
            <w:tcW w:w="1074" w:type="dxa"/>
          </w:tcPr>
          <w:p w:rsidR="00A33273" w:rsidRDefault="000206BB">
            <w:pPr>
              <w:pStyle w:val="TableParagraph"/>
              <w:ind w:right="121"/>
              <w:jc w:val="center"/>
              <w:rPr>
                <w:sz w:val="24"/>
              </w:rPr>
            </w:pPr>
            <w:r>
              <w:rPr>
                <w:sz w:val="24"/>
              </w:rPr>
              <w:t>35-0000</w:t>
            </w:r>
          </w:p>
        </w:tc>
        <w:tc>
          <w:tcPr>
            <w:tcW w:w="6827" w:type="dxa"/>
          </w:tcPr>
          <w:p w:rsidR="00A33273" w:rsidRDefault="000206BB">
            <w:pPr>
              <w:pStyle w:val="TableParagraph"/>
              <w:ind w:left="142"/>
              <w:rPr>
                <w:sz w:val="24"/>
              </w:rPr>
            </w:pPr>
            <w:r>
              <w:rPr>
                <w:sz w:val="24"/>
              </w:rPr>
              <w:t>Food Preparation and Serving Related Occupations</w:t>
            </w:r>
          </w:p>
        </w:tc>
      </w:tr>
      <w:tr w:rsidR="00A33273">
        <w:trPr>
          <w:trHeight w:val="276"/>
        </w:trPr>
        <w:tc>
          <w:tcPr>
            <w:tcW w:w="1074" w:type="dxa"/>
          </w:tcPr>
          <w:p w:rsidR="00A33273" w:rsidRDefault="000206BB">
            <w:pPr>
              <w:pStyle w:val="TableParagraph"/>
              <w:ind w:right="121"/>
              <w:jc w:val="center"/>
              <w:rPr>
                <w:sz w:val="24"/>
              </w:rPr>
            </w:pPr>
            <w:r>
              <w:rPr>
                <w:sz w:val="24"/>
              </w:rPr>
              <w:t>37-0000</w:t>
            </w:r>
          </w:p>
        </w:tc>
        <w:tc>
          <w:tcPr>
            <w:tcW w:w="6827" w:type="dxa"/>
          </w:tcPr>
          <w:p w:rsidR="00A33273" w:rsidRDefault="000206BB">
            <w:pPr>
              <w:pStyle w:val="TableParagraph"/>
              <w:ind w:left="142"/>
              <w:rPr>
                <w:sz w:val="24"/>
              </w:rPr>
            </w:pPr>
            <w:r>
              <w:rPr>
                <w:sz w:val="24"/>
              </w:rPr>
              <w:t>Building and Grounds Cleaning and Maintenance Occupations</w:t>
            </w:r>
          </w:p>
        </w:tc>
      </w:tr>
      <w:tr w:rsidR="00A33273">
        <w:trPr>
          <w:trHeight w:val="275"/>
        </w:trPr>
        <w:tc>
          <w:tcPr>
            <w:tcW w:w="1074" w:type="dxa"/>
          </w:tcPr>
          <w:p w:rsidR="00A33273" w:rsidRDefault="000206BB">
            <w:pPr>
              <w:pStyle w:val="TableParagraph"/>
              <w:ind w:right="121"/>
              <w:jc w:val="center"/>
              <w:rPr>
                <w:sz w:val="24"/>
              </w:rPr>
            </w:pPr>
            <w:r>
              <w:rPr>
                <w:sz w:val="24"/>
              </w:rPr>
              <w:t>39-0000</w:t>
            </w:r>
          </w:p>
        </w:tc>
        <w:tc>
          <w:tcPr>
            <w:tcW w:w="6827" w:type="dxa"/>
          </w:tcPr>
          <w:p w:rsidR="00A33273" w:rsidRDefault="000206BB">
            <w:pPr>
              <w:pStyle w:val="TableParagraph"/>
              <w:ind w:left="142"/>
              <w:rPr>
                <w:sz w:val="24"/>
              </w:rPr>
            </w:pPr>
            <w:r>
              <w:rPr>
                <w:sz w:val="24"/>
              </w:rPr>
              <w:t>Personal Care and Service Occupations</w:t>
            </w:r>
          </w:p>
        </w:tc>
      </w:tr>
      <w:tr w:rsidR="00A33273">
        <w:trPr>
          <w:trHeight w:val="276"/>
        </w:trPr>
        <w:tc>
          <w:tcPr>
            <w:tcW w:w="1074" w:type="dxa"/>
          </w:tcPr>
          <w:p w:rsidR="00A33273" w:rsidRDefault="000206BB">
            <w:pPr>
              <w:pStyle w:val="TableParagraph"/>
              <w:ind w:right="121"/>
              <w:jc w:val="center"/>
              <w:rPr>
                <w:sz w:val="24"/>
              </w:rPr>
            </w:pPr>
            <w:r>
              <w:rPr>
                <w:sz w:val="24"/>
              </w:rPr>
              <w:t>41-0000</w:t>
            </w:r>
          </w:p>
        </w:tc>
        <w:tc>
          <w:tcPr>
            <w:tcW w:w="6827" w:type="dxa"/>
          </w:tcPr>
          <w:p w:rsidR="00A33273" w:rsidRDefault="000206BB">
            <w:pPr>
              <w:pStyle w:val="TableParagraph"/>
              <w:ind w:left="142"/>
              <w:rPr>
                <w:sz w:val="24"/>
              </w:rPr>
            </w:pPr>
            <w:r>
              <w:rPr>
                <w:sz w:val="24"/>
              </w:rPr>
              <w:t>Sales and Related Occupations</w:t>
            </w:r>
          </w:p>
        </w:tc>
      </w:tr>
      <w:tr w:rsidR="00A33273">
        <w:trPr>
          <w:trHeight w:val="276"/>
        </w:trPr>
        <w:tc>
          <w:tcPr>
            <w:tcW w:w="1074" w:type="dxa"/>
          </w:tcPr>
          <w:p w:rsidR="00A33273" w:rsidRDefault="000206BB">
            <w:pPr>
              <w:pStyle w:val="TableParagraph"/>
              <w:ind w:right="121"/>
              <w:jc w:val="center"/>
              <w:rPr>
                <w:sz w:val="24"/>
              </w:rPr>
            </w:pPr>
            <w:r>
              <w:rPr>
                <w:sz w:val="24"/>
              </w:rPr>
              <w:t>43-0000</w:t>
            </w:r>
          </w:p>
        </w:tc>
        <w:tc>
          <w:tcPr>
            <w:tcW w:w="6827" w:type="dxa"/>
          </w:tcPr>
          <w:p w:rsidR="00A33273" w:rsidRDefault="000206BB">
            <w:pPr>
              <w:pStyle w:val="TableParagraph"/>
              <w:ind w:left="142"/>
              <w:rPr>
                <w:sz w:val="24"/>
              </w:rPr>
            </w:pPr>
            <w:r>
              <w:rPr>
                <w:sz w:val="24"/>
              </w:rPr>
              <w:t>Office and Administrative Support Occupations</w:t>
            </w:r>
          </w:p>
        </w:tc>
      </w:tr>
      <w:tr w:rsidR="00A33273">
        <w:trPr>
          <w:trHeight w:val="276"/>
        </w:trPr>
        <w:tc>
          <w:tcPr>
            <w:tcW w:w="1074" w:type="dxa"/>
          </w:tcPr>
          <w:p w:rsidR="00A33273" w:rsidRDefault="000206BB">
            <w:pPr>
              <w:pStyle w:val="TableParagraph"/>
              <w:ind w:right="121"/>
              <w:jc w:val="center"/>
              <w:rPr>
                <w:sz w:val="24"/>
              </w:rPr>
            </w:pPr>
            <w:r>
              <w:rPr>
                <w:sz w:val="24"/>
              </w:rPr>
              <w:t>45-0000</w:t>
            </w:r>
          </w:p>
        </w:tc>
        <w:tc>
          <w:tcPr>
            <w:tcW w:w="6827" w:type="dxa"/>
          </w:tcPr>
          <w:p w:rsidR="00A33273" w:rsidRDefault="000206BB">
            <w:pPr>
              <w:pStyle w:val="TableParagraph"/>
              <w:ind w:left="142"/>
              <w:rPr>
                <w:sz w:val="24"/>
              </w:rPr>
            </w:pPr>
            <w:r>
              <w:rPr>
                <w:sz w:val="24"/>
              </w:rPr>
              <w:t>Farming, Fishing, and Forestry Occupations</w:t>
            </w:r>
          </w:p>
        </w:tc>
      </w:tr>
      <w:tr w:rsidR="00A33273">
        <w:trPr>
          <w:trHeight w:val="275"/>
        </w:trPr>
        <w:tc>
          <w:tcPr>
            <w:tcW w:w="1074" w:type="dxa"/>
          </w:tcPr>
          <w:p w:rsidR="00A33273" w:rsidRDefault="000206BB">
            <w:pPr>
              <w:pStyle w:val="TableParagraph"/>
              <w:ind w:right="121"/>
              <w:jc w:val="center"/>
              <w:rPr>
                <w:sz w:val="24"/>
              </w:rPr>
            </w:pPr>
            <w:r>
              <w:rPr>
                <w:sz w:val="24"/>
              </w:rPr>
              <w:t>47-0000</w:t>
            </w:r>
          </w:p>
        </w:tc>
        <w:tc>
          <w:tcPr>
            <w:tcW w:w="6827" w:type="dxa"/>
          </w:tcPr>
          <w:p w:rsidR="00A33273" w:rsidRDefault="000206BB">
            <w:pPr>
              <w:pStyle w:val="TableParagraph"/>
              <w:ind w:left="142"/>
              <w:rPr>
                <w:sz w:val="24"/>
              </w:rPr>
            </w:pPr>
            <w:r>
              <w:rPr>
                <w:sz w:val="24"/>
              </w:rPr>
              <w:t>Construction and Extraction Occupations</w:t>
            </w:r>
          </w:p>
        </w:tc>
      </w:tr>
      <w:tr w:rsidR="00A33273">
        <w:trPr>
          <w:trHeight w:val="276"/>
        </w:trPr>
        <w:tc>
          <w:tcPr>
            <w:tcW w:w="1074" w:type="dxa"/>
          </w:tcPr>
          <w:p w:rsidR="00A33273" w:rsidRDefault="000206BB">
            <w:pPr>
              <w:pStyle w:val="TableParagraph"/>
              <w:ind w:right="121"/>
              <w:jc w:val="center"/>
              <w:rPr>
                <w:sz w:val="24"/>
              </w:rPr>
            </w:pPr>
            <w:r>
              <w:rPr>
                <w:sz w:val="24"/>
              </w:rPr>
              <w:t>49-0000</w:t>
            </w:r>
          </w:p>
        </w:tc>
        <w:tc>
          <w:tcPr>
            <w:tcW w:w="6827" w:type="dxa"/>
          </w:tcPr>
          <w:p w:rsidR="00A33273" w:rsidRDefault="000206BB">
            <w:pPr>
              <w:pStyle w:val="TableParagraph"/>
              <w:ind w:left="142"/>
              <w:rPr>
                <w:sz w:val="24"/>
              </w:rPr>
            </w:pPr>
            <w:r>
              <w:rPr>
                <w:sz w:val="24"/>
              </w:rPr>
              <w:t>Installation, Maintenance, and Repair Occupations</w:t>
            </w:r>
          </w:p>
        </w:tc>
      </w:tr>
      <w:tr w:rsidR="00A33273">
        <w:trPr>
          <w:trHeight w:val="276"/>
        </w:trPr>
        <w:tc>
          <w:tcPr>
            <w:tcW w:w="1074" w:type="dxa"/>
          </w:tcPr>
          <w:p w:rsidR="00A33273" w:rsidRDefault="000206BB">
            <w:pPr>
              <w:pStyle w:val="TableParagraph"/>
              <w:ind w:right="121"/>
              <w:jc w:val="center"/>
              <w:rPr>
                <w:sz w:val="24"/>
              </w:rPr>
            </w:pPr>
            <w:r>
              <w:rPr>
                <w:sz w:val="24"/>
              </w:rPr>
              <w:t>51-0000</w:t>
            </w:r>
          </w:p>
        </w:tc>
        <w:tc>
          <w:tcPr>
            <w:tcW w:w="6827" w:type="dxa"/>
          </w:tcPr>
          <w:p w:rsidR="00A33273" w:rsidRDefault="000206BB">
            <w:pPr>
              <w:pStyle w:val="TableParagraph"/>
              <w:ind w:left="142"/>
              <w:rPr>
                <w:sz w:val="24"/>
              </w:rPr>
            </w:pPr>
            <w:r>
              <w:rPr>
                <w:sz w:val="24"/>
              </w:rPr>
              <w:t>Production Occupations</w:t>
            </w:r>
          </w:p>
        </w:tc>
      </w:tr>
      <w:tr w:rsidR="00A33273">
        <w:trPr>
          <w:trHeight w:val="275"/>
        </w:trPr>
        <w:tc>
          <w:tcPr>
            <w:tcW w:w="1074" w:type="dxa"/>
          </w:tcPr>
          <w:p w:rsidR="00A33273" w:rsidRDefault="000206BB">
            <w:pPr>
              <w:pStyle w:val="TableParagraph"/>
              <w:ind w:right="121"/>
              <w:jc w:val="center"/>
              <w:rPr>
                <w:sz w:val="24"/>
              </w:rPr>
            </w:pPr>
            <w:r>
              <w:rPr>
                <w:sz w:val="24"/>
              </w:rPr>
              <w:t>53-0000</w:t>
            </w:r>
          </w:p>
        </w:tc>
        <w:tc>
          <w:tcPr>
            <w:tcW w:w="6827" w:type="dxa"/>
          </w:tcPr>
          <w:p w:rsidR="00A33273" w:rsidRDefault="000206BB">
            <w:pPr>
              <w:pStyle w:val="TableParagraph"/>
              <w:ind w:left="142"/>
              <w:rPr>
                <w:sz w:val="24"/>
              </w:rPr>
            </w:pPr>
            <w:r>
              <w:rPr>
                <w:sz w:val="24"/>
              </w:rPr>
              <w:t>Transportation and Material Moving Occupations</w:t>
            </w:r>
          </w:p>
        </w:tc>
      </w:tr>
      <w:tr w:rsidR="00A33273">
        <w:trPr>
          <w:trHeight w:val="272"/>
        </w:trPr>
        <w:tc>
          <w:tcPr>
            <w:tcW w:w="1074" w:type="dxa"/>
          </w:tcPr>
          <w:p w:rsidR="00A33273" w:rsidRDefault="000206BB">
            <w:pPr>
              <w:pStyle w:val="TableParagraph"/>
              <w:spacing w:line="252" w:lineRule="exact"/>
              <w:ind w:right="121"/>
              <w:jc w:val="center"/>
              <w:rPr>
                <w:sz w:val="24"/>
              </w:rPr>
            </w:pPr>
            <w:r>
              <w:rPr>
                <w:sz w:val="24"/>
              </w:rPr>
              <w:t>55-0000</w:t>
            </w:r>
          </w:p>
        </w:tc>
        <w:tc>
          <w:tcPr>
            <w:tcW w:w="6827" w:type="dxa"/>
          </w:tcPr>
          <w:p w:rsidR="00A33273" w:rsidRDefault="000206BB">
            <w:pPr>
              <w:pStyle w:val="TableParagraph"/>
              <w:spacing w:line="252" w:lineRule="exact"/>
              <w:ind w:left="147"/>
              <w:rPr>
                <w:sz w:val="24"/>
              </w:rPr>
            </w:pPr>
            <w:r>
              <w:rPr>
                <w:sz w:val="24"/>
              </w:rPr>
              <w:t>Military Specific Occupations (Not Surveyed by OES)</w:t>
            </w:r>
          </w:p>
        </w:tc>
      </w:tr>
    </w:tbl>
    <w:p w:rsidR="00A33273" w:rsidRDefault="00A33273">
      <w:pPr>
        <w:spacing w:line="252" w:lineRule="exact"/>
        <w:rPr>
          <w:sz w:val="24"/>
        </w:rPr>
        <w:sectPr w:rsidR="00A33273">
          <w:pgSz w:w="15840" w:h="12240" w:orient="landscape"/>
          <w:pgMar w:top="1000" w:right="1000" w:bottom="280" w:left="920" w:header="720" w:footer="720" w:gutter="0"/>
          <w:cols w:space="720"/>
        </w:sectPr>
      </w:pPr>
    </w:p>
    <w:p w:rsidR="00A33273" w:rsidRDefault="00A33273">
      <w:pPr>
        <w:pStyle w:val="BodyText"/>
        <w:rPr>
          <w:sz w:val="26"/>
        </w:rPr>
      </w:pPr>
    </w:p>
    <w:p w:rsidR="00A33273" w:rsidRDefault="00A33273">
      <w:pPr>
        <w:pStyle w:val="BodyText"/>
        <w:spacing w:before="5"/>
        <w:rPr>
          <w:sz w:val="29"/>
        </w:rPr>
      </w:pPr>
    </w:p>
    <w:p w:rsidR="00A33273" w:rsidRDefault="000206BB">
      <w:pPr>
        <w:pStyle w:val="Heading2"/>
        <w:ind w:left="520"/>
      </w:pPr>
      <w:r>
        <w:t>Bangor Metropolitan Area</w:t>
      </w:r>
    </w:p>
    <w:p w:rsidR="00A33273" w:rsidRDefault="000206BB">
      <w:pPr>
        <w:pStyle w:val="BodyText"/>
        <w:ind w:left="520" w:right="3165"/>
      </w:pPr>
      <w:r>
        <w:t>Alton Amherst</w:t>
      </w:r>
    </w:p>
    <w:p w:rsidR="00A33273" w:rsidRDefault="000206BB">
      <w:pPr>
        <w:pStyle w:val="BodyText"/>
        <w:ind w:left="520" w:right="737"/>
      </w:pPr>
      <w:r>
        <w:t>Argyle Township (unorganized) Aurora</w:t>
      </w:r>
    </w:p>
    <w:p w:rsidR="00A33273" w:rsidRDefault="000206BB">
      <w:pPr>
        <w:pStyle w:val="BodyText"/>
        <w:ind w:left="520" w:right="2898"/>
      </w:pPr>
      <w:r>
        <w:t xml:space="preserve">Bangor Bradford Bradley Brewer Burlington Carmel Charleston Clifton Corinth Dedham </w:t>
      </w:r>
      <w:proofErr w:type="spellStart"/>
      <w:r>
        <w:t>Dixmont</w:t>
      </w:r>
      <w:proofErr w:type="spellEnd"/>
      <w:r>
        <w:t xml:space="preserve"> Eddington Edinburg</w:t>
      </w:r>
    </w:p>
    <w:p w:rsidR="00A33273" w:rsidRDefault="000206BB">
      <w:pPr>
        <w:pStyle w:val="Heading2"/>
        <w:spacing w:before="121"/>
        <w:ind w:left="520"/>
      </w:pPr>
      <w:r>
        <w:t xml:space="preserve">Lewiston-Auburn Metropolitan </w:t>
      </w:r>
      <w:r>
        <w:rPr>
          <w:spacing w:val="-6"/>
        </w:rPr>
        <w:t>Area</w:t>
      </w:r>
    </w:p>
    <w:p w:rsidR="00A33273" w:rsidRDefault="000206BB">
      <w:pPr>
        <w:pStyle w:val="BodyText"/>
        <w:ind w:left="520" w:right="3085"/>
      </w:pPr>
      <w:r>
        <w:t xml:space="preserve">Auburn </w:t>
      </w:r>
      <w:proofErr w:type="spellStart"/>
      <w:r>
        <w:t>Buckfield</w:t>
      </w:r>
      <w:proofErr w:type="spellEnd"/>
      <w:r>
        <w:t xml:space="preserve"> Canton Greene Hartford Hebron</w:t>
      </w:r>
    </w:p>
    <w:p w:rsidR="00A33273" w:rsidRDefault="000206BB">
      <w:pPr>
        <w:pStyle w:val="Heading1"/>
      </w:pPr>
      <w:r>
        <w:rPr>
          <w:b w:val="0"/>
        </w:rPr>
        <w:br w:type="column"/>
      </w:r>
      <w:r>
        <w:t>Area Designations-May 2018</w:t>
      </w:r>
    </w:p>
    <w:p w:rsidR="00A33273" w:rsidRDefault="00A33273">
      <w:pPr>
        <w:pStyle w:val="BodyText"/>
        <w:spacing w:before="8"/>
        <w:rPr>
          <w:b/>
          <w:sz w:val="44"/>
        </w:rPr>
      </w:pPr>
    </w:p>
    <w:p w:rsidR="00A33273" w:rsidRDefault="000206BB">
      <w:pPr>
        <w:pStyle w:val="BodyText"/>
        <w:ind w:left="442" w:right="2850"/>
      </w:pPr>
      <w:r>
        <w:t>Enfield Etna Exeter Garland Glenburn</w:t>
      </w:r>
    </w:p>
    <w:p w:rsidR="00A33273" w:rsidRDefault="000206BB">
      <w:pPr>
        <w:pStyle w:val="BodyText"/>
        <w:spacing w:before="1"/>
        <w:ind w:left="442" w:right="1463"/>
      </w:pPr>
      <w:r>
        <w:t>Grand Falls Plantation Greenbush</w:t>
      </w:r>
    </w:p>
    <w:p w:rsidR="00A33273" w:rsidRDefault="000206BB">
      <w:pPr>
        <w:pStyle w:val="BodyText"/>
        <w:ind w:left="442" w:right="2503"/>
      </w:pPr>
      <w:r>
        <w:t xml:space="preserve">Greenfield Hampden Hermon Holden Howland Hudson </w:t>
      </w:r>
      <w:proofErr w:type="spellStart"/>
      <w:r>
        <w:t>Kenduskeag</w:t>
      </w:r>
      <w:proofErr w:type="spellEnd"/>
      <w:r>
        <w:t xml:space="preserve"> Lagrange Levant</w:t>
      </w:r>
    </w:p>
    <w:p w:rsidR="00A33273" w:rsidRDefault="00A33273">
      <w:pPr>
        <w:pStyle w:val="BodyText"/>
        <w:rPr>
          <w:sz w:val="26"/>
        </w:rPr>
      </w:pPr>
    </w:p>
    <w:p w:rsidR="00A33273" w:rsidRDefault="00A33273">
      <w:pPr>
        <w:pStyle w:val="BodyText"/>
        <w:spacing w:before="6"/>
        <w:rPr>
          <w:sz w:val="32"/>
        </w:rPr>
      </w:pPr>
    </w:p>
    <w:p w:rsidR="00A33273" w:rsidRDefault="000206BB">
      <w:pPr>
        <w:pStyle w:val="BodyText"/>
        <w:ind w:left="442" w:right="2252"/>
      </w:pPr>
      <w:r>
        <w:t xml:space="preserve">Leeds Lewiston Lisbon Mechanic </w:t>
      </w:r>
      <w:r>
        <w:rPr>
          <w:spacing w:val="-4"/>
        </w:rPr>
        <w:t xml:space="preserve">Falls </w:t>
      </w:r>
      <w:r>
        <w:t>Minot</w:t>
      </w:r>
    </w:p>
    <w:p w:rsidR="00A33273" w:rsidRDefault="000206BB">
      <w:pPr>
        <w:pStyle w:val="BodyText"/>
        <w:ind w:left="442"/>
      </w:pPr>
      <w:r>
        <w:t>Monmouth Town</w:t>
      </w:r>
    </w:p>
    <w:p w:rsidR="00A33273" w:rsidRDefault="000206BB">
      <w:pPr>
        <w:pStyle w:val="BodyText"/>
        <w:rPr>
          <w:sz w:val="26"/>
        </w:rPr>
      </w:pPr>
      <w:r>
        <w:br w:type="column"/>
      </w:r>
    </w:p>
    <w:p w:rsidR="00A33273" w:rsidRDefault="00A33273">
      <w:pPr>
        <w:pStyle w:val="BodyText"/>
        <w:rPr>
          <w:sz w:val="26"/>
        </w:rPr>
      </w:pPr>
    </w:p>
    <w:p w:rsidR="00A33273" w:rsidRDefault="00A33273">
      <w:pPr>
        <w:pStyle w:val="BodyText"/>
        <w:rPr>
          <w:sz w:val="26"/>
        </w:rPr>
      </w:pPr>
    </w:p>
    <w:p w:rsidR="00A33273" w:rsidRDefault="00A33273">
      <w:pPr>
        <w:pStyle w:val="BodyText"/>
        <w:spacing w:before="5"/>
        <w:rPr>
          <w:sz w:val="25"/>
        </w:rPr>
      </w:pPr>
    </w:p>
    <w:p w:rsidR="00A33273" w:rsidRDefault="000206BB">
      <w:pPr>
        <w:pStyle w:val="BodyText"/>
        <w:ind w:left="520" w:right="3230"/>
      </w:pPr>
      <w:r>
        <w:t>Milford Newburg Newport Old Town</w:t>
      </w:r>
    </w:p>
    <w:p w:rsidR="00A33273" w:rsidRDefault="000206BB">
      <w:pPr>
        <w:pStyle w:val="BodyText"/>
        <w:ind w:left="520" w:right="1696"/>
      </w:pPr>
      <w:proofErr w:type="spellStart"/>
      <w:r>
        <w:t>Orneville</w:t>
      </w:r>
      <w:proofErr w:type="spellEnd"/>
      <w:r>
        <w:t xml:space="preserve"> Unorganized Orono</w:t>
      </w:r>
    </w:p>
    <w:p w:rsidR="00A33273" w:rsidRDefault="000206BB">
      <w:pPr>
        <w:pStyle w:val="BodyText"/>
        <w:spacing w:before="1"/>
        <w:ind w:left="520"/>
      </w:pPr>
      <w:r>
        <w:t>Orrington</w:t>
      </w:r>
    </w:p>
    <w:p w:rsidR="00A33273" w:rsidRDefault="000206BB">
      <w:pPr>
        <w:pStyle w:val="BodyText"/>
        <w:ind w:left="520" w:right="2336"/>
      </w:pPr>
      <w:r>
        <w:t>Osborn Plant</w:t>
      </w:r>
      <w:r>
        <w:t xml:space="preserve">ation Otis Town </w:t>
      </w:r>
      <w:proofErr w:type="spellStart"/>
      <w:r>
        <w:t>Passadumkeag</w:t>
      </w:r>
      <w:proofErr w:type="spellEnd"/>
    </w:p>
    <w:p w:rsidR="00A33273" w:rsidRDefault="000206BB">
      <w:pPr>
        <w:pStyle w:val="BodyText"/>
        <w:ind w:left="520" w:right="1696"/>
      </w:pPr>
      <w:r>
        <w:t>Penobscot Indian Island Stetson</w:t>
      </w:r>
    </w:p>
    <w:p w:rsidR="00A33273" w:rsidRDefault="000206BB">
      <w:pPr>
        <w:pStyle w:val="BodyText"/>
        <w:ind w:left="520" w:right="2017"/>
      </w:pPr>
      <w:r>
        <w:t xml:space="preserve">Summit Unorganized </w:t>
      </w:r>
      <w:proofErr w:type="spellStart"/>
      <w:r>
        <w:t>Veazie</w:t>
      </w:r>
      <w:proofErr w:type="spellEnd"/>
    </w:p>
    <w:p w:rsidR="00A33273" w:rsidRDefault="000206BB">
      <w:pPr>
        <w:pStyle w:val="BodyText"/>
        <w:ind w:left="520"/>
      </w:pPr>
      <w:r>
        <w:t>Winterport</w:t>
      </w:r>
    </w:p>
    <w:p w:rsidR="00A33273" w:rsidRDefault="00A33273">
      <w:pPr>
        <w:pStyle w:val="BodyText"/>
        <w:rPr>
          <w:sz w:val="26"/>
        </w:rPr>
      </w:pPr>
    </w:p>
    <w:p w:rsidR="00A33273" w:rsidRDefault="00A33273">
      <w:pPr>
        <w:pStyle w:val="BodyText"/>
        <w:spacing w:before="5"/>
        <w:rPr>
          <w:sz w:val="32"/>
        </w:rPr>
      </w:pPr>
    </w:p>
    <w:p w:rsidR="00A33273" w:rsidRDefault="000206BB">
      <w:pPr>
        <w:pStyle w:val="BodyText"/>
        <w:ind w:left="520" w:right="3310"/>
      </w:pPr>
      <w:r>
        <w:t>Poland Sabattus Turner Wales</w:t>
      </w:r>
    </w:p>
    <w:p w:rsidR="00A33273" w:rsidRDefault="00A33273">
      <w:pPr>
        <w:sectPr w:rsidR="00A33273">
          <w:pgSz w:w="15840" w:h="12240" w:orient="landscape"/>
          <w:pgMar w:top="1000" w:right="1000" w:bottom="280" w:left="920" w:header="720" w:footer="720" w:gutter="0"/>
          <w:cols w:num="3" w:space="720" w:equalWidth="0">
            <w:col w:w="4599" w:space="40"/>
            <w:col w:w="4300" w:space="183"/>
            <w:col w:w="4798"/>
          </w:cols>
        </w:sectPr>
      </w:pPr>
    </w:p>
    <w:p w:rsidR="00A33273" w:rsidRDefault="00A33273">
      <w:pPr>
        <w:pStyle w:val="BodyText"/>
        <w:spacing w:before="10"/>
        <w:rPr>
          <w:sz w:val="12"/>
        </w:rPr>
      </w:pPr>
    </w:p>
    <w:p w:rsidR="00A33273" w:rsidRDefault="000206BB">
      <w:pPr>
        <w:pStyle w:val="Heading2"/>
        <w:spacing w:before="92"/>
        <w:ind w:left="520"/>
      </w:pPr>
      <w:r>
        <w:t>Portland-South Portland Metropolitan Area</w:t>
      </w:r>
    </w:p>
    <w:p w:rsidR="00A33273" w:rsidRDefault="00A33273">
      <w:pPr>
        <w:sectPr w:rsidR="00A33273">
          <w:type w:val="continuous"/>
          <w:pgSz w:w="15840" w:h="12240" w:orient="landscape"/>
          <w:pgMar w:top="1000" w:right="1000" w:bottom="280" w:left="920" w:header="720" w:footer="720" w:gutter="0"/>
          <w:cols w:space="720"/>
        </w:sectPr>
      </w:pPr>
    </w:p>
    <w:p w:rsidR="00A33273" w:rsidRDefault="000206BB">
      <w:pPr>
        <w:pStyle w:val="BodyText"/>
        <w:spacing w:before="1"/>
        <w:ind w:left="520" w:right="941"/>
      </w:pPr>
      <w:r>
        <w:t>Arundel Baldwin Biddeford Buxton</w:t>
      </w:r>
    </w:p>
    <w:p w:rsidR="00A33273" w:rsidRDefault="000206BB">
      <w:pPr>
        <w:pStyle w:val="BodyText"/>
        <w:ind w:left="520" w:right="38"/>
      </w:pPr>
      <w:r>
        <w:t xml:space="preserve">Cape Elizabeth Casco </w:t>
      </w:r>
      <w:proofErr w:type="spellStart"/>
      <w:r>
        <w:t>Chebeague</w:t>
      </w:r>
      <w:proofErr w:type="spellEnd"/>
      <w:r>
        <w:rPr>
          <w:spacing w:val="4"/>
        </w:rPr>
        <w:t xml:space="preserve"> </w:t>
      </w:r>
      <w:r>
        <w:rPr>
          <w:spacing w:val="-4"/>
        </w:rPr>
        <w:t>Island</w:t>
      </w:r>
    </w:p>
    <w:p w:rsidR="00A33273" w:rsidRDefault="000206BB">
      <w:pPr>
        <w:pStyle w:val="BodyText"/>
        <w:spacing w:before="1"/>
        <w:ind w:left="520" w:right="21"/>
      </w:pPr>
      <w:r>
        <w:br w:type="column"/>
      </w:r>
      <w:r>
        <w:t>Cornish Cumberland Dayton Durham Falmouth Freeport Frye Island</w:t>
      </w:r>
    </w:p>
    <w:p w:rsidR="00A33273" w:rsidRDefault="000206BB">
      <w:pPr>
        <w:pStyle w:val="BodyText"/>
        <w:spacing w:before="1"/>
        <w:ind w:left="520" w:right="3392"/>
      </w:pPr>
      <w:r>
        <w:br w:type="column"/>
      </w:r>
      <w:r>
        <w:t>Gorham Gray Hollis</w:t>
      </w:r>
    </w:p>
    <w:p w:rsidR="00A33273" w:rsidRDefault="000206BB">
      <w:pPr>
        <w:pStyle w:val="BodyText"/>
        <w:ind w:left="520" w:right="2671"/>
      </w:pPr>
      <w:r>
        <w:t xml:space="preserve">Kennebunk </w:t>
      </w:r>
      <w:r>
        <w:rPr>
          <w:w w:val="95"/>
        </w:rPr>
        <w:t xml:space="preserve">Kennebunkport </w:t>
      </w:r>
      <w:r>
        <w:t>Limerick Limington</w:t>
      </w:r>
    </w:p>
    <w:p w:rsidR="00A33273" w:rsidRDefault="00A33273">
      <w:pPr>
        <w:sectPr w:rsidR="00A33273">
          <w:type w:val="continuous"/>
          <w:pgSz w:w="15840" w:h="12240" w:orient="landscape"/>
          <w:pgMar w:top="1000" w:right="1000" w:bottom="280" w:left="920" w:header="720" w:footer="720" w:gutter="0"/>
          <w:cols w:num="3" w:space="720" w:equalWidth="0">
            <w:col w:w="2509" w:space="2052"/>
            <w:col w:w="1869" w:space="2691"/>
            <w:col w:w="4799"/>
          </w:cols>
        </w:sectPr>
      </w:pPr>
    </w:p>
    <w:p w:rsidR="00A33273" w:rsidRDefault="000206BB">
      <w:pPr>
        <w:pStyle w:val="Heading2"/>
        <w:spacing w:before="68"/>
        <w:ind w:left="520" w:right="19"/>
      </w:pPr>
      <w:r>
        <w:lastRenderedPageBreak/>
        <w:t>Portland-South Portland Metropolitan Area (cont.)</w:t>
      </w:r>
    </w:p>
    <w:p w:rsidR="00A33273" w:rsidRDefault="00A33273">
      <w:pPr>
        <w:pStyle w:val="BodyText"/>
        <w:rPr>
          <w:b/>
        </w:rPr>
      </w:pPr>
    </w:p>
    <w:p w:rsidR="00A33273" w:rsidRDefault="000206BB">
      <w:pPr>
        <w:pStyle w:val="BodyText"/>
        <w:ind w:left="520" w:right="1618"/>
      </w:pPr>
      <w:r>
        <w:t>Long Island Lyman Naples</w:t>
      </w:r>
    </w:p>
    <w:p w:rsidR="00A33273" w:rsidRDefault="000206BB">
      <w:pPr>
        <w:pStyle w:val="BodyText"/>
        <w:ind w:left="520"/>
      </w:pPr>
      <w:r>
        <w:t>New Gloucester</w:t>
      </w:r>
    </w:p>
    <w:p w:rsidR="00A33273" w:rsidRDefault="000206BB">
      <w:pPr>
        <w:pStyle w:val="BodyText"/>
        <w:spacing w:before="68"/>
        <w:ind w:left="520" w:right="27"/>
      </w:pPr>
      <w:r>
        <w:br w:type="column"/>
      </w:r>
      <w:r>
        <w:t>North Yarmouth Old Orchard Beach Portland</w:t>
      </w:r>
    </w:p>
    <w:p w:rsidR="00A33273" w:rsidRDefault="000206BB">
      <w:pPr>
        <w:pStyle w:val="BodyText"/>
        <w:ind w:left="520" w:right="700"/>
      </w:pPr>
      <w:proofErr w:type="spellStart"/>
      <w:r>
        <w:t>Pownal</w:t>
      </w:r>
      <w:proofErr w:type="spellEnd"/>
      <w:r>
        <w:t xml:space="preserve"> Raymond Saco Scarborough</w:t>
      </w:r>
    </w:p>
    <w:p w:rsidR="00A33273" w:rsidRDefault="000206BB">
      <w:pPr>
        <w:pStyle w:val="BodyText"/>
        <w:spacing w:before="68"/>
        <w:ind w:left="520"/>
      </w:pPr>
      <w:r>
        <w:br w:type="column"/>
      </w:r>
      <w:r>
        <w:t>Sebago</w:t>
      </w:r>
    </w:p>
    <w:p w:rsidR="00A33273" w:rsidRDefault="000206BB">
      <w:pPr>
        <w:pStyle w:val="BodyText"/>
        <w:ind w:left="520" w:right="2671"/>
      </w:pPr>
      <w:r>
        <w:t>South Portland Standish Waterboro Westbrook Windham Yarmouth</w:t>
      </w:r>
    </w:p>
    <w:p w:rsidR="00A33273" w:rsidRDefault="00A33273">
      <w:pPr>
        <w:sectPr w:rsidR="00A33273">
          <w:pgSz w:w="15840" w:h="12240" w:orient="landscape"/>
          <w:pgMar w:top="1080" w:right="1000" w:bottom="280" w:left="920" w:header="720" w:footer="720" w:gutter="0"/>
          <w:cols w:num="3" w:space="720" w:equalWidth="0">
            <w:col w:w="3400" w:space="1161"/>
            <w:col w:w="2615" w:space="1945"/>
            <w:col w:w="4799"/>
          </w:cols>
        </w:sectPr>
      </w:pPr>
    </w:p>
    <w:p w:rsidR="00A33273" w:rsidRDefault="00A33273">
      <w:pPr>
        <w:pStyle w:val="BodyText"/>
        <w:rPr>
          <w:sz w:val="20"/>
        </w:rPr>
      </w:pPr>
    </w:p>
    <w:p w:rsidR="00A33273" w:rsidRDefault="00A33273">
      <w:pPr>
        <w:rPr>
          <w:sz w:val="20"/>
        </w:rPr>
        <w:sectPr w:rsidR="00A33273">
          <w:type w:val="continuous"/>
          <w:pgSz w:w="15840" w:h="12240" w:orient="landscape"/>
          <w:pgMar w:top="1000" w:right="1000" w:bottom="280" w:left="920" w:header="720" w:footer="720" w:gutter="0"/>
          <w:cols w:space="720"/>
        </w:sectPr>
      </w:pPr>
    </w:p>
    <w:p w:rsidR="00A33273" w:rsidRDefault="00A33273">
      <w:pPr>
        <w:pStyle w:val="BodyText"/>
        <w:spacing w:before="8"/>
        <w:rPr>
          <w:sz w:val="21"/>
        </w:rPr>
      </w:pPr>
    </w:p>
    <w:p w:rsidR="00A33273" w:rsidRDefault="000206BB">
      <w:pPr>
        <w:pStyle w:val="Heading2"/>
        <w:ind w:left="520"/>
      </w:pPr>
      <w:r>
        <w:t>Portsmouth, NH-ME</w:t>
      </w:r>
    </w:p>
    <w:p w:rsidR="00A33273" w:rsidRDefault="000206BB">
      <w:pPr>
        <w:pStyle w:val="BodyText"/>
        <w:spacing w:before="1"/>
        <w:ind w:left="520" w:right="895"/>
      </w:pPr>
      <w:r>
        <w:t>Eli</w:t>
      </w:r>
      <w:r>
        <w:t>ot (ME) Kittery (ME) York (ME) Brentwood (NH)</w:t>
      </w:r>
    </w:p>
    <w:p w:rsidR="00A33273" w:rsidRDefault="000206BB">
      <w:pPr>
        <w:pStyle w:val="BodyText"/>
        <w:ind w:left="520"/>
      </w:pPr>
      <w:r>
        <w:t>Epping Town (NH) Exeter (NH)</w:t>
      </w:r>
    </w:p>
    <w:p w:rsidR="00A33273" w:rsidRDefault="00A33273">
      <w:pPr>
        <w:pStyle w:val="BodyText"/>
        <w:spacing w:before="10"/>
        <w:rPr>
          <w:sz w:val="20"/>
        </w:rPr>
      </w:pPr>
    </w:p>
    <w:p w:rsidR="00A33273" w:rsidRDefault="000206BB">
      <w:pPr>
        <w:pStyle w:val="Heading2"/>
        <w:ind w:left="520"/>
      </w:pPr>
      <w:r>
        <w:t>Dover-Durham, NH-ME</w:t>
      </w:r>
    </w:p>
    <w:p w:rsidR="00A33273" w:rsidRDefault="000206BB">
      <w:pPr>
        <w:pStyle w:val="BodyText"/>
        <w:ind w:left="520" w:right="508"/>
      </w:pPr>
      <w:r>
        <w:t xml:space="preserve">Berwick (ME) Lebanon (ME) South Berwick </w:t>
      </w:r>
      <w:r>
        <w:rPr>
          <w:spacing w:val="-3"/>
        </w:rPr>
        <w:t xml:space="preserve">(ME) </w:t>
      </w:r>
      <w:r>
        <w:t>Barrington (NH) Dover (NH) Durham</w:t>
      </w:r>
      <w:r>
        <w:rPr>
          <w:spacing w:val="-2"/>
        </w:rPr>
        <w:t xml:space="preserve"> </w:t>
      </w:r>
      <w:r>
        <w:t>(NH)</w:t>
      </w:r>
    </w:p>
    <w:p w:rsidR="00A33273" w:rsidRDefault="00A33273">
      <w:pPr>
        <w:pStyle w:val="BodyText"/>
        <w:spacing w:before="11"/>
        <w:rPr>
          <w:sz w:val="20"/>
        </w:rPr>
      </w:pPr>
    </w:p>
    <w:p w:rsidR="00A33273" w:rsidRDefault="000206BB">
      <w:pPr>
        <w:ind w:left="520" w:right="841"/>
        <w:rPr>
          <w:sz w:val="24"/>
        </w:rPr>
      </w:pPr>
      <w:r>
        <w:rPr>
          <w:b/>
          <w:sz w:val="24"/>
        </w:rPr>
        <w:t xml:space="preserve">Maine Counties </w:t>
      </w:r>
      <w:r>
        <w:rPr>
          <w:sz w:val="24"/>
        </w:rPr>
        <w:t>Androscoggin Aroostook Cumberland Franklin Hancock Kennebec</w:t>
      </w:r>
    </w:p>
    <w:p w:rsidR="00A33273" w:rsidRDefault="000206BB">
      <w:pPr>
        <w:pStyle w:val="BodyText"/>
        <w:rPr>
          <w:sz w:val="26"/>
        </w:rPr>
      </w:pPr>
      <w:r>
        <w:br w:type="column"/>
      </w:r>
    </w:p>
    <w:p w:rsidR="00A33273" w:rsidRDefault="000206BB">
      <w:pPr>
        <w:pStyle w:val="BodyText"/>
        <w:spacing w:before="228"/>
        <w:ind w:left="520" w:right="658"/>
      </w:pPr>
      <w:r>
        <w:t>Greenland (NH) Hampton (NH) New Castle (NH)</w:t>
      </w:r>
    </w:p>
    <w:p w:rsidR="00A33273" w:rsidRDefault="000206BB">
      <w:pPr>
        <w:pStyle w:val="BodyText"/>
        <w:ind w:left="520" w:right="18"/>
      </w:pPr>
      <w:proofErr w:type="spellStart"/>
      <w:r>
        <w:t>Newfields</w:t>
      </w:r>
      <w:proofErr w:type="spellEnd"/>
      <w:r>
        <w:t xml:space="preserve"> Town (NH) Newington (NH) </w:t>
      </w:r>
      <w:proofErr w:type="spellStart"/>
      <w:r>
        <w:t>Newmarket</w:t>
      </w:r>
      <w:proofErr w:type="spellEnd"/>
      <w:r>
        <w:t xml:space="preserve"> Town (NH)</w:t>
      </w:r>
    </w:p>
    <w:p w:rsidR="00A33273" w:rsidRDefault="00A33273">
      <w:pPr>
        <w:pStyle w:val="BodyText"/>
        <w:rPr>
          <w:sz w:val="26"/>
        </w:rPr>
      </w:pPr>
    </w:p>
    <w:p w:rsidR="00A33273" w:rsidRDefault="000206BB">
      <w:pPr>
        <w:pStyle w:val="BodyText"/>
        <w:spacing w:before="217"/>
        <w:ind w:left="520" w:right="672"/>
      </w:pPr>
      <w:r>
        <w:t>Farmington (NH) Lee (NH)</w:t>
      </w:r>
    </w:p>
    <w:p w:rsidR="00A33273" w:rsidRDefault="000206BB">
      <w:pPr>
        <w:pStyle w:val="BodyText"/>
        <w:ind w:left="520" w:right="845"/>
      </w:pPr>
      <w:proofErr w:type="spellStart"/>
      <w:r>
        <w:t>Madbury</w:t>
      </w:r>
      <w:proofErr w:type="spellEnd"/>
      <w:r>
        <w:t xml:space="preserve"> (NH) Middleton (NH) Milton (NH)</w:t>
      </w:r>
    </w:p>
    <w:p w:rsidR="00A33273" w:rsidRDefault="000206BB">
      <w:pPr>
        <w:pStyle w:val="BodyText"/>
        <w:ind w:left="520"/>
      </w:pPr>
      <w:r>
        <w:t>New Durham (NH)</w:t>
      </w:r>
    </w:p>
    <w:p w:rsidR="00A33273" w:rsidRDefault="00A33273">
      <w:pPr>
        <w:pStyle w:val="BodyText"/>
        <w:rPr>
          <w:sz w:val="26"/>
        </w:rPr>
      </w:pPr>
    </w:p>
    <w:p w:rsidR="00A33273" w:rsidRDefault="000206BB">
      <w:pPr>
        <w:pStyle w:val="BodyText"/>
        <w:spacing w:before="217"/>
        <w:ind w:left="520" w:right="1231"/>
      </w:pPr>
      <w:r>
        <w:t>Knox Lincoln Oxford Penobscot Piscataquis Sagadahoc</w:t>
      </w:r>
    </w:p>
    <w:p w:rsidR="00A33273" w:rsidRDefault="000206BB">
      <w:pPr>
        <w:pStyle w:val="BodyText"/>
        <w:rPr>
          <w:sz w:val="26"/>
        </w:rPr>
      </w:pPr>
      <w:r>
        <w:br w:type="column"/>
      </w:r>
    </w:p>
    <w:p w:rsidR="00A33273" w:rsidRDefault="000206BB">
      <w:pPr>
        <w:pStyle w:val="BodyText"/>
        <w:spacing w:before="228"/>
        <w:ind w:left="520" w:right="2058"/>
      </w:pPr>
      <w:r>
        <w:t>North Hampton (NH) Portsmouth (NH) Rye (NH)</w:t>
      </w:r>
    </w:p>
    <w:p w:rsidR="00A33273" w:rsidRDefault="000206BB">
      <w:pPr>
        <w:pStyle w:val="BodyText"/>
        <w:ind w:left="520"/>
      </w:pPr>
      <w:r>
        <w:t>Stratham (NH)</w:t>
      </w:r>
    </w:p>
    <w:p w:rsidR="00A33273" w:rsidRDefault="00A33273">
      <w:pPr>
        <w:pStyle w:val="BodyText"/>
        <w:rPr>
          <w:sz w:val="26"/>
        </w:rPr>
      </w:pPr>
    </w:p>
    <w:p w:rsidR="00A33273" w:rsidRDefault="00A33273">
      <w:pPr>
        <w:pStyle w:val="BodyText"/>
        <w:rPr>
          <w:sz w:val="26"/>
        </w:rPr>
      </w:pPr>
    </w:p>
    <w:p w:rsidR="00A33273" w:rsidRDefault="00A33273">
      <w:pPr>
        <w:pStyle w:val="BodyText"/>
        <w:rPr>
          <w:sz w:val="26"/>
        </w:rPr>
      </w:pPr>
    </w:p>
    <w:p w:rsidR="00A33273" w:rsidRDefault="000206BB">
      <w:pPr>
        <w:pStyle w:val="BodyText"/>
        <w:spacing w:before="171"/>
        <w:ind w:left="520" w:right="2272"/>
      </w:pPr>
      <w:r>
        <w:t>Rochester (NH) Rollinsford (NH) Somersworth (NH) Strafford (NH)</w:t>
      </w:r>
    </w:p>
    <w:p w:rsidR="00A33273" w:rsidRDefault="00A33273">
      <w:pPr>
        <w:pStyle w:val="BodyText"/>
        <w:rPr>
          <w:sz w:val="26"/>
        </w:rPr>
      </w:pPr>
    </w:p>
    <w:p w:rsidR="00A33273" w:rsidRDefault="00A33273">
      <w:pPr>
        <w:pStyle w:val="BodyText"/>
        <w:rPr>
          <w:sz w:val="26"/>
        </w:rPr>
      </w:pPr>
    </w:p>
    <w:p w:rsidR="00A33273" w:rsidRDefault="00A33273">
      <w:pPr>
        <w:pStyle w:val="BodyText"/>
        <w:rPr>
          <w:sz w:val="26"/>
        </w:rPr>
      </w:pPr>
    </w:p>
    <w:p w:rsidR="00A33273" w:rsidRDefault="000206BB">
      <w:pPr>
        <w:pStyle w:val="BodyText"/>
        <w:spacing w:before="171"/>
        <w:ind w:left="520" w:right="2991"/>
      </w:pPr>
      <w:r>
        <w:t>Somerset Waldo Washington York</w:t>
      </w:r>
    </w:p>
    <w:p w:rsidR="00A33273" w:rsidRDefault="00A33273">
      <w:pPr>
        <w:sectPr w:rsidR="00A33273">
          <w:type w:val="continuous"/>
          <w:pgSz w:w="15840" w:h="12240" w:orient="landscape"/>
          <w:pgMar w:top="1000" w:right="1000" w:bottom="280" w:left="920" w:header="720" w:footer="720" w:gutter="0"/>
          <w:cols w:num="3" w:space="720" w:equalWidth="0">
            <w:col w:w="3149" w:space="1412"/>
            <w:col w:w="2999" w:space="1561"/>
            <w:col w:w="4799"/>
          </w:cols>
        </w:sectPr>
      </w:pPr>
    </w:p>
    <w:p w:rsidR="00A33273" w:rsidRDefault="000206BB">
      <w:pPr>
        <w:pStyle w:val="Heading2"/>
        <w:spacing w:before="68"/>
        <w:ind w:left="520"/>
      </w:pPr>
      <w:r>
        <w:lastRenderedPageBreak/>
        <w:t>Northeast Balance of State (B.O.S.)</w:t>
      </w:r>
    </w:p>
    <w:p w:rsidR="00A33273" w:rsidRDefault="000206BB">
      <w:pPr>
        <w:pStyle w:val="BodyText"/>
        <w:ind w:left="520" w:right="2461"/>
      </w:pPr>
      <w:r>
        <w:t>Aroostook County Hancock County</w:t>
      </w:r>
    </w:p>
    <w:p w:rsidR="00A33273" w:rsidRDefault="000206BB">
      <w:pPr>
        <w:pStyle w:val="BodyText"/>
        <w:ind w:left="520" w:right="20"/>
      </w:pPr>
      <w:r>
        <w:t>Penobscot County (Except Bangor MSA) Piscataquis County</w:t>
      </w:r>
    </w:p>
    <w:p w:rsidR="00A33273" w:rsidRDefault="000206BB">
      <w:pPr>
        <w:pStyle w:val="BodyText"/>
        <w:ind w:left="520"/>
      </w:pPr>
      <w:r>
        <w:t>Washington</w:t>
      </w:r>
      <w:r>
        <w:rPr>
          <w:spacing w:val="-6"/>
        </w:rPr>
        <w:t xml:space="preserve"> </w:t>
      </w:r>
      <w:r>
        <w:t>County</w:t>
      </w:r>
    </w:p>
    <w:p w:rsidR="00A33273" w:rsidRDefault="000206BB">
      <w:pPr>
        <w:pStyle w:val="Heading2"/>
        <w:spacing w:before="68"/>
        <w:ind w:left="520"/>
      </w:pPr>
      <w:r>
        <w:rPr>
          <w:b w:val="0"/>
        </w:rPr>
        <w:br w:type="column"/>
      </w:r>
      <w:r>
        <w:t>Southwest Balance of State (B.O.S.)</w:t>
      </w:r>
    </w:p>
    <w:p w:rsidR="00A33273" w:rsidRDefault="000206BB">
      <w:pPr>
        <w:pStyle w:val="BodyText"/>
        <w:ind w:left="520" w:right="722"/>
      </w:pPr>
      <w:r>
        <w:t>Androscoggin County (except Lewiston-Auburn MSA) Cumberland County (except Portland-</w:t>
      </w:r>
      <w:proofErr w:type="spellStart"/>
      <w:proofErr w:type="gramStart"/>
      <w:r>
        <w:t>S.Portland</w:t>
      </w:r>
      <w:proofErr w:type="spellEnd"/>
      <w:proofErr w:type="gramEnd"/>
      <w:r>
        <w:t xml:space="preserve"> MSA) Franklin Coun</w:t>
      </w:r>
      <w:r>
        <w:t>ty</w:t>
      </w:r>
    </w:p>
    <w:p w:rsidR="00A33273" w:rsidRDefault="000206BB">
      <w:pPr>
        <w:pStyle w:val="BodyText"/>
        <w:ind w:left="520" w:right="4497"/>
      </w:pPr>
      <w:r>
        <w:t>Kennebec County Knox County Lincoln County Oxford County Sagadahoc County Somerset County</w:t>
      </w:r>
    </w:p>
    <w:p w:rsidR="00A33273" w:rsidRDefault="000206BB">
      <w:pPr>
        <w:pStyle w:val="BodyText"/>
        <w:spacing w:before="1"/>
        <w:ind w:left="520"/>
      </w:pPr>
      <w:r>
        <w:t>Waldo County (except Winterport)</w:t>
      </w:r>
    </w:p>
    <w:p w:rsidR="00A33273" w:rsidRDefault="000206BB">
      <w:pPr>
        <w:pStyle w:val="BodyText"/>
        <w:ind w:left="520" w:right="1270"/>
      </w:pPr>
      <w:r>
        <w:t xml:space="preserve">York County (except towns in Portsmouth, Dover- Durham, and Portland-South </w:t>
      </w:r>
      <w:r>
        <w:t>Portland MSAs</w:t>
      </w:r>
      <w:bookmarkStart w:id="0" w:name="_GoBack"/>
      <w:bookmarkEnd w:id="0"/>
      <w:r>
        <w:t>)</w:t>
      </w:r>
    </w:p>
    <w:sectPr w:rsidR="00A33273">
      <w:pgSz w:w="15840" w:h="12240" w:orient="landscape"/>
      <w:pgMar w:top="1080" w:right="1000" w:bottom="280" w:left="920" w:header="720" w:footer="720" w:gutter="0"/>
      <w:cols w:num="2" w:space="720" w:equalWidth="0">
        <w:col w:w="4909" w:space="1932"/>
        <w:col w:w="70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33273"/>
    <w:rsid w:val="000206BB"/>
    <w:rsid w:val="00A3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B79A"/>
  <w15:docId w15:val="{875946A9-C136-4500-AF7C-CA4D9C6E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461"/>
      <w:outlineLvl w:val="0"/>
    </w:pPr>
    <w:rPr>
      <w:b/>
      <w:bCs/>
      <w:sz w:val="28"/>
      <w:szCs w:val="28"/>
    </w:rPr>
  </w:style>
  <w:style w:type="paragraph" w:styleId="Heading2">
    <w:name w:val="heading 2"/>
    <w:basedOn w:val="Normal"/>
    <w:uiPriority w:val="1"/>
    <w:qFormat/>
    <w:pPr>
      <w:ind w:left="8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Maine Occupational Employment and Wage Estimates, May 2013</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Occupational Employment and Wage Estimates, May 2013</dc:title>
  <dc:creator>merrill.huhtala</dc:creator>
  <cp:lastModifiedBy>Morancy, Hunter H</cp:lastModifiedBy>
  <cp:revision>2</cp:revision>
  <dcterms:created xsi:type="dcterms:W3CDTF">2019-04-08T15:52:00Z</dcterms:created>
  <dcterms:modified xsi:type="dcterms:W3CDTF">2019-04-08T15:53:00Z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2019-04-08T00:00:00Z</vt:filetime>
  </property>
</Properties>
</file>