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BE0" w:rsidRPr="00140676" w:rsidRDefault="00D05BE0" w:rsidP="007234CA">
      <w:pPr>
        <w:pStyle w:val="DefaultText"/>
        <w:jc w:val="center"/>
        <w:rPr>
          <w:rFonts w:ascii="Arial" w:hAnsi="Arial" w:cs="Arial"/>
          <w:b/>
          <w:bCs/>
          <w:szCs w:val="24"/>
        </w:rPr>
      </w:pPr>
      <w:r w:rsidRPr="00140676">
        <w:rPr>
          <w:rFonts w:ascii="Arial" w:hAnsi="Arial" w:cs="Arial"/>
          <w:b/>
          <w:bCs/>
          <w:szCs w:val="24"/>
        </w:rPr>
        <w:t xml:space="preserve">RIDER E </w:t>
      </w:r>
    </w:p>
    <w:p w:rsidR="00D05BE0" w:rsidRPr="00140676" w:rsidRDefault="00D05BE0" w:rsidP="00140676">
      <w:pPr>
        <w:tabs>
          <w:tab w:val="left" w:pos="720"/>
          <w:tab w:val="left" w:pos="1440"/>
        </w:tabs>
        <w:jc w:val="center"/>
        <w:rPr>
          <w:rFonts w:ascii="Arial" w:hAnsi="Arial" w:cs="Arial"/>
        </w:rPr>
      </w:pPr>
      <w:r w:rsidRPr="00140676">
        <w:rPr>
          <w:rFonts w:ascii="Arial" w:hAnsi="Arial" w:cs="Arial"/>
          <w:b/>
          <w:bCs/>
        </w:rPr>
        <w:t>PROGRAM REQUIREMENTS</w:t>
      </w:r>
    </w:p>
    <w:p w:rsidR="00D05BE0" w:rsidRPr="00140676" w:rsidRDefault="00D05BE0" w:rsidP="007234CA">
      <w:pPr>
        <w:tabs>
          <w:tab w:val="left" w:pos="720"/>
          <w:tab w:val="left" w:pos="1440"/>
        </w:tabs>
        <w:rPr>
          <w:rFonts w:ascii="Arial" w:hAnsi="Arial" w:cs="Arial"/>
        </w:rPr>
      </w:pPr>
      <w:r w:rsidRPr="00140676">
        <w:rPr>
          <w:rFonts w:ascii="Arial" w:hAnsi="Arial" w:cs="Arial"/>
          <w:b/>
          <w:bCs/>
          <w:u w:val="single"/>
        </w:rPr>
        <w:t xml:space="preserve">                      </w:t>
      </w:r>
    </w:p>
    <w:p w:rsidR="00D05BE0" w:rsidRPr="00AF1A5A" w:rsidRDefault="00D05BE0" w:rsidP="00140676">
      <w:pPr>
        <w:pStyle w:val="ListParagraph"/>
        <w:widowControl w:val="0"/>
        <w:numPr>
          <w:ilvl w:val="0"/>
          <w:numId w:val="6"/>
        </w:numPr>
        <w:tabs>
          <w:tab w:val="left" w:pos="720"/>
        </w:tabs>
        <w:autoSpaceDE w:val="0"/>
        <w:autoSpaceDN w:val="0"/>
        <w:adjustRightInd w:val="0"/>
        <w:jc w:val="both"/>
        <w:rPr>
          <w:rFonts w:ascii="Arial" w:hAnsi="Arial" w:cs="Arial"/>
        </w:rPr>
      </w:pPr>
      <w:r>
        <w:rPr>
          <w:rFonts w:ascii="Arial" w:hAnsi="Arial" w:cs="Arial"/>
          <w:b/>
          <w:u w:val="single"/>
        </w:rPr>
        <w:t>FUNDING:</w:t>
      </w:r>
    </w:p>
    <w:p w:rsidR="00D05BE0" w:rsidRDefault="00D05BE0" w:rsidP="00AF1A5A">
      <w:pPr>
        <w:pStyle w:val="ListParagraph"/>
        <w:widowControl w:val="0"/>
        <w:tabs>
          <w:tab w:val="left" w:pos="720"/>
        </w:tabs>
        <w:autoSpaceDE w:val="0"/>
        <w:autoSpaceDN w:val="0"/>
        <w:adjustRightInd w:val="0"/>
        <w:ind w:left="360"/>
        <w:jc w:val="both"/>
        <w:rPr>
          <w:rFonts w:ascii="Arial" w:hAnsi="Arial" w:cs="Arial"/>
        </w:rPr>
      </w:pPr>
    </w:p>
    <w:p w:rsidR="00D05BE0" w:rsidRDefault="00D05BE0" w:rsidP="00AF1A5A">
      <w:pPr>
        <w:pStyle w:val="ListParagraph"/>
        <w:widowControl w:val="0"/>
        <w:tabs>
          <w:tab w:val="left" w:pos="720"/>
        </w:tabs>
        <w:autoSpaceDE w:val="0"/>
        <w:autoSpaceDN w:val="0"/>
        <w:adjustRightInd w:val="0"/>
        <w:ind w:left="360"/>
        <w:jc w:val="both"/>
        <w:rPr>
          <w:rFonts w:ascii="Arial" w:hAnsi="Arial" w:cs="Arial"/>
        </w:rPr>
      </w:pPr>
      <w:r w:rsidRPr="00140676">
        <w:rPr>
          <w:rFonts w:ascii="Arial" w:hAnsi="Arial" w:cs="Arial"/>
        </w:rPr>
        <w:t xml:space="preserve">All agreement Crime Victims Assistance Grant funds and corresponding state/local matching funds will be used only to provide direct services to victims.  The Provider agrees that the duties of the Victim Advocate funded through this Agreement specifically </w:t>
      </w:r>
      <w:r w:rsidRPr="00140676">
        <w:rPr>
          <w:rFonts w:ascii="Arial" w:hAnsi="Arial" w:cs="Arial"/>
          <w:u w:val="single"/>
        </w:rPr>
        <w:t>not include the investigation</w:t>
      </w:r>
      <w:r w:rsidRPr="00140676">
        <w:rPr>
          <w:rFonts w:ascii="Arial" w:hAnsi="Arial" w:cs="Arial"/>
        </w:rPr>
        <w:t xml:space="preserve"> of crimes.  The Provider will furnish local match (cash or in-kind) equal to 20% of the total cost of the Victim of Crime ACT (VOCA) funded program/services.</w:t>
      </w:r>
      <w:r>
        <w:rPr>
          <w:rFonts w:ascii="Arial" w:hAnsi="Arial" w:cs="Arial"/>
        </w:rPr>
        <w:t xml:space="preserve">  </w:t>
      </w:r>
    </w:p>
    <w:p w:rsidR="00D05BE0" w:rsidRDefault="00D05BE0" w:rsidP="00AF1A5A">
      <w:pPr>
        <w:pStyle w:val="ListParagraph"/>
        <w:widowControl w:val="0"/>
        <w:tabs>
          <w:tab w:val="left" w:pos="720"/>
        </w:tabs>
        <w:autoSpaceDE w:val="0"/>
        <w:autoSpaceDN w:val="0"/>
        <w:adjustRightInd w:val="0"/>
        <w:ind w:left="360"/>
        <w:jc w:val="both"/>
        <w:rPr>
          <w:rFonts w:ascii="Arial" w:hAnsi="Arial" w:cs="Arial"/>
        </w:rPr>
      </w:pPr>
    </w:p>
    <w:p w:rsidR="00D05BE0" w:rsidRPr="00140676" w:rsidRDefault="00D05BE0" w:rsidP="00AF1A5A">
      <w:pPr>
        <w:pStyle w:val="ListParagraph"/>
        <w:widowControl w:val="0"/>
        <w:tabs>
          <w:tab w:val="left" w:pos="720"/>
        </w:tabs>
        <w:autoSpaceDE w:val="0"/>
        <w:autoSpaceDN w:val="0"/>
        <w:adjustRightInd w:val="0"/>
        <w:ind w:left="360"/>
        <w:jc w:val="both"/>
        <w:rPr>
          <w:rFonts w:ascii="Arial" w:hAnsi="Arial" w:cs="Arial"/>
        </w:rPr>
      </w:pPr>
      <w:r w:rsidRPr="00AF1A5A">
        <w:rPr>
          <w:rFonts w:ascii="Arial" w:hAnsi="Arial" w:cs="Arial"/>
        </w:rPr>
        <w:t>Provider agrees to comply with all VOCA regulations as outlined at</w:t>
      </w:r>
      <w:r>
        <w:rPr>
          <w:rFonts w:ascii="Arial" w:hAnsi="Arial" w:cs="Arial"/>
        </w:rPr>
        <w:t xml:space="preserve"> </w:t>
      </w:r>
      <w:hyperlink r:id="rId8" w:history="1">
        <w:r w:rsidRPr="00140676">
          <w:rPr>
            <w:rStyle w:val="Hyperlink"/>
            <w:rFonts w:ascii="Arial" w:hAnsi="Arial" w:cs="Arial"/>
            <w:b/>
          </w:rPr>
          <w:t>http://www.ojp.usdoj.gov/ovc/welcovc/scad/guides/vaguide.htm</w:t>
        </w:r>
      </w:hyperlink>
      <w:r w:rsidRPr="00140676">
        <w:rPr>
          <w:rFonts w:ascii="Arial" w:hAnsi="Arial" w:cs="Arial"/>
        </w:rPr>
        <w:t xml:space="preserve">. </w:t>
      </w:r>
    </w:p>
    <w:p w:rsidR="00D05BE0" w:rsidRPr="00140676" w:rsidRDefault="00D05BE0" w:rsidP="00135A8F">
      <w:pPr>
        <w:tabs>
          <w:tab w:val="left" w:pos="720"/>
        </w:tabs>
        <w:ind w:left="720"/>
        <w:jc w:val="both"/>
        <w:rPr>
          <w:rFonts w:ascii="Arial" w:hAnsi="Arial" w:cs="Arial"/>
        </w:rPr>
      </w:pPr>
    </w:p>
    <w:p w:rsidR="00D05BE0" w:rsidRPr="00140676" w:rsidRDefault="00D05BE0" w:rsidP="00AF1A5A">
      <w:pPr>
        <w:ind w:left="360"/>
        <w:jc w:val="both"/>
        <w:rPr>
          <w:rFonts w:ascii="Arial" w:hAnsi="Arial" w:cs="Arial"/>
        </w:rPr>
      </w:pPr>
      <w:r w:rsidRPr="00140676">
        <w:rPr>
          <w:rFonts w:ascii="Arial" w:hAnsi="Arial" w:cs="Arial"/>
        </w:rPr>
        <w:t xml:space="preserve">Local matching funds of </w:t>
      </w:r>
      <w:r w:rsidRPr="00140676">
        <w:rPr>
          <w:rFonts w:ascii="Arial" w:hAnsi="Arial" w:cs="Arial"/>
          <w:b/>
        </w:rPr>
        <w:t>$XXXX</w:t>
      </w:r>
      <w:r w:rsidRPr="00140676">
        <w:rPr>
          <w:rFonts w:ascii="Arial" w:hAnsi="Arial" w:cs="Arial"/>
        </w:rPr>
        <w:t xml:space="preserve"> are comprised of the following income source(s</w:t>
      </w:r>
      <w:r w:rsidRPr="00140676">
        <w:rPr>
          <w:rFonts w:ascii="Arial" w:hAnsi="Arial" w:cs="Arial"/>
          <w:i/>
          <w:iCs/>
        </w:rPr>
        <w:t>).  (List specific source and amount from Rider F, Budget Form 1)</w:t>
      </w:r>
    </w:p>
    <w:p w:rsidR="00D05BE0" w:rsidRPr="00140676" w:rsidRDefault="00D05BE0" w:rsidP="007234CA">
      <w:pPr>
        <w:ind w:left="360"/>
        <w:rPr>
          <w:rFonts w:ascii="Arial" w:hAnsi="Arial" w:cs="Arial"/>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2"/>
        <w:gridCol w:w="3738"/>
        <w:gridCol w:w="1260"/>
        <w:gridCol w:w="1350"/>
        <w:gridCol w:w="1908"/>
      </w:tblGrid>
      <w:tr w:rsidR="00D05BE0" w:rsidRPr="00140676">
        <w:trPr>
          <w:trHeight w:val="629"/>
        </w:trPr>
        <w:tc>
          <w:tcPr>
            <w:tcW w:w="1122" w:type="dxa"/>
          </w:tcPr>
          <w:p w:rsidR="00D05BE0" w:rsidRPr="00140676" w:rsidRDefault="00D05BE0" w:rsidP="007234CA">
            <w:pPr>
              <w:jc w:val="center"/>
              <w:rPr>
                <w:rFonts w:ascii="Arial" w:hAnsi="Arial" w:cs="Arial"/>
                <w:b/>
                <w:bCs/>
              </w:rPr>
            </w:pPr>
            <w:r w:rsidRPr="00140676">
              <w:rPr>
                <w:rFonts w:ascii="Arial" w:hAnsi="Arial" w:cs="Arial"/>
                <w:b/>
                <w:bCs/>
              </w:rPr>
              <w:t>Income Line #</w:t>
            </w:r>
          </w:p>
        </w:tc>
        <w:tc>
          <w:tcPr>
            <w:tcW w:w="3738" w:type="dxa"/>
          </w:tcPr>
          <w:p w:rsidR="00D05BE0" w:rsidRPr="00140676" w:rsidRDefault="00D05BE0" w:rsidP="007234CA">
            <w:pPr>
              <w:jc w:val="center"/>
              <w:rPr>
                <w:rFonts w:ascii="Arial" w:hAnsi="Arial" w:cs="Arial"/>
                <w:b/>
                <w:bCs/>
              </w:rPr>
            </w:pPr>
            <w:r w:rsidRPr="00140676">
              <w:rPr>
                <w:rFonts w:ascii="Arial" w:hAnsi="Arial" w:cs="Arial"/>
                <w:b/>
                <w:bCs/>
              </w:rPr>
              <w:t>Income Source</w:t>
            </w:r>
          </w:p>
        </w:tc>
        <w:tc>
          <w:tcPr>
            <w:tcW w:w="1260" w:type="dxa"/>
          </w:tcPr>
          <w:p w:rsidR="00D05BE0" w:rsidRPr="00140676" w:rsidRDefault="00D05BE0" w:rsidP="007234CA">
            <w:pPr>
              <w:jc w:val="center"/>
              <w:rPr>
                <w:rFonts w:ascii="Arial" w:hAnsi="Arial" w:cs="Arial"/>
                <w:b/>
                <w:bCs/>
              </w:rPr>
            </w:pPr>
            <w:r w:rsidRPr="00140676">
              <w:rPr>
                <w:rFonts w:ascii="Arial" w:hAnsi="Arial" w:cs="Arial"/>
                <w:b/>
                <w:bCs/>
              </w:rPr>
              <w:t>Check if Cash</w:t>
            </w:r>
          </w:p>
        </w:tc>
        <w:tc>
          <w:tcPr>
            <w:tcW w:w="1350" w:type="dxa"/>
          </w:tcPr>
          <w:p w:rsidR="00D05BE0" w:rsidRPr="00140676" w:rsidRDefault="00D05BE0" w:rsidP="007234CA">
            <w:pPr>
              <w:jc w:val="center"/>
              <w:rPr>
                <w:rFonts w:ascii="Arial" w:hAnsi="Arial" w:cs="Arial"/>
                <w:b/>
                <w:bCs/>
              </w:rPr>
            </w:pPr>
            <w:r w:rsidRPr="00140676">
              <w:rPr>
                <w:rFonts w:ascii="Arial" w:hAnsi="Arial" w:cs="Arial"/>
                <w:b/>
                <w:bCs/>
              </w:rPr>
              <w:t>Check if In-kind</w:t>
            </w:r>
          </w:p>
        </w:tc>
        <w:tc>
          <w:tcPr>
            <w:tcW w:w="1908" w:type="dxa"/>
          </w:tcPr>
          <w:p w:rsidR="00D05BE0" w:rsidRPr="00140676" w:rsidRDefault="00D05BE0" w:rsidP="007234CA">
            <w:pPr>
              <w:jc w:val="center"/>
              <w:rPr>
                <w:rFonts w:ascii="Arial" w:hAnsi="Arial" w:cs="Arial"/>
                <w:b/>
                <w:bCs/>
              </w:rPr>
            </w:pPr>
            <w:r w:rsidRPr="00140676">
              <w:rPr>
                <w:rFonts w:ascii="Arial" w:hAnsi="Arial" w:cs="Arial"/>
                <w:b/>
                <w:bCs/>
              </w:rPr>
              <w:t>Amount</w:t>
            </w:r>
          </w:p>
        </w:tc>
      </w:tr>
      <w:tr w:rsidR="00D05BE0" w:rsidRPr="00140676">
        <w:tc>
          <w:tcPr>
            <w:tcW w:w="1122" w:type="dxa"/>
          </w:tcPr>
          <w:p w:rsidR="00D05BE0" w:rsidRPr="00140676" w:rsidRDefault="00D05BE0" w:rsidP="007234CA">
            <w:pPr>
              <w:rPr>
                <w:rFonts w:ascii="Arial" w:hAnsi="Arial" w:cs="Arial"/>
              </w:rPr>
            </w:pPr>
          </w:p>
        </w:tc>
        <w:tc>
          <w:tcPr>
            <w:tcW w:w="3738" w:type="dxa"/>
          </w:tcPr>
          <w:p w:rsidR="00D05BE0" w:rsidRPr="00140676" w:rsidRDefault="00D05BE0" w:rsidP="007234CA">
            <w:pPr>
              <w:rPr>
                <w:rFonts w:ascii="Arial" w:hAnsi="Arial" w:cs="Arial"/>
              </w:rPr>
            </w:pPr>
          </w:p>
        </w:tc>
        <w:tc>
          <w:tcPr>
            <w:tcW w:w="1260" w:type="dxa"/>
          </w:tcPr>
          <w:p w:rsidR="00D05BE0" w:rsidRPr="00140676" w:rsidRDefault="00D05BE0" w:rsidP="007234CA">
            <w:pPr>
              <w:rPr>
                <w:rFonts w:ascii="Arial" w:hAnsi="Arial" w:cs="Arial"/>
              </w:rPr>
            </w:pPr>
          </w:p>
        </w:tc>
        <w:tc>
          <w:tcPr>
            <w:tcW w:w="1350" w:type="dxa"/>
          </w:tcPr>
          <w:p w:rsidR="00D05BE0" w:rsidRPr="00140676" w:rsidRDefault="00D05BE0" w:rsidP="007234CA">
            <w:pPr>
              <w:rPr>
                <w:rFonts w:ascii="Arial" w:hAnsi="Arial" w:cs="Arial"/>
              </w:rPr>
            </w:pPr>
          </w:p>
        </w:tc>
        <w:tc>
          <w:tcPr>
            <w:tcW w:w="1908" w:type="dxa"/>
          </w:tcPr>
          <w:p w:rsidR="00D05BE0" w:rsidRPr="00140676" w:rsidRDefault="00D05BE0" w:rsidP="007234CA">
            <w:pPr>
              <w:rPr>
                <w:rFonts w:ascii="Arial" w:hAnsi="Arial" w:cs="Arial"/>
              </w:rPr>
            </w:pPr>
          </w:p>
        </w:tc>
      </w:tr>
      <w:tr w:rsidR="00D05BE0" w:rsidRPr="00140676">
        <w:tc>
          <w:tcPr>
            <w:tcW w:w="1122" w:type="dxa"/>
          </w:tcPr>
          <w:p w:rsidR="00D05BE0" w:rsidRPr="00140676" w:rsidRDefault="00D05BE0" w:rsidP="007234CA">
            <w:pPr>
              <w:rPr>
                <w:rFonts w:ascii="Arial" w:hAnsi="Arial" w:cs="Arial"/>
              </w:rPr>
            </w:pPr>
          </w:p>
        </w:tc>
        <w:tc>
          <w:tcPr>
            <w:tcW w:w="3738" w:type="dxa"/>
          </w:tcPr>
          <w:p w:rsidR="00D05BE0" w:rsidRPr="00140676" w:rsidRDefault="00D05BE0" w:rsidP="007234CA">
            <w:pPr>
              <w:rPr>
                <w:rFonts w:ascii="Arial" w:hAnsi="Arial" w:cs="Arial"/>
              </w:rPr>
            </w:pPr>
          </w:p>
        </w:tc>
        <w:tc>
          <w:tcPr>
            <w:tcW w:w="1260" w:type="dxa"/>
          </w:tcPr>
          <w:p w:rsidR="00D05BE0" w:rsidRPr="00140676" w:rsidRDefault="00D05BE0" w:rsidP="007234CA">
            <w:pPr>
              <w:rPr>
                <w:rFonts w:ascii="Arial" w:hAnsi="Arial" w:cs="Arial"/>
              </w:rPr>
            </w:pPr>
          </w:p>
        </w:tc>
        <w:tc>
          <w:tcPr>
            <w:tcW w:w="1350" w:type="dxa"/>
          </w:tcPr>
          <w:p w:rsidR="00D05BE0" w:rsidRPr="00140676" w:rsidRDefault="00D05BE0" w:rsidP="007234CA">
            <w:pPr>
              <w:rPr>
                <w:rFonts w:ascii="Arial" w:hAnsi="Arial" w:cs="Arial"/>
              </w:rPr>
            </w:pPr>
          </w:p>
        </w:tc>
        <w:tc>
          <w:tcPr>
            <w:tcW w:w="1908" w:type="dxa"/>
          </w:tcPr>
          <w:p w:rsidR="00D05BE0" w:rsidRPr="00140676" w:rsidRDefault="00D05BE0" w:rsidP="007234CA">
            <w:pPr>
              <w:rPr>
                <w:rFonts w:ascii="Arial" w:hAnsi="Arial" w:cs="Arial"/>
              </w:rPr>
            </w:pPr>
          </w:p>
        </w:tc>
      </w:tr>
    </w:tbl>
    <w:p w:rsidR="00D05BE0" w:rsidRDefault="00D05BE0" w:rsidP="007234CA">
      <w:pPr>
        <w:ind w:left="90"/>
        <w:rPr>
          <w:rFonts w:ascii="Arial" w:hAnsi="Arial" w:cs="Arial"/>
          <w:b/>
          <w:bCs/>
        </w:rPr>
      </w:pPr>
    </w:p>
    <w:p w:rsidR="00D05BE0" w:rsidRPr="00AF1A5A" w:rsidRDefault="00D05BE0" w:rsidP="007234CA">
      <w:pPr>
        <w:ind w:left="90"/>
        <w:rPr>
          <w:rFonts w:ascii="Arial" w:hAnsi="Arial" w:cs="Arial"/>
          <w:bCs/>
        </w:rPr>
      </w:pPr>
      <w:r w:rsidRPr="00AF1A5A">
        <w:rPr>
          <w:rFonts w:ascii="Arial" w:hAnsi="Arial" w:cs="Arial"/>
          <w:bCs/>
        </w:rPr>
        <w:t xml:space="preserve">All funds designated as local matching funds are restricted to the same allowable </w:t>
      </w:r>
      <w:proofErr w:type="gramStart"/>
      <w:r w:rsidRPr="00AF1A5A">
        <w:rPr>
          <w:rFonts w:ascii="Arial" w:hAnsi="Arial" w:cs="Arial"/>
          <w:bCs/>
        </w:rPr>
        <w:t>expenses</w:t>
      </w:r>
      <w:proofErr w:type="gramEnd"/>
      <w:r w:rsidRPr="00AF1A5A">
        <w:rPr>
          <w:rFonts w:ascii="Arial" w:hAnsi="Arial" w:cs="Arial"/>
          <w:bCs/>
        </w:rPr>
        <w:t xml:space="preserve"> as the VOCA funds.</w:t>
      </w:r>
    </w:p>
    <w:p w:rsidR="00D05BE0" w:rsidRPr="00140676" w:rsidRDefault="00D05BE0" w:rsidP="007234CA">
      <w:pPr>
        <w:tabs>
          <w:tab w:val="left" w:pos="720"/>
          <w:tab w:val="left" w:pos="1080"/>
        </w:tabs>
        <w:ind w:left="1080" w:hanging="360"/>
        <w:rPr>
          <w:rFonts w:ascii="Arial" w:hAnsi="Arial" w:cs="Arial"/>
          <w:b/>
          <w:bCs/>
        </w:rPr>
      </w:pPr>
    </w:p>
    <w:p w:rsidR="00D05BE0" w:rsidRPr="00140676" w:rsidRDefault="00D05BE0" w:rsidP="00AF1A5A">
      <w:pPr>
        <w:tabs>
          <w:tab w:val="left" w:pos="720"/>
          <w:tab w:val="left" w:pos="1080"/>
        </w:tabs>
        <w:rPr>
          <w:rFonts w:ascii="Arial" w:hAnsi="Arial" w:cs="Arial"/>
        </w:rPr>
      </w:pPr>
      <w:r w:rsidRPr="00140676">
        <w:rPr>
          <w:rFonts w:ascii="Arial" w:hAnsi="Arial" w:cs="Arial"/>
        </w:rPr>
        <w:t xml:space="preserve">The specific expenses to be paid with the </w:t>
      </w:r>
      <w:r w:rsidRPr="00140676">
        <w:rPr>
          <w:rFonts w:ascii="Arial" w:hAnsi="Arial" w:cs="Arial"/>
          <w:b/>
        </w:rPr>
        <w:t>VOCA</w:t>
      </w:r>
      <w:r w:rsidRPr="00140676">
        <w:rPr>
          <w:rFonts w:ascii="Arial" w:hAnsi="Arial" w:cs="Arial"/>
        </w:rPr>
        <w:t xml:space="preserve"> local share matching funds are:</w:t>
      </w:r>
    </w:p>
    <w:p w:rsidR="00D05BE0" w:rsidRPr="00140676" w:rsidRDefault="00D05BE0" w:rsidP="007234CA">
      <w:pPr>
        <w:tabs>
          <w:tab w:val="left" w:pos="720"/>
          <w:tab w:val="left" w:pos="1080"/>
        </w:tabs>
        <w:ind w:left="1080" w:hanging="360"/>
        <w:rPr>
          <w:rFonts w:ascii="Arial" w:hAnsi="Arial" w:cs="Arial"/>
          <w:b/>
          <w:bCs/>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4"/>
        <w:gridCol w:w="3689"/>
        <w:gridCol w:w="1253"/>
        <w:gridCol w:w="1341"/>
        <w:gridCol w:w="1891"/>
      </w:tblGrid>
      <w:tr w:rsidR="00D05BE0" w:rsidRPr="00140676">
        <w:tc>
          <w:tcPr>
            <w:tcW w:w="1122" w:type="dxa"/>
          </w:tcPr>
          <w:p w:rsidR="00D05BE0" w:rsidRPr="00140676" w:rsidRDefault="00D05BE0" w:rsidP="007234CA">
            <w:pPr>
              <w:jc w:val="center"/>
              <w:rPr>
                <w:rFonts w:ascii="Arial" w:hAnsi="Arial" w:cs="Arial"/>
                <w:b/>
                <w:bCs/>
              </w:rPr>
            </w:pPr>
            <w:r w:rsidRPr="00140676">
              <w:rPr>
                <w:rFonts w:ascii="Arial" w:hAnsi="Arial" w:cs="Arial"/>
                <w:b/>
                <w:bCs/>
              </w:rPr>
              <w:t>Expense Line #</w:t>
            </w:r>
          </w:p>
        </w:tc>
        <w:tc>
          <w:tcPr>
            <w:tcW w:w="3738" w:type="dxa"/>
          </w:tcPr>
          <w:p w:rsidR="00D05BE0" w:rsidRPr="00140676" w:rsidRDefault="00D05BE0" w:rsidP="007234CA">
            <w:pPr>
              <w:jc w:val="center"/>
              <w:rPr>
                <w:rFonts w:ascii="Arial" w:hAnsi="Arial" w:cs="Arial"/>
                <w:b/>
                <w:bCs/>
              </w:rPr>
            </w:pPr>
            <w:r w:rsidRPr="00140676">
              <w:rPr>
                <w:rFonts w:ascii="Arial" w:hAnsi="Arial" w:cs="Arial"/>
                <w:b/>
                <w:bCs/>
              </w:rPr>
              <w:t>Description of Expense</w:t>
            </w:r>
          </w:p>
        </w:tc>
        <w:tc>
          <w:tcPr>
            <w:tcW w:w="1260" w:type="dxa"/>
          </w:tcPr>
          <w:p w:rsidR="00D05BE0" w:rsidRPr="00140676" w:rsidRDefault="00D05BE0" w:rsidP="007234CA">
            <w:pPr>
              <w:jc w:val="center"/>
              <w:rPr>
                <w:rFonts w:ascii="Arial" w:hAnsi="Arial" w:cs="Arial"/>
                <w:b/>
                <w:bCs/>
              </w:rPr>
            </w:pPr>
            <w:r w:rsidRPr="00140676">
              <w:rPr>
                <w:rFonts w:ascii="Arial" w:hAnsi="Arial" w:cs="Arial"/>
                <w:b/>
                <w:bCs/>
              </w:rPr>
              <w:t>Check if Cash</w:t>
            </w:r>
          </w:p>
        </w:tc>
        <w:tc>
          <w:tcPr>
            <w:tcW w:w="1350" w:type="dxa"/>
          </w:tcPr>
          <w:p w:rsidR="00D05BE0" w:rsidRPr="00140676" w:rsidRDefault="00D05BE0" w:rsidP="007234CA">
            <w:pPr>
              <w:jc w:val="center"/>
              <w:rPr>
                <w:rFonts w:ascii="Arial" w:hAnsi="Arial" w:cs="Arial"/>
                <w:b/>
                <w:bCs/>
              </w:rPr>
            </w:pPr>
            <w:r w:rsidRPr="00140676">
              <w:rPr>
                <w:rFonts w:ascii="Arial" w:hAnsi="Arial" w:cs="Arial"/>
                <w:b/>
                <w:bCs/>
              </w:rPr>
              <w:t>Check if In-kind</w:t>
            </w:r>
          </w:p>
        </w:tc>
        <w:tc>
          <w:tcPr>
            <w:tcW w:w="1908" w:type="dxa"/>
          </w:tcPr>
          <w:p w:rsidR="00D05BE0" w:rsidRPr="00140676" w:rsidRDefault="00D05BE0" w:rsidP="007234CA">
            <w:pPr>
              <w:jc w:val="center"/>
              <w:rPr>
                <w:rFonts w:ascii="Arial" w:hAnsi="Arial" w:cs="Arial"/>
                <w:b/>
                <w:bCs/>
              </w:rPr>
            </w:pPr>
            <w:r w:rsidRPr="00140676">
              <w:rPr>
                <w:rFonts w:ascii="Arial" w:hAnsi="Arial" w:cs="Arial"/>
                <w:b/>
                <w:bCs/>
              </w:rPr>
              <w:t>Amount</w:t>
            </w:r>
          </w:p>
        </w:tc>
      </w:tr>
      <w:tr w:rsidR="00D05BE0" w:rsidRPr="00140676">
        <w:tc>
          <w:tcPr>
            <w:tcW w:w="1122" w:type="dxa"/>
          </w:tcPr>
          <w:p w:rsidR="00D05BE0" w:rsidRPr="00140676" w:rsidRDefault="00D05BE0" w:rsidP="007234CA">
            <w:pPr>
              <w:rPr>
                <w:rFonts w:ascii="Arial" w:hAnsi="Arial" w:cs="Arial"/>
              </w:rPr>
            </w:pPr>
          </w:p>
        </w:tc>
        <w:tc>
          <w:tcPr>
            <w:tcW w:w="3738" w:type="dxa"/>
          </w:tcPr>
          <w:p w:rsidR="00D05BE0" w:rsidRPr="00140676" w:rsidRDefault="00D05BE0" w:rsidP="007234CA">
            <w:pPr>
              <w:rPr>
                <w:rFonts w:ascii="Arial" w:hAnsi="Arial" w:cs="Arial"/>
              </w:rPr>
            </w:pPr>
          </w:p>
        </w:tc>
        <w:tc>
          <w:tcPr>
            <w:tcW w:w="1260" w:type="dxa"/>
          </w:tcPr>
          <w:p w:rsidR="00D05BE0" w:rsidRPr="00140676" w:rsidRDefault="00D05BE0" w:rsidP="007234CA">
            <w:pPr>
              <w:rPr>
                <w:rFonts w:ascii="Arial" w:hAnsi="Arial" w:cs="Arial"/>
              </w:rPr>
            </w:pPr>
          </w:p>
        </w:tc>
        <w:tc>
          <w:tcPr>
            <w:tcW w:w="1350" w:type="dxa"/>
          </w:tcPr>
          <w:p w:rsidR="00D05BE0" w:rsidRPr="00140676" w:rsidRDefault="00D05BE0" w:rsidP="007234CA">
            <w:pPr>
              <w:rPr>
                <w:rFonts w:ascii="Arial" w:hAnsi="Arial" w:cs="Arial"/>
              </w:rPr>
            </w:pPr>
          </w:p>
        </w:tc>
        <w:tc>
          <w:tcPr>
            <w:tcW w:w="1908" w:type="dxa"/>
          </w:tcPr>
          <w:p w:rsidR="00D05BE0" w:rsidRPr="00140676" w:rsidRDefault="00D05BE0" w:rsidP="007234CA">
            <w:pPr>
              <w:rPr>
                <w:rFonts w:ascii="Arial" w:hAnsi="Arial" w:cs="Arial"/>
              </w:rPr>
            </w:pPr>
          </w:p>
        </w:tc>
      </w:tr>
      <w:tr w:rsidR="00D05BE0" w:rsidRPr="00140676">
        <w:tc>
          <w:tcPr>
            <w:tcW w:w="1122" w:type="dxa"/>
          </w:tcPr>
          <w:p w:rsidR="00D05BE0" w:rsidRPr="00140676" w:rsidRDefault="00D05BE0" w:rsidP="007234CA">
            <w:pPr>
              <w:rPr>
                <w:rFonts w:ascii="Arial" w:hAnsi="Arial" w:cs="Arial"/>
              </w:rPr>
            </w:pPr>
          </w:p>
        </w:tc>
        <w:tc>
          <w:tcPr>
            <w:tcW w:w="3738" w:type="dxa"/>
          </w:tcPr>
          <w:p w:rsidR="00D05BE0" w:rsidRPr="00140676" w:rsidRDefault="00D05BE0" w:rsidP="007234CA">
            <w:pPr>
              <w:rPr>
                <w:rFonts w:ascii="Arial" w:hAnsi="Arial" w:cs="Arial"/>
              </w:rPr>
            </w:pPr>
          </w:p>
        </w:tc>
        <w:tc>
          <w:tcPr>
            <w:tcW w:w="1260" w:type="dxa"/>
          </w:tcPr>
          <w:p w:rsidR="00D05BE0" w:rsidRPr="00140676" w:rsidRDefault="00D05BE0" w:rsidP="007234CA">
            <w:pPr>
              <w:rPr>
                <w:rFonts w:ascii="Arial" w:hAnsi="Arial" w:cs="Arial"/>
              </w:rPr>
            </w:pPr>
          </w:p>
        </w:tc>
        <w:tc>
          <w:tcPr>
            <w:tcW w:w="1350" w:type="dxa"/>
          </w:tcPr>
          <w:p w:rsidR="00D05BE0" w:rsidRPr="00140676" w:rsidRDefault="00D05BE0" w:rsidP="007234CA">
            <w:pPr>
              <w:rPr>
                <w:rFonts w:ascii="Arial" w:hAnsi="Arial" w:cs="Arial"/>
              </w:rPr>
            </w:pPr>
          </w:p>
        </w:tc>
        <w:tc>
          <w:tcPr>
            <w:tcW w:w="1908" w:type="dxa"/>
          </w:tcPr>
          <w:p w:rsidR="00D05BE0" w:rsidRPr="00140676" w:rsidRDefault="00D05BE0" w:rsidP="007234CA">
            <w:pPr>
              <w:rPr>
                <w:rFonts w:ascii="Arial" w:hAnsi="Arial" w:cs="Arial"/>
              </w:rPr>
            </w:pPr>
          </w:p>
        </w:tc>
      </w:tr>
    </w:tbl>
    <w:p w:rsidR="00D05BE0" w:rsidRPr="00140676" w:rsidRDefault="00D05BE0" w:rsidP="007234CA">
      <w:pPr>
        <w:tabs>
          <w:tab w:val="left" w:pos="720"/>
          <w:tab w:val="left" w:pos="1440"/>
        </w:tabs>
        <w:ind w:left="720" w:hanging="720"/>
        <w:rPr>
          <w:rFonts w:ascii="Arial" w:hAnsi="Arial" w:cs="Arial"/>
          <w:b/>
          <w:bCs/>
        </w:rPr>
      </w:pPr>
      <w:r w:rsidRPr="00140676">
        <w:rPr>
          <w:rFonts w:ascii="Arial" w:hAnsi="Arial" w:cs="Arial"/>
        </w:rPr>
        <w:tab/>
      </w:r>
    </w:p>
    <w:p w:rsidR="00D05BE0" w:rsidRPr="00140676" w:rsidRDefault="00D05BE0" w:rsidP="00AF1A5A">
      <w:pPr>
        <w:widowControl w:val="0"/>
        <w:autoSpaceDE w:val="0"/>
        <w:autoSpaceDN w:val="0"/>
        <w:adjustRightInd w:val="0"/>
        <w:jc w:val="both"/>
        <w:rPr>
          <w:rFonts w:ascii="Arial" w:hAnsi="Arial" w:cs="Arial"/>
        </w:rPr>
      </w:pPr>
      <w:r w:rsidRPr="00140676">
        <w:rPr>
          <w:rFonts w:ascii="Arial" w:hAnsi="Arial" w:cs="Arial"/>
        </w:rPr>
        <w:t>No fees will be charged to victims for services provided in this agreement.</w:t>
      </w:r>
      <w:r>
        <w:rPr>
          <w:rFonts w:ascii="Arial" w:hAnsi="Arial" w:cs="Arial"/>
        </w:rPr>
        <w:t xml:space="preserve">  </w:t>
      </w:r>
      <w:r w:rsidRPr="00140676">
        <w:rPr>
          <w:rFonts w:ascii="Arial" w:hAnsi="Arial" w:cs="Arial"/>
        </w:rPr>
        <w:t>The Provider agrees to provide assistance to all victims in applying for Crime Victim compens</w:t>
      </w:r>
      <w:r>
        <w:rPr>
          <w:rFonts w:ascii="Arial" w:hAnsi="Arial" w:cs="Arial"/>
        </w:rPr>
        <w:t xml:space="preserve">ation and restitution benefits.  </w:t>
      </w:r>
      <w:r w:rsidRPr="00140676">
        <w:rPr>
          <w:rFonts w:ascii="Arial" w:hAnsi="Arial" w:cs="Arial"/>
        </w:rPr>
        <w:t xml:space="preserve">The State Crime Victims Assistance Administrator for this agreement </w:t>
      </w:r>
      <w:r w:rsidRPr="00AF1A5A">
        <w:rPr>
          <w:rFonts w:ascii="Arial" w:hAnsi="Arial" w:cs="Arial"/>
          <w:bCs/>
        </w:rPr>
        <w:t>waives</w:t>
      </w:r>
      <w:r w:rsidRPr="00140676">
        <w:rPr>
          <w:rFonts w:ascii="Arial" w:hAnsi="Arial" w:cs="Arial"/>
        </w:rPr>
        <w:t xml:space="preserve"> the Crime Victims Assistance Grant requirement on the use of volunteers.</w:t>
      </w:r>
    </w:p>
    <w:p w:rsidR="00D05BE0" w:rsidRPr="00140676" w:rsidRDefault="00D05BE0" w:rsidP="00135A8F">
      <w:pPr>
        <w:tabs>
          <w:tab w:val="left" w:pos="720"/>
          <w:tab w:val="left" w:pos="1440"/>
        </w:tabs>
        <w:jc w:val="both"/>
        <w:rPr>
          <w:rFonts w:ascii="Arial" w:hAnsi="Arial" w:cs="Arial"/>
        </w:rPr>
      </w:pPr>
    </w:p>
    <w:p w:rsidR="00D05BE0" w:rsidRPr="00140676" w:rsidRDefault="00D05BE0" w:rsidP="00AF1A5A">
      <w:pPr>
        <w:tabs>
          <w:tab w:val="left" w:pos="720"/>
        </w:tabs>
        <w:jc w:val="both"/>
        <w:rPr>
          <w:rFonts w:ascii="Arial" w:hAnsi="Arial" w:cs="Arial"/>
          <w:b/>
          <w:bCs/>
        </w:rPr>
      </w:pPr>
      <w:r w:rsidRPr="00140676">
        <w:rPr>
          <w:rFonts w:ascii="Arial" w:hAnsi="Arial" w:cs="Arial"/>
        </w:rPr>
        <w:t xml:space="preserve">The Provider agrees that when any staff in its </w:t>
      </w:r>
      <w:r>
        <w:rPr>
          <w:rFonts w:ascii="Arial" w:hAnsi="Arial" w:cs="Arial"/>
        </w:rPr>
        <w:t xml:space="preserve">employ under this agreement has </w:t>
      </w:r>
      <w:r w:rsidRPr="00140676">
        <w:rPr>
          <w:rFonts w:ascii="Arial" w:hAnsi="Arial" w:cs="Arial"/>
        </w:rPr>
        <w:t>reasonable cause to suspect that a child or an adult has been or is likely to be abused or neglected, the Provider shall cause a report to be made to t</w:t>
      </w:r>
      <w:r>
        <w:rPr>
          <w:rFonts w:ascii="Arial" w:hAnsi="Arial" w:cs="Arial"/>
        </w:rPr>
        <w:t xml:space="preserve">he </w:t>
      </w:r>
      <w:proofErr w:type="spellStart"/>
      <w:r>
        <w:rPr>
          <w:rFonts w:ascii="Arial" w:hAnsi="Arial" w:cs="Arial"/>
        </w:rPr>
        <w:t>Department</w:t>
      </w:r>
      <w:r w:rsidRPr="00140676">
        <w:rPr>
          <w:rFonts w:ascii="Arial" w:hAnsi="Arial" w:cs="Arial"/>
        </w:rPr>
        <w:t>pursuant</w:t>
      </w:r>
      <w:proofErr w:type="spellEnd"/>
      <w:r w:rsidRPr="00140676">
        <w:rPr>
          <w:rFonts w:ascii="Arial" w:hAnsi="Arial" w:cs="Arial"/>
        </w:rPr>
        <w:t xml:space="preserve"> to 22 MRSA  §§ 3477 and 4011.</w:t>
      </w:r>
    </w:p>
    <w:p w:rsidR="00D05BE0" w:rsidRPr="00140676" w:rsidRDefault="00D05BE0" w:rsidP="007234CA">
      <w:pPr>
        <w:tabs>
          <w:tab w:val="left" w:pos="720"/>
          <w:tab w:val="left" w:pos="1440"/>
        </w:tabs>
        <w:rPr>
          <w:rFonts w:ascii="Arial" w:hAnsi="Arial" w:cs="Arial"/>
        </w:rPr>
      </w:pPr>
    </w:p>
    <w:p w:rsidR="00D05BE0" w:rsidRPr="00140676" w:rsidRDefault="00D05BE0" w:rsidP="007234CA">
      <w:pPr>
        <w:tabs>
          <w:tab w:val="left" w:pos="720"/>
          <w:tab w:val="left" w:pos="1440"/>
        </w:tabs>
        <w:rPr>
          <w:rFonts w:ascii="Arial" w:hAnsi="Arial" w:cs="Arial"/>
        </w:rPr>
      </w:pPr>
      <w:r w:rsidRPr="00140676">
        <w:rPr>
          <w:rFonts w:ascii="Arial" w:hAnsi="Arial" w:cs="Arial"/>
        </w:rPr>
        <w:t>2.</w:t>
      </w:r>
      <w:r w:rsidRPr="00140676">
        <w:rPr>
          <w:rFonts w:ascii="Arial" w:hAnsi="Arial" w:cs="Arial"/>
        </w:rPr>
        <w:tab/>
      </w:r>
      <w:r w:rsidRPr="00140676">
        <w:rPr>
          <w:rFonts w:ascii="Arial" w:hAnsi="Arial" w:cs="Arial"/>
          <w:b/>
          <w:bCs/>
          <w:u w:val="single"/>
        </w:rPr>
        <w:t>INCOME OR OTHER ELIGIBILITY</w:t>
      </w:r>
      <w:r w:rsidRPr="00140676">
        <w:rPr>
          <w:rFonts w:ascii="Arial" w:hAnsi="Arial" w:cs="Arial"/>
        </w:rPr>
        <w:t>:</w:t>
      </w:r>
      <w:r w:rsidRPr="00140676">
        <w:rPr>
          <w:rFonts w:ascii="Arial" w:hAnsi="Arial" w:cs="Arial"/>
        </w:rPr>
        <w:tab/>
      </w:r>
    </w:p>
    <w:p w:rsidR="00D05BE0" w:rsidRPr="00140676" w:rsidRDefault="00D05BE0" w:rsidP="007234CA">
      <w:pPr>
        <w:tabs>
          <w:tab w:val="left" w:pos="720"/>
          <w:tab w:val="left" w:pos="1440"/>
        </w:tabs>
        <w:rPr>
          <w:rFonts w:ascii="Arial" w:hAnsi="Arial" w:cs="Arial"/>
        </w:rPr>
      </w:pPr>
      <w:bookmarkStart w:id="0" w:name="_GoBack"/>
      <w:bookmarkEnd w:id="0"/>
    </w:p>
    <w:p w:rsidR="00D05BE0" w:rsidRPr="00140676" w:rsidRDefault="00D05BE0" w:rsidP="00135A8F">
      <w:pPr>
        <w:tabs>
          <w:tab w:val="left" w:pos="720"/>
          <w:tab w:val="left" w:pos="1440"/>
        </w:tabs>
        <w:ind w:left="720" w:hanging="720"/>
        <w:jc w:val="both"/>
        <w:rPr>
          <w:rFonts w:ascii="Arial" w:hAnsi="Arial" w:cs="Arial"/>
        </w:rPr>
      </w:pPr>
      <w:r w:rsidRPr="00140676">
        <w:rPr>
          <w:rFonts w:ascii="Arial" w:hAnsi="Arial" w:cs="Arial"/>
        </w:rPr>
        <w:lastRenderedPageBreak/>
        <w:tab/>
        <w:t>There are no income eligibility requirements for this service.  All clients are eligible without regard to income.</w:t>
      </w:r>
    </w:p>
    <w:p w:rsidR="00D05BE0" w:rsidRPr="00140676" w:rsidRDefault="00D05BE0" w:rsidP="007234CA">
      <w:pPr>
        <w:tabs>
          <w:tab w:val="left" w:pos="720"/>
          <w:tab w:val="left" w:pos="1440"/>
        </w:tabs>
        <w:rPr>
          <w:rFonts w:ascii="Arial" w:hAnsi="Arial" w:cs="Arial"/>
        </w:rPr>
      </w:pPr>
    </w:p>
    <w:p w:rsidR="00D05BE0" w:rsidRPr="00140676" w:rsidRDefault="00D05BE0" w:rsidP="007234CA">
      <w:pPr>
        <w:tabs>
          <w:tab w:val="left" w:pos="720"/>
          <w:tab w:val="left" w:pos="1440"/>
        </w:tabs>
        <w:rPr>
          <w:rFonts w:ascii="Arial" w:hAnsi="Arial" w:cs="Arial"/>
        </w:rPr>
      </w:pPr>
      <w:r w:rsidRPr="00140676">
        <w:rPr>
          <w:rFonts w:ascii="Arial" w:hAnsi="Arial" w:cs="Arial"/>
        </w:rPr>
        <w:t>3.</w:t>
      </w:r>
      <w:r w:rsidRPr="00140676">
        <w:rPr>
          <w:rFonts w:ascii="Arial" w:hAnsi="Arial" w:cs="Arial"/>
        </w:rPr>
        <w:tab/>
      </w:r>
      <w:r w:rsidRPr="00140676">
        <w:rPr>
          <w:rFonts w:ascii="Arial" w:hAnsi="Arial" w:cs="Arial"/>
          <w:b/>
          <w:bCs/>
          <w:u w:val="single"/>
        </w:rPr>
        <w:t>SETTLEMENT TERMS</w:t>
      </w:r>
      <w:r w:rsidRPr="00140676">
        <w:rPr>
          <w:rFonts w:ascii="Arial" w:hAnsi="Arial" w:cs="Arial"/>
        </w:rPr>
        <w:t>:</w:t>
      </w:r>
    </w:p>
    <w:p w:rsidR="00D05BE0" w:rsidRPr="00140676" w:rsidRDefault="00D05BE0" w:rsidP="007234CA">
      <w:pPr>
        <w:tabs>
          <w:tab w:val="left" w:pos="720"/>
          <w:tab w:val="left" w:pos="1440"/>
        </w:tabs>
        <w:ind w:left="720" w:hanging="720"/>
        <w:rPr>
          <w:rFonts w:ascii="Arial" w:hAnsi="Arial" w:cs="Arial"/>
        </w:rPr>
      </w:pPr>
    </w:p>
    <w:p w:rsidR="00D05BE0" w:rsidRPr="00140676" w:rsidRDefault="00D05BE0" w:rsidP="00135A8F">
      <w:pPr>
        <w:tabs>
          <w:tab w:val="left" w:pos="720"/>
          <w:tab w:val="left" w:pos="1440"/>
        </w:tabs>
        <w:ind w:left="720" w:hanging="720"/>
        <w:jc w:val="both"/>
        <w:rPr>
          <w:rFonts w:ascii="Arial" w:hAnsi="Arial" w:cs="Arial"/>
        </w:rPr>
      </w:pPr>
      <w:r w:rsidRPr="00140676">
        <w:rPr>
          <w:rFonts w:ascii="Arial" w:hAnsi="Arial" w:cs="Arial"/>
        </w:rPr>
        <w:tab/>
        <w:t>Settlement of the contract shall be accomplished in accordance with policies contained in the Purchase of Service Policy Manual and the following settlement terms and method:</w:t>
      </w:r>
    </w:p>
    <w:p w:rsidR="00D05BE0" w:rsidRPr="00140676" w:rsidRDefault="00D05BE0" w:rsidP="00135A8F">
      <w:pPr>
        <w:tabs>
          <w:tab w:val="left" w:pos="720"/>
          <w:tab w:val="left" w:pos="1440"/>
        </w:tabs>
        <w:ind w:left="720" w:hanging="720"/>
        <w:jc w:val="both"/>
        <w:rPr>
          <w:rFonts w:ascii="Arial" w:hAnsi="Arial" w:cs="Arial"/>
        </w:rPr>
      </w:pPr>
    </w:p>
    <w:p w:rsidR="00D05BE0" w:rsidRPr="00140676" w:rsidRDefault="00D05BE0" w:rsidP="00135A8F">
      <w:pPr>
        <w:tabs>
          <w:tab w:val="left" w:pos="720"/>
          <w:tab w:val="left" w:pos="1440"/>
        </w:tabs>
        <w:ind w:left="720" w:hanging="720"/>
        <w:jc w:val="both"/>
        <w:rPr>
          <w:rFonts w:ascii="Arial" w:hAnsi="Arial" w:cs="Arial"/>
          <w:b/>
          <w:bCs/>
        </w:rPr>
      </w:pPr>
      <w:r w:rsidRPr="00140676">
        <w:rPr>
          <w:rFonts w:ascii="Arial" w:hAnsi="Arial" w:cs="Arial"/>
        </w:rPr>
        <w:tab/>
      </w:r>
      <w:r w:rsidRPr="00140676">
        <w:rPr>
          <w:rFonts w:ascii="Arial" w:hAnsi="Arial" w:cs="Arial"/>
          <w:b/>
          <w:bCs/>
        </w:rPr>
        <w:t>Cost Shared</w:t>
      </w:r>
    </w:p>
    <w:p w:rsidR="00D05BE0" w:rsidRPr="00140676" w:rsidRDefault="00D05BE0" w:rsidP="00135A8F">
      <w:pPr>
        <w:tabs>
          <w:tab w:val="left" w:pos="720"/>
          <w:tab w:val="left" w:pos="1440"/>
        </w:tabs>
        <w:ind w:left="720" w:hanging="720"/>
        <w:jc w:val="both"/>
        <w:rPr>
          <w:rFonts w:ascii="Arial" w:hAnsi="Arial" w:cs="Arial"/>
          <w:b/>
          <w:bCs/>
        </w:rPr>
      </w:pPr>
      <w:r w:rsidRPr="00140676">
        <w:rPr>
          <w:rFonts w:ascii="Arial" w:hAnsi="Arial" w:cs="Arial"/>
          <w:b/>
          <w:bCs/>
        </w:rPr>
        <w:tab/>
      </w:r>
      <w:r w:rsidRPr="00140676">
        <w:rPr>
          <w:rFonts w:ascii="Arial" w:hAnsi="Arial" w:cs="Arial"/>
        </w:rPr>
        <w:t>Method of Accounting:  (check one)</w:t>
      </w:r>
      <w:r w:rsidRPr="00140676">
        <w:rPr>
          <w:rFonts w:ascii="Arial" w:hAnsi="Arial" w:cs="Arial"/>
        </w:rPr>
        <w:tab/>
      </w:r>
      <w:r w:rsidRPr="00140676">
        <w:rPr>
          <w:rFonts w:ascii="Arial" w:hAnsi="Arial" w:cs="Arial"/>
        </w:rPr>
        <w:tab/>
      </w:r>
      <w:r w:rsidRPr="00140676">
        <w:rPr>
          <w:rFonts w:ascii="Arial" w:hAnsi="Arial" w:cs="Arial"/>
        </w:rPr>
        <w:fldChar w:fldCharType="begin">
          <w:ffData>
            <w:name w:val=""/>
            <w:enabled/>
            <w:calcOnExit w:val="0"/>
            <w:checkBox>
              <w:sizeAuto/>
              <w:default w:val="0"/>
            </w:checkBox>
          </w:ffData>
        </w:fldChar>
      </w:r>
      <w:r w:rsidRPr="00140676">
        <w:rPr>
          <w:rFonts w:ascii="Arial" w:hAnsi="Arial" w:cs="Arial"/>
        </w:rPr>
        <w:instrText xml:space="preserve"> FORMCHECKBOX </w:instrText>
      </w:r>
      <w:r w:rsidR="00186904">
        <w:rPr>
          <w:rFonts w:ascii="Arial" w:hAnsi="Arial" w:cs="Arial"/>
        </w:rPr>
      </w:r>
      <w:r w:rsidR="00186904">
        <w:rPr>
          <w:rFonts w:ascii="Arial" w:hAnsi="Arial" w:cs="Arial"/>
        </w:rPr>
        <w:fldChar w:fldCharType="separate"/>
      </w:r>
      <w:r w:rsidRPr="00140676">
        <w:rPr>
          <w:rFonts w:ascii="Arial" w:hAnsi="Arial" w:cs="Arial"/>
        </w:rPr>
        <w:fldChar w:fldCharType="end"/>
      </w:r>
      <w:r w:rsidRPr="00140676">
        <w:rPr>
          <w:rFonts w:ascii="Arial" w:hAnsi="Arial" w:cs="Arial"/>
        </w:rPr>
        <w:t xml:space="preserve">  </w:t>
      </w:r>
      <w:r w:rsidRPr="00140676">
        <w:rPr>
          <w:rFonts w:ascii="Arial" w:hAnsi="Arial" w:cs="Arial"/>
          <w:b/>
          <w:bCs/>
        </w:rPr>
        <w:t>Cash</w:t>
      </w:r>
      <w:r w:rsidRPr="00140676">
        <w:rPr>
          <w:rFonts w:ascii="Arial" w:hAnsi="Arial" w:cs="Arial"/>
        </w:rPr>
        <w:tab/>
      </w:r>
      <w:r w:rsidRPr="00140676">
        <w:rPr>
          <w:rFonts w:ascii="Arial" w:hAnsi="Arial" w:cs="Arial"/>
        </w:rPr>
        <w:tab/>
      </w:r>
      <w:bookmarkStart w:id="1" w:name="Check15"/>
      <w:r w:rsidRPr="00140676">
        <w:rPr>
          <w:rFonts w:ascii="Arial" w:hAnsi="Arial" w:cs="Arial"/>
        </w:rPr>
        <w:fldChar w:fldCharType="begin">
          <w:ffData>
            <w:name w:val="Check15"/>
            <w:enabled/>
            <w:calcOnExit w:val="0"/>
            <w:checkBox>
              <w:sizeAuto/>
              <w:default w:val="1"/>
            </w:checkBox>
          </w:ffData>
        </w:fldChar>
      </w:r>
      <w:r w:rsidRPr="00140676">
        <w:rPr>
          <w:rFonts w:ascii="Arial" w:hAnsi="Arial" w:cs="Arial"/>
        </w:rPr>
        <w:instrText xml:space="preserve"> FORMCHECKBOX </w:instrText>
      </w:r>
      <w:r w:rsidR="00186904">
        <w:rPr>
          <w:rFonts w:ascii="Arial" w:hAnsi="Arial" w:cs="Arial"/>
        </w:rPr>
      </w:r>
      <w:r w:rsidR="00186904">
        <w:rPr>
          <w:rFonts w:ascii="Arial" w:hAnsi="Arial" w:cs="Arial"/>
        </w:rPr>
        <w:fldChar w:fldCharType="separate"/>
      </w:r>
      <w:r w:rsidRPr="00140676">
        <w:rPr>
          <w:rFonts w:ascii="Arial" w:hAnsi="Arial" w:cs="Arial"/>
        </w:rPr>
        <w:fldChar w:fldCharType="end"/>
      </w:r>
      <w:bookmarkEnd w:id="1"/>
      <w:r w:rsidRPr="00140676">
        <w:rPr>
          <w:rFonts w:ascii="Arial" w:hAnsi="Arial" w:cs="Arial"/>
        </w:rPr>
        <w:t xml:space="preserve">  </w:t>
      </w:r>
      <w:r w:rsidRPr="00140676">
        <w:rPr>
          <w:rFonts w:ascii="Arial" w:hAnsi="Arial" w:cs="Arial"/>
          <w:b/>
          <w:bCs/>
        </w:rPr>
        <w:t>Accrual</w:t>
      </w:r>
    </w:p>
    <w:p w:rsidR="00D05BE0" w:rsidRPr="00140676" w:rsidRDefault="00D05BE0" w:rsidP="00135A8F">
      <w:pPr>
        <w:jc w:val="both"/>
        <w:rPr>
          <w:rFonts w:ascii="Arial" w:hAnsi="Arial" w:cs="Arial"/>
        </w:rPr>
      </w:pPr>
    </w:p>
    <w:p w:rsidR="00D05BE0" w:rsidRPr="00AF1A5A" w:rsidRDefault="00D05BE0" w:rsidP="00135A8F">
      <w:pPr>
        <w:numPr>
          <w:ilvl w:val="0"/>
          <w:numId w:val="5"/>
        </w:numPr>
        <w:jc w:val="both"/>
        <w:rPr>
          <w:rFonts w:ascii="Arial" w:hAnsi="Arial" w:cs="Arial"/>
          <w:caps/>
          <w:u w:val="single"/>
        </w:rPr>
      </w:pPr>
      <w:r w:rsidRPr="00AF1A5A">
        <w:rPr>
          <w:rFonts w:ascii="Arial" w:hAnsi="Arial" w:cs="Arial"/>
          <w:b/>
          <w:bCs/>
          <w:caps/>
          <w:u w:val="single"/>
        </w:rPr>
        <w:t>Termination of Work Performance</w:t>
      </w:r>
      <w:r>
        <w:rPr>
          <w:rFonts w:ascii="Arial" w:hAnsi="Arial" w:cs="Arial"/>
          <w:b/>
          <w:bCs/>
          <w:caps/>
          <w:u w:val="single"/>
        </w:rPr>
        <w:t>:</w:t>
      </w:r>
      <w:r w:rsidRPr="00AF1A5A">
        <w:rPr>
          <w:rFonts w:ascii="Arial" w:hAnsi="Arial" w:cs="Arial"/>
          <w:caps/>
          <w:u w:val="single"/>
        </w:rPr>
        <w:t xml:space="preserve"> </w:t>
      </w:r>
    </w:p>
    <w:p w:rsidR="00D05BE0" w:rsidRDefault="00D05BE0" w:rsidP="00AF1A5A">
      <w:pPr>
        <w:ind w:left="420"/>
        <w:jc w:val="both"/>
        <w:rPr>
          <w:rFonts w:ascii="Arial" w:hAnsi="Arial" w:cs="Arial"/>
        </w:rPr>
      </w:pPr>
    </w:p>
    <w:p w:rsidR="00D05BE0" w:rsidRPr="00140676" w:rsidRDefault="00D05BE0" w:rsidP="00AF1A5A">
      <w:pPr>
        <w:ind w:left="420"/>
        <w:jc w:val="both"/>
        <w:rPr>
          <w:rFonts w:ascii="Arial" w:hAnsi="Arial" w:cs="Arial"/>
        </w:rPr>
      </w:pPr>
      <w:r w:rsidRPr="00140676">
        <w:rPr>
          <w:rFonts w:ascii="Arial" w:hAnsi="Arial" w:cs="Arial"/>
        </w:rPr>
        <w:t xml:space="preserve">The Provider shall report any anticipated closing of the Provider’s operations at the earliest possible date and no later than sixty (60) days prior to the anticipated closure date, with the exception of reasonably unforeseen circumstances, to the Agreement Administrator and Program Coordinator. This written communication shall be specific and include, but not limited to, the date of expected closure, description of any and all programs affected, number of clients projected to be impacted, plans for addressing needs of the clients affected, and the name and contact information of the person(s) responsible for the care of clients affected and their records. The Provider </w:t>
      </w:r>
      <w:r w:rsidRPr="00140676">
        <w:rPr>
          <w:rFonts w:ascii="Arial" w:hAnsi="Arial" w:cs="Arial"/>
          <w:bCs/>
        </w:rPr>
        <w:t>shall assist</w:t>
      </w:r>
      <w:r w:rsidRPr="00140676">
        <w:rPr>
          <w:rFonts w:ascii="Arial" w:hAnsi="Arial" w:cs="Arial"/>
        </w:rPr>
        <w:t xml:space="preserve"> the </w:t>
      </w:r>
      <w:r w:rsidRPr="00140676">
        <w:rPr>
          <w:rFonts w:ascii="Arial" w:hAnsi="Arial" w:cs="Arial"/>
          <w:bCs/>
        </w:rPr>
        <w:t>client</w:t>
      </w:r>
      <w:r w:rsidRPr="00140676">
        <w:rPr>
          <w:rFonts w:ascii="Arial" w:hAnsi="Arial" w:cs="Arial"/>
        </w:rPr>
        <w:t xml:space="preserve"> and the client’s community support worker in obtaining services from another provider.</w:t>
      </w:r>
    </w:p>
    <w:p w:rsidR="00D05BE0" w:rsidRPr="00140676" w:rsidRDefault="00D05BE0" w:rsidP="00135A8F">
      <w:pPr>
        <w:jc w:val="both"/>
        <w:rPr>
          <w:rFonts w:ascii="Arial" w:hAnsi="Arial" w:cs="Arial"/>
        </w:rPr>
      </w:pPr>
    </w:p>
    <w:p w:rsidR="00D05BE0" w:rsidRPr="00140676" w:rsidRDefault="00D05BE0" w:rsidP="00135A8F">
      <w:pPr>
        <w:ind w:left="420"/>
        <w:jc w:val="both"/>
        <w:rPr>
          <w:rFonts w:ascii="Arial" w:hAnsi="Arial" w:cs="Arial"/>
        </w:rPr>
      </w:pPr>
      <w:r w:rsidRPr="00140676">
        <w:rPr>
          <w:rFonts w:ascii="Arial" w:hAnsi="Arial" w:cs="Arial"/>
        </w:rPr>
        <w:t xml:space="preserve">In addition, the Provider shall report to the Program Coordinator all major programming and structural changes in programs funded, seeded, or licensed by </w:t>
      </w:r>
      <w:r>
        <w:rPr>
          <w:rFonts w:ascii="Arial" w:hAnsi="Arial" w:cs="Arial"/>
        </w:rPr>
        <w:t>the Department</w:t>
      </w:r>
      <w:r w:rsidRPr="00140676">
        <w:rPr>
          <w:rFonts w:ascii="Arial" w:hAnsi="Arial" w:cs="Arial"/>
        </w:rPr>
        <w:t xml:space="preserve"> within the time frame noted above. Any changes that add, alter or eliminate existing services must be negotiated and approved by the Program Coordinator prior to implementation. Major program changes include, but are not limited to, the following: (1) the addition of new services or deletion of existing services; (2) serving a population not served by the agency previously; (3) significant increases or decreases in service capacity as defined by the governing body; (4) significant changes in the organizational structure as defined by the governing body; (5) changes in the executive director or name or ownership of the agency; or 6) relocation of services.  For </w:t>
      </w:r>
      <w:proofErr w:type="spellStart"/>
      <w:r w:rsidRPr="00140676">
        <w:rPr>
          <w:rFonts w:ascii="Arial" w:hAnsi="Arial" w:cs="Arial"/>
        </w:rPr>
        <w:t>MaineCare</w:t>
      </w:r>
      <w:proofErr w:type="spellEnd"/>
      <w:r w:rsidRPr="00140676">
        <w:rPr>
          <w:rFonts w:ascii="Arial" w:hAnsi="Arial" w:cs="Arial"/>
        </w:rPr>
        <w:t xml:space="preserve"> funded services, the Provider shall give due process notification as required by </w:t>
      </w:r>
      <w:proofErr w:type="spellStart"/>
      <w:r w:rsidRPr="00140676">
        <w:rPr>
          <w:rFonts w:ascii="Arial" w:hAnsi="Arial" w:cs="Arial"/>
        </w:rPr>
        <w:t>MaineCare</w:t>
      </w:r>
      <w:proofErr w:type="spellEnd"/>
      <w:r w:rsidRPr="00140676">
        <w:rPr>
          <w:rFonts w:ascii="Arial" w:hAnsi="Arial" w:cs="Arial"/>
        </w:rPr>
        <w:t xml:space="preserve"> regulations, Chapter 1 of the </w:t>
      </w:r>
      <w:proofErr w:type="spellStart"/>
      <w:r w:rsidRPr="00140676">
        <w:rPr>
          <w:rFonts w:ascii="Arial" w:hAnsi="Arial" w:cs="Arial"/>
        </w:rPr>
        <w:t>MaineCare</w:t>
      </w:r>
      <w:proofErr w:type="spellEnd"/>
      <w:r w:rsidRPr="00140676">
        <w:rPr>
          <w:rFonts w:ascii="Arial" w:hAnsi="Arial" w:cs="Arial"/>
        </w:rPr>
        <w:t xml:space="preserve"> Benefits Manual.</w:t>
      </w:r>
    </w:p>
    <w:p w:rsidR="00D05BE0" w:rsidRPr="00140676" w:rsidRDefault="00D05BE0" w:rsidP="00AF1A5A">
      <w:pPr>
        <w:spacing w:before="100" w:beforeAutospacing="1" w:after="100" w:afterAutospacing="1"/>
        <w:ind w:left="420"/>
        <w:rPr>
          <w:rFonts w:ascii="Arial" w:hAnsi="Arial" w:cs="Arial"/>
        </w:rPr>
      </w:pPr>
      <w:proofErr w:type="gramStart"/>
      <w:r w:rsidRPr="00140676">
        <w:rPr>
          <w:rFonts w:ascii="Arial" w:hAnsi="Arial" w:cs="Arial"/>
          <w:u w:val="single"/>
        </w:rPr>
        <w:t>Scholarship Requirements</w:t>
      </w:r>
      <w:r>
        <w:rPr>
          <w:rFonts w:ascii="Arial" w:hAnsi="Arial" w:cs="Arial"/>
          <w:u w:val="single"/>
        </w:rPr>
        <w:t>.</w:t>
      </w:r>
      <w:proofErr w:type="gramEnd"/>
      <w:r>
        <w:rPr>
          <w:rFonts w:ascii="Arial" w:hAnsi="Arial" w:cs="Arial"/>
          <w:u w:val="single"/>
        </w:rPr>
        <w:t xml:space="preserve">  </w:t>
      </w:r>
      <w:r w:rsidRPr="00140676">
        <w:rPr>
          <w:rFonts w:ascii="Arial" w:hAnsi="Arial" w:cs="Arial"/>
        </w:rPr>
        <w:t>Cell phones, blackberries, or any other electronic devices</w:t>
      </w:r>
      <w:r>
        <w:rPr>
          <w:rFonts w:ascii="Arial" w:hAnsi="Arial" w:cs="Arial"/>
        </w:rPr>
        <w:t xml:space="preserve"> will be</w:t>
      </w:r>
      <w:r w:rsidRPr="00140676">
        <w:rPr>
          <w:rFonts w:ascii="Arial" w:hAnsi="Arial" w:cs="Arial"/>
        </w:rPr>
        <w:t xml:space="preserve"> turned off during class sessions.  Keep all devices in </w:t>
      </w:r>
      <w:r w:rsidRPr="00AF1A5A">
        <w:rPr>
          <w:rFonts w:ascii="Arial" w:hAnsi="Arial" w:cs="Arial"/>
        </w:rPr>
        <w:t>silent mode</w:t>
      </w:r>
      <w:r w:rsidRPr="00140676">
        <w:rPr>
          <w:rFonts w:ascii="Arial" w:hAnsi="Arial" w:cs="Arial"/>
        </w:rPr>
        <w:t xml:space="preserve"> and return messages </w:t>
      </w:r>
      <w:r w:rsidRPr="00AF1A5A">
        <w:rPr>
          <w:rFonts w:ascii="Arial" w:hAnsi="Arial" w:cs="Arial"/>
        </w:rPr>
        <w:t>on scheduled breaks</w:t>
      </w:r>
      <w:r>
        <w:rPr>
          <w:rFonts w:ascii="Arial" w:hAnsi="Arial" w:cs="Arial"/>
        </w:rPr>
        <w:t xml:space="preserve">.  </w:t>
      </w:r>
      <w:r w:rsidRPr="00140676">
        <w:rPr>
          <w:rFonts w:ascii="Arial" w:hAnsi="Arial" w:cs="Arial"/>
        </w:rPr>
        <w:t>No side conversations d</w:t>
      </w:r>
      <w:r>
        <w:rPr>
          <w:rFonts w:ascii="Arial" w:hAnsi="Arial" w:cs="Arial"/>
        </w:rPr>
        <w:t xml:space="preserve">uring presentations.  </w:t>
      </w:r>
      <w:r w:rsidRPr="00140676">
        <w:rPr>
          <w:rFonts w:ascii="Arial" w:hAnsi="Arial" w:cs="Arial"/>
        </w:rPr>
        <w:t xml:space="preserve">Arrive on time for presentations </w:t>
      </w:r>
      <w:r>
        <w:rPr>
          <w:rFonts w:ascii="Arial" w:hAnsi="Arial" w:cs="Arial"/>
        </w:rPr>
        <w:t>(</w:t>
      </w:r>
      <w:r w:rsidRPr="00140676">
        <w:rPr>
          <w:rFonts w:ascii="Arial" w:hAnsi="Arial" w:cs="Arial"/>
        </w:rPr>
        <w:t>[i.e.</w:t>
      </w:r>
      <w:r>
        <w:rPr>
          <w:rFonts w:ascii="Arial" w:hAnsi="Arial" w:cs="Arial"/>
        </w:rPr>
        <w:t>,</w:t>
      </w:r>
      <w:r w:rsidRPr="00140676">
        <w:rPr>
          <w:rFonts w:ascii="Arial" w:hAnsi="Arial" w:cs="Arial"/>
        </w:rPr>
        <w:t xml:space="preserve"> arriving on time in</w:t>
      </w:r>
      <w:r>
        <w:rPr>
          <w:rFonts w:ascii="Arial" w:hAnsi="Arial" w:cs="Arial"/>
        </w:rPr>
        <w:t xml:space="preserve"> the</w:t>
      </w:r>
      <w:r w:rsidRPr="00140676">
        <w:rPr>
          <w:rFonts w:ascii="Arial" w:hAnsi="Arial" w:cs="Arial"/>
        </w:rPr>
        <w:t xml:space="preserve"> morning, ret</w:t>
      </w:r>
      <w:r>
        <w:rPr>
          <w:rFonts w:ascii="Arial" w:hAnsi="Arial" w:cs="Arial"/>
        </w:rPr>
        <w:t>urning from breaks on time, etc.).</w:t>
      </w:r>
    </w:p>
    <w:p w:rsidR="00D05BE0" w:rsidRPr="00140676" w:rsidRDefault="00D05BE0" w:rsidP="00135A8F">
      <w:pPr>
        <w:jc w:val="both"/>
        <w:rPr>
          <w:rFonts w:ascii="Arial" w:hAnsi="Arial" w:cs="Arial"/>
        </w:rPr>
      </w:pPr>
    </w:p>
    <w:p w:rsidR="00D05BE0" w:rsidRPr="00140676" w:rsidRDefault="00D05BE0" w:rsidP="00AF1A5A">
      <w:pPr>
        <w:ind w:left="720"/>
        <w:jc w:val="both"/>
        <w:rPr>
          <w:rFonts w:ascii="Arial" w:hAnsi="Arial" w:cs="Arial"/>
        </w:rPr>
      </w:pPr>
      <w:r w:rsidRPr="00140676">
        <w:rPr>
          <w:rFonts w:ascii="Arial" w:hAnsi="Arial" w:cs="Arial"/>
        </w:rPr>
        <w:lastRenderedPageBreak/>
        <w:t xml:space="preserve">Participants must attend the entire program from </w:t>
      </w:r>
      <w:r w:rsidRPr="00AF1A5A">
        <w:rPr>
          <w:rFonts w:ascii="Arial" w:hAnsi="Arial" w:cs="Arial"/>
          <w:iCs/>
        </w:rPr>
        <w:t>start to finish</w:t>
      </w:r>
      <w:r>
        <w:rPr>
          <w:rFonts w:ascii="Arial" w:hAnsi="Arial" w:cs="Arial"/>
          <w:iCs/>
        </w:rPr>
        <w:t xml:space="preserve"> (</w:t>
      </w:r>
      <w:r w:rsidRPr="00140676">
        <w:rPr>
          <w:rFonts w:ascii="Arial" w:hAnsi="Arial" w:cs="Arial"/>
        </w:rPr>
        <w:t>no exceptions</w:t>
      </w:r>
      <w:r>
        <w:rPr>
          <w:rFonts w:ascii="Arial" w:hAnsi="Arial" w:cs="Arial"/>
        </w:rPr>
        <w:t>)</w:t>
      </w:r>
      <w:r w:rsidRPr="00140676">
        <w:rPr>
          <w:rFonts w:ascii="Arial" w:hAnsi="Arial" w:cs="Arial"/>
        </w:rPr>
        <w:t>.  If a participant does not complete the entire course; 1) no certificate or CEU’s will be awarded; 2) no reimbursement will issued for tuition, lodging, meals, or transportation</w:t>
      </w:r>
      <w:r>
        <w:rPr>
          <w:rFonts w:ascii="Arial" w:hAnsi="Arial" w:cs="Arial"/>
        </w:rPr>
        <w:t>,</w:t>
      </w:r>
      <w:r w:rsidRPr="00140676">
        <w:rPr>
          <w:rFonts w:ascii="Arial" w:hAnsi="Arial" w:cs="Arial"/>
        </w:rPr>
        <w:t xml:space="preserve"> and 3) the scholarship will be revoked, and </w:t>
      </w:r>
      <w:r w:rsidRPr="00AF1A5A">
        <w:rPr>
          <w:rFonts w:ascii="Arial" w:hAnsi="Arial" w:cs="Arial"/>
        </w:rPr>
        <w:t>all expenses will be paid by the participant or the employer</w:t>
      </w:r>
      <w:r>
        <w:rPr>
          <w:rFonts w:ascii="Arial" w:hAnsi="Arial" w:cs="Arial"/>
        </w:rPr>
        <w:t xml:space="preserve">.  </w:t>
      </w:r>
      <w:r w:rsidRPr="00AF1A5A">
        <w:rPr>
          <w:rFonts w:ascii="Arial" w:hAnsi="Arial" w:cs="Arial"/>
          <w:iCs/>
        </w:rPr>
        <w:t>If there is an emergency the participant must notify faculty, who may approve or deny an absence</w:t>
      </w:r>
      <w:r>
        <w:rPr>
          <w:rFonts w:ascii="Arial" w:hAnsi="Arial" w:cs="Arial"/>
        </w:rPr>
        <w:t>.</w:t>
      </w:r>
    </w:p>
    <w:p w:rsidR="00D05BE0" w:rsidRPr="00140676" w:rsidRDefault="00D05BE0" w:rsidP="00135A8F">
      <w:pPr>
        <w:spacing w:before="100" w:beforeAutospacing="1" w:after="100" w:afterAutospacing="1"/>
        <w:ind w:left="720"/>
        <w:jc w:val="both"/>
        <w:rPr>
          <w:rFonts w:ascii="Arial" w:hAnsi="Arial" w:cs="Arial"/>
        </w:rPr>
      </w:pPr>
      <w:r w:rsidRPr="00140676">
        <w:rPr>
          <w:rFonts w:ascii="Arial" w:hAnsi="Arial" w:cs="Arial"/>
        </w:rPr>
        <w:t>All travel requests must be completed and signed within thirty days of conference.</w:t>
      </w:r>
    </w:p>
    <w:sectPr w:rsidR="00D05BE0" w:rsidRPr="00140676" w:rsidSect="001B0AA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904" w:rsidRDefault="00186904" w:rsidP="00186904">
      <w:r>
        <w:separator/>
      </w:r>
    </w:p>
  </w:endnote>
  <w:endnote w:type="continuationSeparator" w:id="0">
    <w:p w:rsidR="00186904" w:rsidRDefault="00186904" w:rsidP="001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904" w:rsidRDefault="00186904">
    <w:pPr>
      <w:pStyle w:val="Footer"/>
    </w:pPr>
    <w:r w:rsidRPr="006F2A35">
      <w:rPr>
        <w:sz w:val="22"/>
      </w:rPr>
      <w:t>DHHS Version 2015.1</w:t>
    </w:r>
    <w:r>
      <w:rPr>
        <w:sz w:val="22"/>
      </w:rPr>
      <w:tab/>
    </w:r>
    <w:r w:rsidRPr="00186904">
      <w:rPr>
        <w:sz w:val="22"/>
      </w:rPr>
      <w:fldChar w:fldCharType="begin"/>
    </w:r>
    <w:r w:rsidRPr="00186904">
      <w:rPr>
        <w:sz w:val="22"/>
      </w:rPr>
      <w:instrText xml:space="preserve"> PAGE   \* MERGEFORMAT </w:instrText>
    </w:r>
    <w:r w:rsidRPr="00186904">
      <w:rPr>
        <w:sz w:val="22"/>
      </w:rPr>
      <w:fldChar w:fldCharType="separate"/>
    </w:r>
    <w:r>
      <w:rPr>
        <w:noProof/>
        <w:sz w:val="22"/>
      </w:rPr>
      <w:t>3</w:t>
    </w:r>
    <w:r w:rsidRPr="00186904">
      <w:rPr>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904" w:rsidRDefault="00186904" w:rsidP="00186904">
      <w:r>
        <w:separator/>
      </w:r>
    </w:p>
  </w:footnote>
  <w:footnote w:type="continuationSeparator" w:id="0">
    <w:p w:rsidR="00186904" w:rsidRDefault="00186904" w:rsidP="001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D6C91"/>
    <w:multiLevelType w:val="hybridMultilevel"/>
    <w:tmpl w:val="7EF26B0A"/>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3A82E59"/>
    <w:multiLevelType w:val="hybridMultilevel"/>
    <w:tmpl w:val="4D9AA0DA"/>
    <w:lvl w:ilvl="0" w:tplc="1840B95A">
      <w:start w:val="4"/>
      <w:numFmt w:val="decimal"/>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2">
    <w:nsid w:val="28980C71"/>
    <w:multiLevelType w:val="hybridMultilevel"/>
    <w:tmpl w:val="4C5CCA8C"/>
    <w:lvl w:ilvl="0" w:tplc="C276B138">
      <w:start w:val="1"/>
      <w:numFmt w:val="decimal"/>
      <w:lvlText w:val="%1."/>
      <w:lvlJc w:val="left"/>
      <w:pPr>
        <w:tabs>
          <w:tab w:val="num" w:pos="1080"/>
        </w:tabs>
        <w:ind w:left="1080" w:hanging="720"/>
      </w:pPr>
      <w:rPr>
        <w:rFonts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448E3EF4"/>
    <w:multiLevelType w:val="hybridMultilevel"/>
    <w:tmpl w:val="A506816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5B3B3D56"/>
    <w:multiLevelType w:val="hybridMultilevel"/>
    <w:tmpl w:val="B7BEAA64"/>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5">
    <w:nsid w:val="734C6880"/>
    <w:multiLevelType w:val="hybridMultilevel"/>
    <w:tmpl w:val="5DF60F4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4CA"/>
    <w:rsid w:val="00135A8F"/>
    <w:rsid w:val="00140676"/>
    <w:rsid w:val="00186904"/>
    <w:rsid w:val="001B0AAF"/>
    <w:rsid w:val="00217408"/>
    <w:rsid w:val="002D7A74"/>
    <w:rsid w:val="0031731B"/>
    <w:rsid w:val="007234CA"/>
    <w:rsid w:val="008430AE"/>
    <w:rsid w:val="00882380"/>
    <w:rsid w:val="008C2896"/>
    <w:rsid w:val="009753D6"/>
    <w:rsid w:val="00A026D7"/>
    <w:rsid w:val="00AA0F8A"/>
    <w:rsid w:val="00AF1A5A"/>
    <w:rsid w:val="00D02698"/>
    <w:rsid w:val="00D05BE0"/>
    <w:rsid w:val="00DB1FF3"/>
    <w:rsid w:val="00E70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34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7234CA"/>
    <w:pPr>
      <w:widowControl w:val="0"/>
      <w:autoSpaceDE w:val="0"/>
      <w:autoSpaceDN w:val="0"/>
      <w:adjustRightInd w:val="0"/>
    </w:pPr>
    <w:rPr>
      <w:szCs w:val="48"/>
    </w:rPr>
  </w:style>
  <w:style w:type="character" w:styleId="Hyperlink">
    <w:name w:val="Hyperlink"/>
    <w:basedOn w:val="DefaultParagraphFont"/>
    <w:rsid w:val="007234CA"/>
    <w:rPr>
      <w:rFonts w:cs="Times New Roman"/>
      <w:color w:val="0000FF"/>
      <w:u w:val="single"/>
    </w:rPr>
  </w:style>
  <w:style w:type="paragraph" w:styleId="ListParagraph">
    <w:name w:val="List Paragraph"/>
    <w:basedOn w:val="Normal"/>
    <w:qFormat/>
    <w:rsid w:val="00140676"/>
    <w:pPr>
      <w:ind w:left="720"/>
      <w:contextualSpacing/>
    </w:pPr>
  </w:style>
  <w:style w:type="paragraph" w:styleId="Header">
    <w:name w:val="header"/>
    <w:basedOn w:val="Normal"/>
    <w:link w:val="HeaderChar"/>
    <w:rsid w:val="00186904"/>
    <w:pPr>
      <w:tabs>
        <w:tab w:val="center" w:pos="4680"/>
        <w:tab w:val="right" w:pos="9360"/>
      </w:tabs>
    </w:pPr>
  </w:style>
  <w:style w:type="character" w:customStyle="1" w:styleId="HeaderChar">
    <w:name w:val="Header Char"/>
    <w:basedOn w:val="DefaultParagraphFont"/>
    <w:link w:val="Header"/>
    <w:rsid w:val="00186904"/>
    <w:rPr>
      <w:sz w:val="24"/>
      <w:szCs w:val="24"/>
    </w:rPr>
  </w:style>
  <w:style w:type="paragraph" w:styleId="Footer">
    <w:name w:val="footer"/>
    <w:basedOn w:val="Normal"/>
    <w:link w:val="FooterChar"/>
    <w:rsid w:val="00186904"/>
    <w:pPr>
      <w:tabs>
        <w:tab w:val="center" w:pos="4680"/>
        <w:tab w:val="right" w:pos="9360"/>
      </w:tabs>
    </w:pPr>
  </w:style>
  <w:style w:type="character" w:customStyle="1" w:styleId="FooterChar">
    <w:name w:val="Footer Char"/>
    <w:basedOn w:val="DefaultParagraphFont"/>
    <w:link w:val="Footer"/>
    <w:rsid w:val="0018690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34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7234CA"/>
    <w:pPr>
      <w:widowControl w:val="0"/>
      <w:autoSpaceDE w:val="0"/>
      <w:autoSpaceDN w:val="0"/>
      <w:adjustRightInd w:val="0"/>
    </w:pPr>
    <w:rPr>
      <w:szCs w:val="48"/>
    </w:rPr>
  </w:style>
  <w:style w:type="character" w:styleId="Hyperlink">
    <w:name w:val="Hyperlink"/>
    <w:basedOn w:val="DefaultParagraphFont"/>
    <w:rsid w:val="007234CA"/>
    <w:rPr>
      <w:rFonts w:cs="Times New Roman"/>
      <w:color w:val="0000FF"/>
      <w:u w:val="single"/>
    </w:rPr>
  </w:style>
  <w:style w:type="paragraph" w:styleId="ListParagraph">
    <w:name w:val="List Paragraph"/>
    <w:basedOn w:val="Normal"/>
    <w:qFormat/>
    <w:rsid w:val="00140676"/>
    <w:pPr>
      <w:ind w:left="720"/>
      <w:contextualSpacing/>
    </w:pPr>
  </w:style>
  <w:style w:type="paragraph" w:styleId="Header">
    <w:name w:val="header"/>
    <w:basedOn w:val="Normal"/>
    <w:link w:val="HeaderChar"/>
    <w:rsid w:val="00186904"/>
    <w:pPr>
      <w:tabs>
        <w:tab w:val="center" w:pos="4680"/>
        <w:tab w:val="right" w:pos="9360"/>
      </w:tabs>
    </w:pPr>
  </w:style>
  <w:style w:type="character" w:customStyle="1" w:styleId="HeaderChar">
    <w:name w:val="Header Char"/>
    <w:basedOn w:val="DefaultParagraphFont"/>
    <w:link w:val="Header"/>
    <w:rsid w:val="00186904"/>
    <w:rPr>
      <w:sz w:val="24"/>
      <w:szCs w:val="24"/>
    </w:rPr>
  </w:style>
  <w:style w:type="paragraph" w:styleId="Footer">
    <w:name w:val="footer"/>
    <w:basedOn w:val="Normal"/>
    <w:link w:val="FooterChar"/>
    <w:rsid w:val="00186904"/>
    <w:pPr>
      <w:tabs>
        <w:tab w:val="center" w:pos="4680"/>
        <w:tab w:val="right" w:pos="9360"/>
      </w:tabs>
    </w:pPr>
  </w:style>
  <w:style w:type="character" w:customStyle="1" w:styleId="FooterChar">
    <w:name w:val="Footer Char"/>
    <w:basedOn w:val="DefaultParagraphFont"/>
    <w:link w:val="Footer"/>
    <w:rsid w:val="001869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jp.usdoj.gov/ovc/welcovc/scad/guides/vaguide.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750</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RIDER E</vt:lpstr>
    </vt:vector>
  </TitlesOfParts>
  <Company>Dept. of Health and Human Services</Company>
  <LinksUpToDate>false</LinksUpToDate>
  <CharactersWithSpaces>5034</CharactersWithSpaces>
  <SharedDoc>false</SharedDoc>
  <HLinks>
    <vt:vector size="6" baseType="variant">
      <vt:variant>
        <vt:i4>131081</vt:i4>
      </vt:variant>
      <vt:variant>
        <vt:i4>0</vt:i4>
      </vt:variant>
      <vt:variant>
        <vt:i4>0</vt:i4>
      </vt:variant>
      <vt:variant>
        <vt:i4>5</vt:i4>
      </vt:variant>
      <vt:variant>
        <vt:lpwstr>http://www.ojp.usdoj.gov/ovc/welcovc/scad/guides/vaguide.htm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RIDER E</dc:title>
  <dc:subject/>
  <dc:creator>OIT</dc:creator>
  <cp:keywords/>
  <dc:description/>
  <cp:lastModifiedBy>Lopatosky, Jim</cp:lastModifiedBy>
  <cp:revision>3</cp:revision>
  <cp:lastPrinted>2010-06-24T11:11:00Z</cp:lastPrinted>
  <dcterms:created xsi:type="dcterms:W3CDTF">2014-04-29T16:30:00Z</dcterms:created>
  <dcterms:modified xsi:type="dcterms:W3CDTF">2014-04-30T16:26:00Z</dcterms:modified>
</cp:coreProperties>
</file>