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69" w:rsidRPr="007D58E8" w:rsidRDefault="00324E69">
      <w:pPr>
        <w:jc w:val="center"/>
        <w:rPr>
          <w:rFonts w:ascii="Arial" w:hAnsi="Arial" w:cs="Arial"/>
          <w:b/>
          <w:bCs/>
          <w:sz w:val="22"/>
          <w:szCs w:val="22"/>
        </w:rPr>
      </w:pPr>
      <w:r w:rsidRPr="007D58E8">
        <w:rPr>
          <w:rFonts w:ascii="Arial" w:hAnsi="Arial" w:cs="Arial"/>
          <w:b/>
          <w:bCs/>
          <w:sz w:val="22"/>
          <w:szCs w:val="22"/>
        </w:rPr>
        <w:t>Rider D</w:t>
      </w:r>
    </w:p>
    <w:p w:rsidR="00324E69" w:rsidRPr="007D58E8" w:rsidRDefault="00324E69">
      <w:pPr>
        <w:jc w:val="center"/>
        <w:rPr>
          <w:rFonts w:ascii="Arial" w:hAnsi="Arial" w:cs="Arial"/>
          <w:b/>
          <w:bCs/>
          <w:sz w:val="22"/>
          <w:szCs w:val="22"/>
        </w:rPr>
      </w:pPr>
      <w:r w:rsidRPr="007D58E8">
        <w:rPr>
          <w:rFonts w:ascii="Arial" w:hAnsi="Arial" w:cs="Arial"/>
          <w:b/>
          <w:bCs/>
          <w:sz w:val="22"/>
          <w:szCs w:val="22"/>
        </w:rPr>
        <w:t>Additional Requirements</w:t>
      </w:r>
    </w:p>
    <w:p w:rsidR="00324E69" w:rsidRPr="007D58E8" w:rsidRDefault="00324E69">
      <w:pPr>
        <w:rPr>
          <w:rFonts w:ascii="Arial" w:hAnsi="Arial" w:cs="Arial"/>
          <w:sz w:val="22"/>
          <w:szCs w:val="22"/>
        </w:rPr>
      </w:pPr>
    </w:p>
    <w:p w:rsidR="00324E69" w:rsidRPr="007D58E8" w:rsidRDefault="00324E69">
      <w:pPr>
        <w:rPr>
          <w:rFonts w:ascii="Arial" w:hAnsi="Arial" w:cs="Arial"/>
          <w:sz w:val="22"/>
          <w:szCs w:val="22"/>
        </w:rPr>
      </w:pPr>
    </w:p>
    <w:p w:rsidR="00700384"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Confidentiality</w:t>
      </w:r>
      <w:r w:rsidRPr="007D58E8">
        <w:rPr>
          <w:rFonts w:ascii="Arial" w:hAnsi="Arial" w:cs="Arial"/>
          <w:b/>
          <w:bCs/>
          <w:sz w:val="22"/>
          <w:szCs w:val="22"/>
        </w:rPr>
        <w:t>.</w:t>
      </w:r>
      <w:r w:rsidRPr="007D58E8">
        <w:rPr>
          <w:rFonts w:ascii="Arial" w:hAnsi="Arial" w:cs="Arial"/>
          <w:sz w:val="22"/>
          <w:szCs w:val="22"/>
        </w:rPr>
        <w:t xml:space="preserve">  </w:t>
      </w:r>
      <w:r w:rsidR="00700384" w:rsidRPr="007D58E8">
        <w:rPr>
          <w:rFonts w:ascii="Arial" w:hAnsi="Arial" w:cs="Arial"/>
          <w:sz w:val="22"/>
          <w:szCs w:val="22"/>
        </w:rPr>
        <w:t xml:space="preserve">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w:t>
      </w:r>
      <w:r w:rsidR="00690CA6" w:rsidRPr="007D58E8">
        <w:rPr>
          <w:rFonts w:ascii="Arial" w:hAnsi="Arial" w:cs="Arial"/>
          <w:sz w:val="22"/>
          <w:szCs w:val="22"/>
        </w:rPr>
        <w:t>Provider</w:t>
      </w:r>
      <w:r w:rsidR="00700384" w:rsidRPr="007D58E8">
        <w:rPr>
          <w:rFonts w:ascii="Arial" w:hAnsi="Arial" w:cs="Arial"/>
          <w:sz w:val="22"/>
          <w:szCs w:val="22"/>
        </w:rPr>
        <w:t xml:space="preserve">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w:t>
      </w:r>
      <w:r w:rsidR="00690CA6" w:rsidRPr="007D58E8">
        <w:rPr>
          <w:rFonts w:ascii="Arial" w:hAnsi="Arial" w:cs="Arial"/>
          <w:sz w:val="22"/>
          <w:szCs w:val="22"/>
        </w:rPr>
        <w:t xml:space="preserve">ed by the Provider </w:t>
      </w:r>
      <w:r w:rsidR="00700384" w:rsidRPr="007D58E8">
        <w:rPr>
          <w:rFonts w:ascii="Arial" w:hAnsi="Arial" w:cs="Arial"/>
          <w:sz w:val="22"/>
          <w:szCs w:val="22"/>
        </w:rPr>
        <w:t xml:space="preserve">or one of its subcontractors or agents, the </w:t>
      </w:r>
      <w:r w:rsidR="00690CA6" w:rsidRPr="007D58E8">
        <w:rPr>
          <w:rFonts w:ascii="Arial" w:hAnsi="Arial" w:cs="Arial"/>
          <w:sz w:val="22"/>
          <w:szCs w:val="22"/>
        </w:rPr>
        <w:t>Provider</w:t>
      </w:r>
      <w:r w:rsidR="00700384" w:rsidRPr="007D58E8">
        <w:rPr>
          <w:rFonts w:ascii="Arial" w:hAnsi="Arial" w:cs="Arial"/>
          <w:sz w:val="22"/>
          <w:szCs w:val="22"/>
        </w:rPr>
        <w:t xml:space="preserve"> agrees to pay the cost of notification, as well as any financial costs and/or penalties incurred by the Department as a result of such breach."</w:t>
      </w:r>
    </w:p>
    <w:p w:rsidR="00700384" w:rsidRPr="007D58E8" w:rsidRDefault="00700384" w:rsidP="00CD4EA3">
      <w:pPr>
        <w:ind w:firstLine="720"/>
        <w:rPr>
          <w:rFonts w:ascii="Arial" w:hAnsi="Arial" w:cs="Arial"/>
          <w:sz w:val="22"/>
          <w:szCs w:val="22"/>
        </w:rPr>
      </w:pPr>
    </w:p>
    <w:p w:rsidR="00324E69" w:rsidRPr="007D58E8" w:rsidRDefault="00700384" w:rsidP="00CD4EA3">
      <w:pPr>
        <w:pStyle w:val="ListParagraph"/>
        <w:ind w:left="360"/>
        <w:rPr>
          <w:rFonts w:ascii="Arial" w:hAnsi="Arial" w:cs="Arial"/>
          <w:sz w:val="22"/>
          <w:szCs w:val="22"/>
        </w:rPr>
      </w:pPr>
      <w:r w:rsidRPr="007D58E8">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Lobbying</w:t>
      </w:r>
      <w:r w:rsidRPr="007D58E8">
        <w:rPr>
          <w:rFonts w:ascii="Arial" w:hAnsi="Arial" w:cs="Arial"/>
          <w:b/>
          <w:bCs/>
          <w:sz w:val="22"/>
          <w:szCs w:val="22"/>
        </w:rPr>
        <w:t>.</w:t>
      </w:r>
      <w:r w:rsidRPr="007D58E8">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rsidR="00324E69" w:rsidRPr="007D58E8" w:rsidRDefault="00324E69" w:rsidP="00CD4EA3">
      <w:pPr>
        <w:pStyle w:val="ListParagraph"/>
        <w:ind w:left="360"/>
        <w:rPr>
          <w:rFonts w:ascii="Arial" w:hAnsi="Arial" w:cs="Arial"/>
          <w:color w:val="000000"/>
          <w:sz w:val="22"/>
          <w:szCs w:val="22"/>
        </w:rPr>
      </w:pPr>
      <w:r w:rsidRPr="007D58E8">
        <w:rPr>
          <w:rFonts w:ascii="Arial" w:hAnsi="Arial" w:cs="Arial"/>
          <w:sz w:val="22"/>
          <w:szCs w:val="22"/>
        </w:rPr>
        <w:t xml:space="preserve">If any </w:t>
      </w:r>
      <w:r w:rsidRPr="007D58E8">
        <w:rPr>
          <w:rFonts w:ascii="Arial" w:hAnsi="Arial" w:cs="Arial"/>
          <w:color w:val="000000"/>
          <w:sz w:val="22"/>
          <w:szCs w:val="22"/>
        </w:rPr>
        <w:t>other</w:t>
      </w:r>
      <w:r w:rsidRPr="007D58E8">
        <w:rPr>
          <w:rFonts w:ascii="Arial" w:hAnsi="Arial" w:cs="Arial"/>
          <w:sz w:val="22"/>
          <w:szCs w:val="22"/>
        </w:rPr>
        <w:t xml:space="preserve"> </w:t>
      </w:r>
      <w:r w:rsidRPr="007D58E8">
        <w:rPr>
          <w:rFonts w:ascii="Arial" w:hAnsi="Arial" w:cs="Arial"/>
          <w:color w:val="000000"/>
          <w:sz w:val="22"/>
          <w:szCs w:val="22"/>
        </w:rPr>
        <w:t>funds</w:t>
      </w:r>
      <w:r w:rsidRPr="007D58E8">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7D58E8">
        <w:rPr>
          <w:rFonts w:ascii="Arial" w:hAnsi="Arial" w:cs="Arial"/>
          <w:color w:val="000000"/>
          <w:sz w:val="22"/>
          <w:szCs w:val="22"/>
        </w:rPr>
        <w:t>available at</w:t>
      </w:r>
      <w:r w:rsidR="00CD4EA3" w:rsidRPr="007D58E8">
        <w:rPr>
          <w:rFonts w:ascii="Arial" w:hAnsi="Arial" w:cs="Arial"/>
          <w:color w:val="000000"/>
          <w:sz w:val="22"/>
          <w:szCs w:val="22"/>
        </w:rPr>
        <w:t>:</w:t>
      </w:r>
      <w:r w:rsidRPr="007D58E8">
        <w:rPr>
          <w:rFonts w:ascii="Arial" w:hAnsi="Arial" w:cs="Arial"/>
          <w:color w:val="000000"/>
          <w:sz w:val="22"/>
          <w:szCs w:val="22"/>
        </w:rPr>
        <w:t xml:space="preserve"> </w:t>
      </w:r>
      <w:hyperlink r:id="rId8" w:anchor="forms" w:history="1">
        <w:r w:rsidRPr="007D58E8">
          <w:rPr>
            <w:rStyle w:val="Hyperlink"/>
            <w:rFonts w:ascii="Arial" w:hAnsi="Arial" w:cs="Arial"/>
            <w:sz w:val="22"/>
            <w:szCs w:val="22"/>
          </w:rPr>
          <w:t>http://www.whitehouse.gov/omb/grants/#forms</w:t>
        </w:r>
      </w:hyperlink>
      <w:r w:rsidRPr="007D58E8">
        <w:rPr>
          <w:rFonts w:ascii="Arial" w:hAnsi="Arial" w:cs="Arial"/>
          <w:color w:val="000000"/>
          <w:sz w:val="22"/>
          <w:szCs w:val="22"/>
        </w:rPr>
        <w:t>.</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Drug-Free Workplace</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7D58E8">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Debarment and Suspension</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to the best of its knowledge and belief that it and all persons associated with the Agreement, including persons or corporations who have critical influence on or control over the Agreement, are not presently debarred, suspended, proposed for debarment, declared ineligible, or voluntarily excluded from participation by any federal department or agency.</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The Provider further agrees that the Debarment and Suspension Provision shall be included, without modification, in all sub-agreements.</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Environment Tobacco Smoke</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 xml:space="preserve">Also, the Provider of foster care services agrees that it will comply with Resolve 2003, c. 134, which prohibits smoking in the homes and vehicles operated by foster parents. </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Medicare and MaineCare Anti-Kickback</w:t>
      </w:r>
      <w:r w:rsidRPr="007D58E8">
        <w:rPr>
          <w:rFonts w:ascii="Arial" w:hAnsi="Arial" w:cs="Arial"/>
          <w:b/>
          <w:bCs/>
          <w:sz w:val="22"/>
          <w:szCs w:val="22"/>
        </w:rPr>
        <w:t>.</w:t>
      </w:r>
      <w:r w:rsidRPr="007D58E8">
        <w:rPr>
          <w:rFonts w:ascii="Arial" w:hAnsi="Arial" w:cs="Arial"/>
          <w:sz w:val="22"/>
          <w:szCs w:val="22"/>
        </w:rPr>
        <w:t xml:space="preserve">   By signing this Agreement, the Provider agrees that it shall comply with the dictates of 42 U.S.C. 1320a-</w:t>
      </w:r>
      <w:proofErr w:type="gramStart"/>
      <w:r w:rsidRPr="007D58E8">
        <w:rPr>
          <w:rFonts w:ascii="Arial" w:hAnsi="Arial" w:cs="Arial"/>
          <w:sz w:val="22"/>
          <w:szCs w:val="22"/>
        </w:rPr>
        <w:t>7b(</w:t>
      </w:r>
      <w:proofErr w:type="gramEnd"/>
      <w:r w:rsidRPr="007D58E8">
        <w:rPr>
          <w:rFonts w:ascii="Arial" w:hAnsi="Arial" w:cs="Arial"/>
          <w:sz w:val="22"/>
          <w:szCs w:val="22"/>
        </w:rPr>
        <w:t xml:space="preserve">b), which prohibits the solicitation or receipt of any direct or indirect remuneration in return for referring or arranging for the referral of an individual to a Provider of goods or services that may be paid for with Medicare, MaineCare, or state health program funds. </w:t>
      </w:r>
      <w:hyperlink r:id="rId9" w:history="1">
        <w:r w:rsidRPr="007D58E8">
          <w:rPr>
            <w:rStyle w:val="Hyperlink"/>
            <w:rFonts w:ascii="Arial" w:hAnsi="Arial" w:cs="Arial"/>
            <w:sz w:val="22"/>
            <w:szCs w:val="22"/>
          </w:rPr>
          <w:t>http://www.gpoaccess.gov/uscode/index.html</w:t>
        </w:r>
      </w:hyperlink>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Publications</w:t>
      </w:r>
      <w:r w:rsidRPr="007D58E8">
        <w:rPr>
          <w:rFonts w:ascii="Arial" w:hAnsi="Arial" w:cs="Arial"/>
          <w:b/>
          <w:bCs/>
          <w:sz w:val="22"/>
          <w:szCs w:val="22"/>
        </w:rPr>
        <w:t>.</w:t>
      </w:r>
      <w:r w:rsidRPr="007D58E8">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Ownership</w:t>
      </w:r>
      <w:r w:rsidRPr="007D58E8">
        <w:rPr>
          <w:rFonts w:ascii="Arial" w:hAnsi="Arial" w:cs="Arial"/>
          <w:b/>
          <w:bCs/>
          <w:sz w:val="22"/>
          <w:szCs w:val="22"/>
        </w:rPr>
        <w:t>.</w:t>
      </w:r>
      <w:r w:rsidRPr="007D58E8">
        <w:rPr>
          <w:rFonts w:ascii="Arial" w:hAnsi="Arial" w:cs="Arial"/>
          <w:sz w:val="22"/>
          <w:szCs w:val="22"/>
        </w:rPr>
        <w:t xml:space="preserve"> All notebooks, plans, working papers, or other work produced in the performance of this Agreement, </w:t>
      </w:r>
      <w:r w:rsidR="00CD4EA3" w:rsidRPr="007D58E8">
        <w:rPr>
          <w:rFonts w:ascii="Arial" w:hAnsi="Arial" w:cs="Arial"/>
          <w:sz w:val="22"/>
          <w:szCs w:val="22"/>
        </w:rPr>
        <w:t>which</w:t>
      </w:r>
      <w:r w:rsidRPr="007D58E8">
        <w:rPr>
          <w:rFonts w:ascii="Arial" w:hAnsi="Arial" w:cs="Arial"/>
          <w:sz w:val="22"/>
          <w:szCs w:val="22"/>
        </w:rPr>
        <w:t xml:space="preserve"> are related to specific deliverables under this Agreement, are the property of the Department and upon request shall be turned over to the Department.</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Software Ownership</w:t>
      </w:r>
      <w:r w:rsidRPr="007D58E8">
        <w:rPr>
          <w:rFonts w:ascii="Arial" w:hAnsi="Arial" w:cs="Arial"/>
          <w:b/>
          <w:bCs/>
          <w:sz w:val="22"/>
          <w:szCs w:val="22"/>
        </w:rPr>
        <w:t>.</w:t>
      </w:r>
      <w:r w:rsidRPr="007D58E8">
        <w:rPr>
          <w:rFonts w:ascii="Arial" w:hAnsi="Arial" w:cs="Arial"/>
          <w:sz w:val="22"/>
          <w:szCs w:val="22"/>
        </w:rPr>
        <w:t xml:space="preserve"> Upon request, the State and all appropriate federal agencies shall receive a royalty-free, nonexclusive, and irrevocable license to reproduce, publish, or otherwise</w:t>
      </w:r>
      <w:r w:rsidRPr="007D58E8">
        <w:rPr>
          <w:rFonts w:ascii="Arial" w:hAnsi="Arial" w:cs="Arial"/>
          <w:color w:val="FF0000"/>
          <w:sz w:val="22"/>
          <w:szCs w:val="22"/>
        </w:rPr>
        <w:t xml:space="preserve"> </w:t>
      </w:r>
      <w:r w:rsidRPr="007D58E8">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rsidR="00324E69" w:rsidRPr="007D58E8" w:rsidRDefault="00324E69">
      <w:pPr>
        <w:rPr>
          <w:rFonts w:ascii="Arial" w:hAnsi="Arial" w:cs="Arial"/>
          <w:sz w:val="22"/>
          <w:szCs w:val="22"/>
        </w:rPr>
      </w:pPr>
    </w:p>
    <w:p w:rsidR="00983BD1" w:rsidRPr="007D58E8" w:rsidRDefault="00983BD1" w:rsidP="00983BD1">
      <w:pPr>
        <w:pStyle w:val="ListParagraph"/>
        <w:numPr>
          <w:ilvl w:val="0"/>
          <w:numId w:val="3"/>
        </w:numPr>
        <w:contextualSpacing w:val="0"/>
        <w:rPr>
          <w:rFonts w:ascii="Arial" w:hAnsi="Arial" w:cs="Arial"/>
          <w:sz w:val="22"/>
          <w:szCs w:val="22"/>
        </w:rPr>
      </w:pPr>
      <w:r w:rsidRPr="007D58E8">
        <w:rPr>
          <w:rFonts w:ascii="Arial" w:hAnsi="Arial" w:cs="Arial"/>
          <w:b/>
          <w:sz w:val="22"/>
          <w:szCs w:val="22"/>
          <w:u w:val="single"/>
        </w:rPr>
        <w:t>Provider Responsibilities / Sub Agreements.</w:t>
      </w:r>
      <w:r w:rsidRPr="007D58E8">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rsidR="00983BD1" w:rsidRPr="007D58E8" w:rsidRDefault="00983BD1" w:rsidP="00983BD1">
      <w:pPr>
        <w:pStyle w:val="Normal2"/>
        <w:rPr>
          <w:rFonts w:ascii="Arial" w:hAnsi="Arial" w:cs="Arial"/>
          <w:sz w:val="22"/>
          <w:szCs w:val="22"/>
        </w:rPr>
      </w:pPr>
    </w:p>
    <w:p w:rsidR="00983BD1" w:rsidRPr="007D58E8" w:rsidRDefault="00983BD1" w:rsidP="00983BD1">
      <w:pPr>
        <w:pStyle w:val="ListParagraph"/>
        <w:numPr>
          <w:ilvl w:val="1"/>
          <w:numId w:val="3"/>
        </w:numPr>
        <w:contextualSpacing w:val="0"/>
        <w:rPr>
          <w:rFonts w:ascii="Arial" w:hAnsi="Arial" w:cs="Arial"/>
          <w:sz w:val="22"/>
          <w:szCs w:val="22"/>
        </w:rPr>
      </w:pPr>
      <w:r w:rsidRPr="007D58E8">
        <w:rPr>
          <w:rFonts w:ascii="Arial" w:hAnsi="Arial" w:cs="Arial"/>
          <w:sz w:val="22"/>
          <w:szCs w:val="22"/>
        </w:rPr>
        <w:t>Sub-agreements.</w:t>
      </w:r>
    </w:p>
    <w:p w:rsidR="00983BD1" w:rsidRPr="007D58E8" w:rsidRDefault="00983BD1" w:rsidP="00983BD1">
      <w:pPr>
        <w:ind w:left="72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All sub-agreements must contain the assurances of Rider B and Rider D of this Agreement;</w:t>
      </w:r>
    </w:p>
    <w:p w:rsidR="00983BD1" w:rsidRPr="007D58E8" w:rsidRDefault="00983BD1" w:rsidP="00983BD1">
      <w:pPr>
        <w:ind w:left="108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All sub-agreements must be signed and delivered to the Department’s Agreement Administrator within five (5) business days following the execution date of the sub-agreement.</w:t>
      </w:r>
    </w:p>
    <w:p w:rsidR="00983BD1" w:rsidRPr="007D58E8" w:rsidRDefault="00983BD1" w:rsidP="00983BD1">
      <w:pPr>
        <w:pStyle w:val="ListParagraph"/>
        <w:ind w:left="108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See Rider B Section 8.</w:t>
      </w:r>
    </w:p>
    <w:p w:rsidR="00983BD1" w:rsidRPr="007D58E8" w:rsidRDefault="00983BD1" w:rsidP="00983BD1">
      <w:pPr>
        <w:pStyle w:val="Normal2"/>
        <w:ind w:firstLine="720"/>
        <w:rPr>
          <w:rFonts w:ascii="Arial" w:hAnsi="Arial" w:cs="Arial"/>
          <w:sz w:val="22"/>
          <w:szCs w:val="22"/>
        </w:rPr>
      </w:pPr>
    </w:p>
    <w:p w:rsidR="00983BD1" w:rsidRPr="007D58E8" w:rsidRDefault="00983BD1" w:rsidP="00983BD1">
      <w:pPr>
        <w:pStyle w:val="ListParagraph"/>
        <w:numPr>
          <w:ilvl w:val="1"/>
          <w:numId w:val="3"/>
        </w:numPr>
        <w:contextualSpacing w:val="0"/>
        <w:rPr>
          <w:rFonts w:ascii="Arial" w:hAnsi="Arial" w:cs="Arial"/>
          <w:sz w:val="22"/>
          <w:szCs w:val="22"/>
        </w:rPr>
      </w:pPr>
      <w:r w:rsidRPr="007D58E8">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rsidR="00983BD1" w:rsidRPr="007D58E8" w:rsidRDefault="00983BD1" w:rsidP="00983BD1">
      <w:pPr>
        <w:pStyle w:val="Normal2"/>
        <w:rPr>
          <w:rFonts w:ascii="Arial" w:hAnsi="Arial" w:cs="Arial"/>
          <w:sz w:val="22"/>
          <w:szCs w:val="22"/>
        </w:rPr>
      </w:pPr>
    </w:p>
    <w:p w:rsidR="00324E69" w:rsidRPr="007D58E8" w:rsidRDefault="00983BD1" w:rsidP="00983BD1">
      <w:pPr>
        <w:pStyle w:val="Normal2"/>
        <w:numPr>
          <w:ilvl w:val="1"/>
          <w:numId w:val="3"/>
        </w:numPr>
        <w:rPr>
          <w:rFonts w:ascii="Arial" w:hAnsi="Arial" w:cs="Arial"/>
          <w:sz w:val="22"/>
          <w:szCs w:val="22"/>
        </w:rPr>
      </w:pPr>
      <w:r w:rsidRPr="007D58E8">
        <w:rPr>
          <w:rFonts w:ascii="Arial" w:hAnsi="Arial" w:cs="Arial"/>
          <w:sz w:val="22"/>
          <w:szCs w:val="22"/>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rsidR="00324E69" w:rsidRPr="007D58E8" w:rsidRDefault="00324E69">
      <w:pPr>
        <w:rPr>
          <w:rFonts w:ascii="Arial" w:hAnsi="Arial" w:cs="Arial"/>
          <w:sz w:val="22"/>
          <w:szCs w:val="22"/>
        </w:rPr>
      </w:pPr>
    </w:p>
    <w:p w:rsidR="00324E69" w:rsidRPr="007D58E8" w:rsidRDefault="00324E69" w:rsidP="00CD4EA3">
      <w:pPr>
        <w:pStyle w:val="Normal2"/>
        <w:numPr>
          <w:ilvl w:val="0"/>
          <w:numId w:val="3"/>
        </w:numPr>
        <w:rPr>
          <w:rFonts w:ascii="Arial" w:hAnsi="Arial" w:cs="Arial"/>
          <w:sz w:val="22"/>
          <w:szCs w:val="22"/>
        </w:rPr>
      </w:pPr>
      <w:r w:rsidRPr="007D58E8">
        <w:rPr>
          <w:rFonts w:ascii="Arial" w:hAnsi="Arial" w:cs="Arial"/>
          <w:b/>
          <w:bCs w:val="0"/>
          <w:sz w:val="22"/>
          <w:szCs w:val="22"/>
          <w:u w:val="single"/>
        </w:rPr>
        <w:t>Renewals</w:t>
      </w:r>
      <w:r w:rsidRPr="007D58E8">
        <w:rPr>
          <w:rFonts w:ascii="Arial" w:hAnsi="Arial" w:cs="Arial"/>
          <w:b/>
          <w:bCs w:val="0"/>
          <w:sz w:val="22"/>
          <w:szCs w:val="22"/>
        </w:rPr>
        <w:t xml:space="preserve">. </w:t>
      </w:r>
      <w:r w:rsidRPr="007D58E8">
        <w:rPr>
          <w:rFonts w:ascii="Arial" w:hAnsi="Arial" w:cs="Arial"/>
          <w:sz w:val="22"/>
          <w:szCs w:val="22"/>
        </w:rPr>
        <w:t>This Agreement may be renewed</w:t>
      </w:r>
      <w:r w:rsidRPr="007D58E8">
        <w:rPr>
          <w:rFonts w:ascii="Arial" w:hAnsi="Arial" w:cs="Arial"/>
          <w:b/>
          <w:bCs w:val="0"/>
          <w:sz w:val="22"/>
          <w:szCs w:val="22"/>
        </w:rPr>
        <w:t xml:space="preserve"> </w:t>
      </w:r>
      <w:r w:rsidRPr="007D58E8">
        <w:rPr>
          <w:rFonts w:ascii="Arial" w:hAnsi="Arial" w:cs="Arial"/>
          <w:sz w:val="22"/>
          <w:szCs w:val="22"/>
        </w:rPr>
        <w:t>at the discretion of the Department.</w:t>
      </w:r>
    </w:p>
    <w:p w:rsidR="00324E69" w:rsidRPr="007D58E8" w:rsidRDefault="00324E69" w:rsidP="005E5E13">
      <w:pPr>
        <w:pStyle w:val="Normal2"/>
        <w:ind w:left="770" w:hanging="770"/>
        <w:rPr>
          <w:rFonts w:ascii="Arial" w:hAnsi="Arial" w:cs="Arial"/>
          <w:sz w:val="22"/>
          <w:szCs w:val="22"/>
        </w:rPr>
      </w:pPr>
    </w:p>
    <w:p w:rsidR="00324E69" w:rsidRPr="007D58E8" w:rsidRDefault="00324E69" w:rsidP="00CD4EA3">
      <w:pPr>
        <w:pStyle w:val="Normal2"/>
        <w:numPr>
          <w:ilvl w:val="0"/>
          <w:numId w:val="3"/>
        </w:numPr>
        <w:rPr>
          <w:rFonts w:ascii="Arial" w:hAnsi="Arial" w:cs="Arial"/>
          <w:sz w:val="22"/>
          <w:szCs w:val="22"/>
        </w:rPr>
      </w:pPr>
      <w:r w:rsidRPr="007D58E8">
        <w:rPr>
          <w:rFonts w:ascii="Arial" w:hAnsi="Arial" w:cs="Arial"/>
          <w:b/>
          <w:bCs w:val="0"/>
          <w:sz w:val="22"/>
          <w:szCs w:val="22"/>
          <w:u w:val="single"/>
        </w:rPr>
        <w:t xml:space="preserve">No Rule of Construction. </w:t>
      </w:r>
      <w:r w:rsidRPr="007D58E8">
        <w:rPr>
          <w:rFonts w:ascii="Arial" w:hAnsi="Arial" w:cs="Arial"/>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rsidR="00324E69" w:rsidRPr="007D58E8" w:rsidRDefault="00324E69" w:rsidP="005E5E13">
      <w:pPr>
        <w:pStyle w:val="Normal2"/>
        <w:rPr>
          <w:rFonts w:ascii="Arial" w:hAnsi="Arial" w:cs="Arial"/>
          <w:sz w:val="22"/>
          <w:szCs w:val="22"/>
        </w:rPr>
      </w:pPr>
    </w:p>
    <w:p w:rsidR="00CD4EA3" w:rsidRPr="007D58E8" w:rsidRDefault="00324E69" w:rsidP="00CD4EA3">
      <w:pPr>
        <w:pStyle w:val="Normal2"/>
        <w:numPr>
          <w:ilvl w:val="0"/>
          <w:numId w:val="3"/>
        </w:numPr>
        <w:rPr>
          <w:rFonts w:ascii="Arial" w:hAnsi="Arial" w:cs="Arial"/>
          <w:sz w:val="22"/>
          <w:szCs w:val="22"/>
        </w:rPr>
      </w:pPr>
      <w:r w:rsidRPr="007D58E8">
        <w:rPr>
          <w:rFonts w:ascii="Arial" w:hAnsi="Arial" w:cs="Arial"/>
          <w:b/>
          <w:sz w:val="22"/>
          <w:szCs w:val="22"/>
          <w:u w:val="single"/>
        </w:rPr>
        <w:t>Conflict of Interest</w:t>
      </w:r>
      <w:r w:rsidRPr="007D58E8">
        <w:rPr>
          <w:rFonts w:ascii="Arial" w:hAnsi="Arial" w:cs="Arial"/>
          <w:bCs w:val="0"/>
          <w:caps/>
          <w:sz w:val="22"/>
          <w:szCs w:val="22"/>
        </w:rPr>
        <w:t>.</w:t>
      </w:r>
      <w:r w:rsidRPr="007D58E8">
        <w:rPr>
          <w:rFonts w:ascii="Arial" w:hAnsi="Arial" w:cs="Arial"/>
          <w:caps/>
          <w:sz w:val="22"/>
          <w:szCs w:val="22"/>
        </w:rPr>
        <w:t xml:space="preserve">  </w:t>
      </w:r>
      <w:r w:rsidRPr="007D58E8">
        <w:rPr>
          <w:rFonts w:ascii="Arial" w:hAnsi="Arial" w:cs="Arial"/>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7D58E8">
        <w:rPr>
          <w:rFonts w:ascii="Arial" w:hAnsi="Arial" w:cs="Arial"/>
          <w:b/>
          <w:bCs w:val="0"/>
          <w:sz w:val="22"/>
          <w:szCs w:val="22"/>
        </w:rPr>
        <w:t>[See also Rider B, #11 and #12]</w:t>
      </w:r>
    </w:p>
    <w:p w:rsidR="00CD4EA3" w:rsidRPr="007D58E8" w:rsidRDefault="00CD4EA3" w:rsidP="00CD4EA3">
      <w:pPr>
        <w:pStyle w:val="ListParagraph"/>
        <w:rPr>
          <w:rFonts w:ascii="Arial" w:hAnsi="Arial" w:cs="Arial"/>
          <w:b/>
          <w:sz w:val="22"/>
          <w:szCs w:val="22"/>
          <w:u w:val="single"/>
        </w:rPr>
      </w:pPr>
    </w:p>
    <w:p w:rsidR="0092147B" w:rsidRPr="007D58E8" w:rsidRDefault="0092147B" w:rsidP="00CD4EA3">
      <w:pPr>
        <w:pStyle w:val="Normal2"/>
        <w:numPr>
          <w:ilvl w:val="0"/>
          <w:numId w:val="3"/>
        </w:numPr>
        <w:rPr>
          <w:rFonts w:ascii="Arial" w:hAnsi="Arial" w:cs="Arial"/>
          <w:sz w:val="22"/>
          <w:szCs w:val="22"/>
        </w:rPr>
      </w:pPr>
      <w:r w:rsidRPr="007D58E8">
        <w:rPr>
          <w:rFonts w:ascii="Arial" w:hAnsi="Arial" w:cs="Arial"/>
          <w:b/>
          <w:sz w:val="22"/>
          <w:szCs w:val="22"/>
          <w:u w:val="single"/>
        </w:rPr>
        <w:t>Whistleblower Protection.</w:t>
      </w:r>
      <w:r w:rsidRPr="007D58E8">
        <w:rPr>
          <w:rFonts w:ascii="Arial" w:hAnsi="Arial" w:cs="Arial"/>
          <w:b/>
          <w:sz w:val="22"/>
          <w:szCs w:val="22"/>
        </w:rPr>
        <w:t xml:space="preserve">  </w:t>
      </w: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 xml:space="preserve">This </w:t>
      </w:r>
      <w:r w:rsidR="006E5B9D" w:rsidRPr="007D58E8">
        <w:rPr>
          <w:rFonts w:ascii="Arial" w:hAnsi="Arial" w:cs="Arial"/>
          <w:sz w:val="22"/>
          <w:szCs w:val="22"/>
        </w:rPr>
        <w:t>Agreement</w:t>
      </w:r>
      <w:r w:rsidRPr="007D58E8">
        <w:rPr>
          <w:rFonts w:ascii="Arial" w:hAnsi="Arial" w:cs="Arial"/>
          <w:sz w:val="22"/>
          <w:szCs w:val="22"/>
        </w:rPr>
        <w:t xml:space="preserve"> and employees working on this </w:t>
      </w:r>
      <w:r w:rsidR="006E5B9D" w:rsidRPr="007D58E8">
        <w:rPr>
          <w:rFonts w:ascii="Arial" w:hAnsi="Arial" w:cs="Arial"/>
          <w:sz w:val="22"/>
          <w:szCs w:val="22"/>
        </w:rPr>
        <w:t>Agreement</w:t>
      </w:r>
      <w:r w:rsidRPr="007D58E8">
        <w:rPr>
          <w:rFonts w:ascii="Arial" w:hAnsi="Arial" w:cs="Arial"/>
          <w:sz w:val="22"/>
          <w:szCs w:val="22"/>
        </w:rPr>
        <w:t xml:space="preserve"> will be subject to the whistleblower rights and remedies in the pilot program on employee whistleblower protections established at 41 U.S.C. 4712 by section 828 of the National Defense Authorization Act for Fiscal Year 2013 (Pub. L. 112-239) and FAR 3.908.</w:t>
      </w:r>
    </w:p>
    <w:p w:rsidR="00CD4EA3" w:rsidRPr="007D58E8" w:rsidRDefault="00CD4EA3" w:rsidP="00CD4EA3">
      <w:pPr>
        <w:pStyle w:val="ListParagraph"/>
        <w:rPr>
          <w:rFonts w:ascii="Arial" w:hAnsi="Arial" w:cs="Arial"/>
          <w:sz w:val="22"/>
          <w:szCs w:val="22"/>
        </w:rPr>
      </w:pP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rsidR="00CD4EA3" w:rsidRPr="007D58E8" w:rsidRDefault="00CD4EA3" w:rsidP="00CD4EA3">
      <w:pPr>
        <w:rPr>
          <w:rFonts w:ascii="Arial" w:hAnsi="Arial" w:cs="Arial"/>
          <w:sz w:val="22"/>
          <w:szCs w:val="22"/>
        </w:rPr>
      </w:pP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The Provider shall insert the substance of this clause, including this paragraph (c), in all subcontracts over the simplified acquisition threshold.</w:t>
      </w:r>
    </w:p>
    <w:p w:rsidR="00324E69" w:rsidRPr="007D58E8" w:rsidRDefault="00324E69">
      <w:pPr>
        <w:rPr>
          <w:rFonts w:ascii="Arial" w:hAnsi="Arial" w:cs="Arial"/>
          <w:sz w:val="22"/>
          <w:szCs w:val="22"/>
        </w:rPr>
      </w:pPr>
    </w:p>
    <w:p w:rsidR="000C0FBF" w:rsidRDefault="000C0FBF"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Funding Sources Reduced.</w:t>
      </w:r>
      <w:r w:rsidRPr="007D58E8">
        <w:rPr>
          <w:rFonts w:ascii="Arial" w:hAnsi="Arial" w:cs="Arial"/>
          <w:bCs/>
          <w:sz w:val="22"/>
          <w:szCs w:val="22"/>
        </w:rPr>
        <w:t xml:space="preserve">  Notwithstanding any other provision of this Agreement, if the United States Government</w:t>
      </w:r>
      <w:r w:rsidR="00565EAC" w:rsidRPr="007D58E8">
        <w:rPr>
          <w:rFonts w:ascii="Arial" w:hAnsi="Arial" w:cs="Arial"/>
          <w:bCs/>
          <w:sz w:val="22"/>
          <w:szCs w:val="22"/>
        </w:rPr>
        <w:t xml:space="preserve"> or any department of the United States Government,</w:t>
      </w:r>
      <w:r w:rsidRPr="007D58E8">
        <w:rPr>
          <w:rFonts w:ascii="Arial" w:hAnsi="Arial" w:cs="Arial"/>
          <w:bCs/>
          <w:sz w:val="22"/>
          <w:szCs w:val="22"/>
        </w:rPr>
        <w:t xml:space="preserve">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w:t>
      </w:r>
      <w:r w:rsidR="00565EAC" w:rsidRPr="007D58E8">
        <w:rPr>
          <w:rFonts w:ascii="Arial" w:hAnsi="Arial" w:cs="Arial"/>
          <w:bCs/>
          <w:sz w:val="22"/>
          <w:szCs w:val="22"/>
        </w:rPr>
        <w:t xml:space="preserve"> de-appropriation, suspension or curtailment of funds</w:t>
      </w:r>
      <w:r w:rsidRPr="007D58E8">
        <w:rPr>
          <w:rFonts w:ascii="Arial" w:hAnsi="Arial" w:cs="Arial"/>
          <w:bCs/>
          <w:sz w:val="22"/>
          <w:szCs w:val="22"/>
        </w:rPr>
        <w:t>, the Agreement shall be modified</w:t>
      </w:r>
      <w:r w:rsidR="00565EAC" w:rsidRPr="007D58E8">
        <w:rPr>
          <w:rFonts w:ascii="Arial" w:hAnsi="Arial" w:cs="Arial"/>
          <w:bCs/>
          <w:sz w:val="22"/>
          <w:szCs w:val="22"/>
        </w:rPr>
        <w:t xml:space="preserve"> accordingly</w:t>
      </w:r>
      <w:r w:rsidRPr="007D58E8">
        <w:rPr>
          <w:rFonts w:ascii="Arial" w:hAnsi="Arial" w:cs="Arial"/>
          <w:bCs/>
          <w:sz w:val="22"/>
          <w:szCs w:val="22"/>
        </w:rPr>
        <w:t>.</w:t>
      </w:r>
      <w:r w:rsidR="00CD4EA3" w:rsidRPr="007D58E8">
        <w:rPr>
          <w:rFonts w:ascii="Arial" w:hAnsi="Arial" w:cs="Arial"/>
          <w:sz w:val="22"/>
          <w:szCs w:val="22"/>
        </w:rPr>
        <w:t xml:space="preserve"> </w:t>
      </w:r>
    </w:p>
    <w:p w:rsidR="00BC057F" w:rsidRPr="00BC057F" w:rsidRDefault="00BC057F" w:rsidP="00BC057F">
      <w:pPr>
        <w:pStyle w:val="ListParagraph"/>
        <w:ind w:left="360"/>
        <w:contextualSpacing w:val="0"/>
        <w:rPr>
          <w:rFonts w:ascii="Arial" w:hAnsi="Arial" w:cs="Arial"/>
          <w:sz w:val="22"/>
          <w:szCs w:val="22"/>
        </w:rPr>
      </w:pPr>
      <w:bookmarkStart w:id="0" w:name="_GoBack"/>
      <w:bookmarkEnd w:id="0"/>
    </w:p>
    <w:p w:rsidR="00BC057F" w:rsidRPr="00310C3F" w:rsidRDefault="00BC057F" w:rsidP="00BC057F">
      <w:pPr>
        <w:pStyle w:val="ListParagraph"/>
        <w:numPr>
          <w:ilvl w:val="0"/>
          <w:numId w:val="3"/>
        </w:numPr>
        <w:contextualSpacing w:val="0"/>
        <w:rPr>
          <w:rFonts w:ascii="Arial" w:hAnsi="Arial" w:cs="Arial"/>
          <w:sz w:val="22"/>
          <w:szCs w:val="22"/>
        </w:rPr>
      </w:pPr>
      <w:r w:rsidRPr="00310C3F">
        <w:rPr>
          <w:rFonts w:ascii="Arial" w:hAnsi="Arial" w:cs="Arial"/>
          <w:b/>
          <w:sz w:val="22"/>
          <w:szCs w:val="22"/>
          <w:u w:val="single"/>
        </w:rPr>
        <w:t xml:space="preserve">Change of </w:t>
      </w:r>
      <w:r>
        <w:rPr>
          <w:rFonts w:ascii="Arial" w:hAnsi="Arial" w:cs="Arial"/>
          <w:b/>
          <w:sz w:val="22"/>
          <w:szCs w:val="22"/>
          <w:u w:val="single"/>
        </w:rPr>
        <w:t>Operations</w:t>
      </w:r>
    </w:p>
    <w:p w:rsidR="00BC057F" w:rsidRPr="00310C3F" w:rsidRDefault="00BC057F" w:rsidP="00BC057F">
      <w:pPr>
        <w:pStyle w:val="ListParagraph"/>
        <w:ind w:left="360"/>
        <w:contextualSpacing w:val="0"/>
        <w:rPr>
          <w:rFonts w:ascii="Arial" w:hAnsi="Arial" w:cs="Arial"/>
          <w:color w:val="FF0000"/>
          <w:sz w:val="22"/>
          <w:szCs w:val="22"/>
        </w:rPr>
      </w:pPr>
      <w:r w:rsidRPr="00310C3F">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rsidR="00BC057F" w:rsidRPr="00BC057F" w:rsidRDefault="00BC057F" w:rsidP="00BC057F">
      <w:pPr>
        <w:rPr>
          <w:rFonts w:ascii="Arial" w:hAnsi="Arial" w:cs="Arial"/>
          <w:sz w:val="22"/>
          <w:szCs w:val="22"/>
        </w:rPr>
      </w:pPr>
    </w:p>
    <w:sectPr w:rsidR="00BC057F" w:rsidRPr="00BC057F" w:rsidSect="005F55C6">
      <w:footerReference w:type="default" r:id="rId10"/>
      <w:footerReference w:type="firs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6D" w:rsidRDefault="00B06B6D">
      <w:r>
        <w:separator/>
      </w:r>
    </w:p>
  </w:endnote>
  <w:endnote w:type="continuationSeparator" w:id="0">
    <w:p w:rsidR="00B06B6D" w:rsidRDefault="00B0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6D" w:rsidRPr="00AF53D7" w:rsidRDefault="000505C8"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BC057F">
      <w:rPr>
        <w:rFonts w:ascii="Arial" w:hAnsi="Arial" w:cs="Arial"/>
        <w:noProof/>
        <w:sz w:val="22"/>
        <w:szCs w:val="22"/>
      </w:rPr>
      <w:t>4</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2016.</w:t>
    </w:r>
    <w:r w:rsidR="00C94AEA">
      <w:rPr>
        <w:rFonts w:ascii="Arial" w:hAnsi="Arial" w:cs="Arial"/>
        <w:color w:val="000000"/>
        <w:sz w:val="22"/>
        <w:szCs w:val="22"/>
      </w:rPr>
      <w:t>CON</w:t>
    </w:r>
    <w:r w:rsidRPr="00AF53D7">
      <w:rPr>
        <w:rFonts w:ascii="Arial" w:hAnsi="Arial" w:cs="Arial"/>
        <w:color w:val="000000"/>
        <w:sz w:val="22"/>
        <w:szCs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69" w:rsidRDefault="0086186D" w:rsidP="0086186D">
    <w:pPr>
      <w:pStyle w:val="Footer"/>
    </w:pPr>
    <w:r>
      <w:t>DHHS Version 2015.1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6D" w:rsidRDefault="00B06B6D">
      <w:r>
        <w:separator/>
      </w:r>
    </w:p>
  </w:footnote>
  <w:footnote w:type="continuationSeparator" w:id="0">
    <w:p w:rsidR="00B06B6D" w:rsidRDefault="00B0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4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1F005C"/>
    <w:multiLevelType w:val="hybridMultilevel"/>
    <w:tmpl w:val="44EEDD88"/>
    <w:lvl w:ilvl="0" w:tplc="6164B5CC">
      <w:start w:val="1"/>
      <w:numFmt w:val="decimal"/>
      <w:lvlText w:val="%1."/>
      <w:lvlJc w:val="left"/>
      <w:pPr>
        <w:tabs>
          <w:tab w:val="num" w:pos="840"/>
        </w:tabs>
        <w:ind w:left="840" w:hanging="480"/>
      </w:pPr>
      <w:rPr>
        <w:rFonts w:cs="Times New Roman" w:hint="default"/>
        <w:b w:val="0"/>
        <w:i w:val="0"/>
      </w:rPr>
    </w:lvl>
    <w:lvl w:ilvl="1" w:tplc="CF128ED2">
      <w:start w:val="1"/>
      <w:numFmt w:val="none"/>
      <w:lvlText w:val="4.4"/>
      <w:lvlJc w:val="left"/>
      <w:pPr>
        <w:tabs>
          <w:tab w:val="num" w:pos="1080"/>
        </w:tabs>
        <w:ind w:left="1080" w:hanging="360"/>
      </w:pPr>
      <w:rPr>
        <w:rFonts w:cs="Times New Roman" w:hint="default"/>
        <w:b w:val="0"/>
        <w:i w:val="0"/>
      </w:rPr>
    </w:lvl>
    <w:lvl w:ilvl="2" w:tplc="A7DC3AEE">
      <w:numFmt w:val="none"/>
      <w:lvlText w:val=""/>
      <w:lvlJc w:val="left"/>
      <w:pPr>
        <w:tabs>
          <w:tab w:val="num" w:pos="360"/>
        </w:tabs>
      </w:pPr>
      <w:rPr>
        <w:rFonts w:cs="Times New Roman"/>
      </w:rPr>
    </w:lvl>
    <w:lvl w:ilvl="3" w:tplc="389AE452">
      <w:numFmt w:val="none"/>
      <w:lvlText w:val=""/>
      <w:lvlJc w:val="left"/>
      <w:pPr>
        <w:tabs>
          <w:tab w:val="num" w:pos="360"/>
        </w:tabs>
      </w:pPr>
      <w:rPr>
        <w:rFonts w:cs="Times New Roman"/>
      </w:rPr>
    </w:lvl>
    <w:lvl w:ilvl="4" w:tplc="AFDC4192">
      <w:numFmt w:val="none"/>
      <w:lvlText w:val=""/>
      <w:lvlJc w:val="left"/>
      <w:pPr>
        <w:tabs>
          <w:tab w:val="num" w:pos="360"/>
        </w:tabs>
      </w:pPr>
      <w:rPr>
        <w:rFonts w:cs="Times New Roman"/>
      </w:rPr>
    </w:lvl>
    <w:lvl w:ilvl="5" w:tplc="E83E3516">
      <w:numFmt w:val="none"/>
      <w:lvlText w:val=""/>
      <w:lvlJc w:val="left"/>
      <w:pPr>
        <w:tabs>
          <w:tab w:val="num" w:pos="360"/>
        </w:tabs>
      </w:pPr>
      <w:rPr>
        <w:rFonts w:cs="Times New Roman"/>
      </w:rPr>
    </w:lvl>
    <w:lvl w:ilvl="6" w:tplc="F3D030C4">
      <w:numFmt w:val="none"/>
      <w:lvlText w:val=""/>
      <w:lvlJc w:val="left"/>
      <w:pPr>
        <w:tabs>
          <w:tab w:val="num" w:pos="360"/>
        </w:tabs>
      </w:pPr>
      <w:rPr>
        <w:rFonts w:cs="Times New Roman"/>
      </w:rPr>
    </w:lvl>
    <w:lvl w:ilvl="7" w:tplc="519653DC">
      <w:numFmt w:val="none"/>
      <w:lvlText w:val=""/>
      <w:lvlJc w:val="left"/>
      <w:pPr>
        <w:tabs>
          <w:tab w:val="num" w:pos="360"/>
        </w:tabs>
      </w:pPr>
      <w:rPr>
        <w:rFonts w:cs="Times New Roman"/>
      </w:rPr>
    </w:lvl>
    <w:lvl w:ilvl="8" w:tplc="B6BE08AA">
      <w:numFmt w:val="none"/>
      <w:lvlText w:val=""/>
      <w:lvlJc w:val="left"/>
      <w:pPr>
        <w:tabs>
          <w:tab w:val="num" w:pos="360"/>
        </w:tabs>
      </w:pPr>
      <w:rPr>
        <w:rFonts w:cs="Times New Roman"/>
      </w:rPr>
    </w:lvl>
  </w:abstractNum>
  <w:abstractNum w:abstractNumId="3">
    <w:nsid w:val="1FBA6678"/>
    <w:multiLevelType w:val="hybridMultilevel"/>
    <w:tmpl w:val="9A983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331E0"/>
    <w:multiLevelType w:val="hybridMultilevel"/>
    <w:tmpl w:val="EEE66EC2"/>
    <w:lvl w:ilvl="0" w:tplc="1FAA3522">
      <w:start w:val="1"/>
      <w:numFmt w:val="decimal"/>
      <w:lvlText w:val="%1."/>
      <w:lvlJc w:val="left"/>
      <w:pPr>
        <w:ind w:left="720" w:hanging="360"/>
      </w:pPr>
      <w:rPr>
        <w:rFonts w:hint="default"/>
        <w:b/>
      </w:rPr>
    </w:lvl>
    <w:lvl w:ilvl="1" w:tplc="6C14C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540AF"/>
    <w:multiLevelType w:val="hybridMultilevel"/>
    <w:tmpl w:val="E176126E"/>
    <w:lvl w:ilvl="0" w:tplc="C46263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C"/>
    <w:rsid w:val="00012FB6"/>
    <w:rsid w:val="00025839"/>
    <w:rsid w:val="00033E8F"/>
    <w:rsid w:val="00035F85"/>
    <w:rsid w:val="00037D0C"/>
    <w:rsid w:val="00046E6C"/>
    <w:rsid w:val="000505C8"/>
    <w:rsid w:val="000907E3"/>
    <w:rsid w:val="000C0FBF"/>
    <w:rsid w:val="000D0883"/>
    <w:rsid w:val="000D4B17"/>
    <w:rsid w:val="000D7795"/>
    <w:rsid w:val="00115620"/>
    <w:rsid w:val="00176052"/>
    <w:rsid w:val="00177E6C"/>
    <w:rsid w:val="001C0013"/>
    <w:rsid w:val="002A24F1"/>
    <w:rsid w:val="00324E69"/>
    <w:rsid w:val="00330814"/>
    <w:rsid w:val="00363D96"/>
    <w:rsid w:val="0039434D"/>
    <w:rsid w:val="003C4648"/>
    <w:rsid w:val="003E2118"/>
    <w:rsid w:val="00406557"/>
    <w:rsid w:val="004352B3"/>
    <w:rsid w:val="00436AAE"/>
    <w:rsid w:val="0047720D"/>
    <w:rsid w:val="00495237"/>
    <w:rsid w:val="004A07C9"/>
    <w:rsid w:val="004B1473"/>
    <w:rsid w:val="004D431F"/>
    <w:rsid w:val="004D5A6C"/>
    <w:rsid w:val="004E05DD"/>
    <w:rsid w:val="00565EAC"/>
    <w:rsid w:val="0057093D"/>
    <w:rsid w:val="005E39D4"/>
    <w:rsid w:val="005E5E13"/>
    <w:rsid w:val="005F55C6"/>
    <w:rsid w:val="00620584"/>
    <w:rsid w:val="006275C2"/>
    <w:rsid w:val="00690CA6"/>
    <w:rsid w:val="006B694F"/>
    <w:rsid w:val="006E5B9D"/>
    <w:rsid w:val="00700384"/>
    <w:rsid w:val="00750552"/>
    <w:rsid w:val="00781AB9"/>
    <w:rsid w:val="007C5D4B"/>
    <w:rsid w:val="007D58E8"/>
    <w:rsid w:val="00855D47"/>
    <w:rsid w:val="0086186D"/>
    <w:rsid w:val="008E5171"/>
    <w:rsid w:val="0092147B"/>
    <w:rsid w:val="00971AED"/>
    <w:rsid w:val="00983BD1"/>
    <w:rsid w:val="0099186D"/>
    <w:rsid w:val="0099427E"/>
    <w:rsid w:val="009C5CE8"/>
    <w:rsid w:val="009C5FB3"/>
    <w:rsid w:val="009E20EB"/>
    <w:rsid w:val="00A55C4C"/>
    <w:rsid w:val="00A763B8"/>
    <w:rsid w:val="00AE1C62"/>
    <w:rsid w:val="00AF53D7"/>
    <w:rsid w:val="00B06B6D"/>
    <w:rsid w:val="00BA5958"/>
    <w:rsid w:val="00BC057F"/>
    <w:rsid w:val="00BC2DC4"/>
    <w:rsid w:val="00BC5AA3"/>
    <w:rsid w:val="00BF6DCF"/>
    <w:rsid w:val="00C00904"/>
    <w:rsid w:val="00C30488"/>
    <w:rsid w:val="00C94AEA"/>
    <w:rsid w:val="00CB1A1A"/>
    <w:rsid w:val="00CC7815"/>
    <w:rsid w:val="00CD4EA3"/>
    <w:rsid w:val="00D15E9B"/>
    <w:rsid w:val="00D32666"/>
    <w:rsid w:val="00DA44D9"/>
    <w:rsid w:val="00DB0640"/>
    <w:rsid w:val="00DC2C5B"/>
    <w:rsid w:val="00E403FF"/>
    <w:rsid w:val="00EE5569"/>
    <w:rsid w:val="00EF4A41"/>
    <w:rsid w:val="00F24197"/>
    <w:rsid w:val="00F30CEB"/>
    <w:rsid w:val="00F523B7"/>
    <w:rsid w:val="00F97229"/>
    <w:rsid w:val="00F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A6C"/>
    <w:rPr>
      <w:rFonts w:cs="Times New Roman"/>
      <w:color w:val="0000FF"/>
      <w:u w:val="single"/>
    </w:rPr>
  </w:style>
  <w:style w:type="paragraph" w:styleId="BodyTextIndent2">
    <w:name w:val="Body Text Indent 2"/>
    <w:basedOn w:val="Normal"/>
    <w:rsid w:val="004D5A6C"/>
    <w:pPr>
      <w:tabs>
        <w:tab w:val="left" w:pos="540"/>
        <w:tab w:val="left" w:pos="1080"/>
      </w:tabs>
      <w:ind w:left="540" w:hanging="1620"/>
    </w:pPr>
    <w:rPr>
      <w:sz w:val="22"/>
      <w:szCs w:val="20"/>
    </w:rPr>
  </w:style>
  <w:style w:type="paragraph" w:styleId="BodyTextIndent3">
    <w:name w:val="Body Text Indent 3"/>
    <w:basedOn w:val="Normal"/>
    <w:rsid w:val="004D5A6C"/>
    <w:pPr>
      <w:tabs>
        <w:tab w:val="left" w:pos="540"/>
        <w:tab w:val="left" w:pos="1620"/>
      </w:tabs>
      <w:ind w:left="540" w:hanging="540"/>
    </w:pPr>
    <w:rPr>
      <w:rFonts w:cs="Arial"/>
      <w:sz w:val="20"/>
    </w:rPr>
  </w:style>
  <w:style w:type="paragraph" w:styleId="BodyTextIndent">
    <w:name w:val="Body Text Indent"/>
    <w:basedOn w:val="Normal"/>
    <w:rsid w:val="004D5A6C"/>
    <w:pPr>
      <w:ind w:left="1440"/>
    </w:pPr>
  </w:style>
  <w:style w:type="paragraph" w:styleId="Header">
    <w:name w:val="header"/>
    <w:basedOn w:val="Normal"/>
    <w:rsid w:val="004D5A6C"/>
    <w:pPr>
      <w:tabs>
        <w:tab w:val="center" w:pos="4320"/>
        <w:tab w:val="right" w:pos="8640"/>
      </w:tabs>
    </w:pPr>
  </w:style>
  <w:style w:type="paragraph" w:styleId="Footer">
    <w:name w:val="footer"/>
    <w:basedOn w:val="Normal"/>
    <w:rsid w:val="004D5A6C"/>
    <w:pPr>
      <w:tabs>
        <w:tab w:val="center" w:pos="4320"/>
        <w:tab w:val="right" w:pos="8640"/>
      </w:tabs>
    </w:pPr>
  </w:style>
  <w:style w:type="character" w:styleId="PageNumber">
    <w:name w:val="page number"/>
    <w:rsid w:val="004D5A6C"/>
    <w:rPr>
      <w:rFonts w:cs="Times New Roman"/>
    </w:rPr>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paragraph" w:styleId="ListParagraph">
    <w:name w:val="List Paragraph"/>
    <w:basedOn w:val="Normal"/>
    <w:uiPriority w:val="34"/>
    <w:qFormat/>
    <w:rsid w:val="0092147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A6C"/>
    <w:rPr>
      <w:rFonts w:cs="Times New Roman"/>
      <w:color w:val="0000FF"/>
      <w:u w:val="single"/>
    </w:rPr>
  </w:style>
  <w:style w:type="paragraph" w:styleId="BodyTextIndent2">
    <w:name w:val="Body Text Indent 2"/>
    <w:basedOn w:val="Normal"/>
    <w:rsid w:val="004D5A6C"/>
    <w:pPr>
      <w:tabs>
        <w:tab w:val="left" w:pos="540"/>
        <w:tab w:val="left" w:pos="1080"/>
      </w:tabs>
      <w:ind w:left="540" w:hanging="1620"/>
    </w:pPr>
    <w:rPr>
      <w:sz w:val="22"/>
      <w:szCs w:val="20"/>
    </w:rPr>
  </w:style>
  <w:style w:type="paragraph" w:styleId="BodyTextIndent3">
    <w:name w:val="Body Text Indent 3"/>
    <w:basedOn w:val="Normal"/>
    <w:rsid w:val="004D5A6C"/>
    <w:pPr>
      <w:tabs>
        <w:tab w:val="left" w:pos="540"/>
        <w:tab w:val="left" w:pos="1620"/>
      </w:tabs>
      <w:ind w:left="540" w:hanging="540"/>
    </w:pPr>
    <w:rPr>
      <w:rFonts w:cs="Arial"/>
      <w:sz w:val="20"/>
    </w:rPr>
  </w:style>
  <w:style w:type="paragraph" w:styleId="BodyTextIndent">
    <w:name w:val="Body Text Indent"/>
    <w:basedOn w:val="Normal"/>
    <w:rsid w:val="004D5A6C"/>
    <w:pPr>
      <w:ind w:left="1440"/>
    </w:pPr>
  </w:style>
  <w:style w:type="paragraph" w:styleId="Header">
    <w:name w:val="header"/>
    <w:basedOn w:val="Normal"/>
    <w:rsid w:val="004D5A6C"/>
    <w:pPr>
      <w:tabs>
        <w:tab w:val="center" w:pos="4320"/>
        <w:tab w:val="right" w:pos="8640"/>
      </w:tabs>
    </w:pPr>
  </w:style>
  <w:style w:type="paragraph" w:styleId="Footer">
    <w:name w:val="footer"/>
    <w:basedOn w:val="Normal"/>
    <w:rsid w:val="004D5A6C"/>
    <w:pPr>
      <w:tabs>
        <w:tab w:val="center" w:pos="4320"/>
        <w:tab w:val="right" w:pos="8640"/>
      </w:tabs>
    </w:pPr>
  </w:style>
  <w:style w:type="character" w:styleId="PageNumber">
    <w:name w:val="page number"/>
    <w:rsid w:val="004D5A6C"/>
    <w:rPr>
      <w:rFonts w:cs="Times New Roman"/>
    </w:rPr>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paragraph" w:styleId="ListParagraph">
    <w:name w:val="List Paragraph"/>
    <w:basedOn w:val="Normal"/>
    <w:uiPriority w:val="34"/>
    <w:qFormat/>
    <w:rsid w:val="0092147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70956529">
      <w:bodyDiv w:val="1"/>
      <w:marLeft w:val="0"/>
      <w:marRight w:val="0"/>
      <w:marTop w:val="0"/>
      <w:marBottom w:val="0"/>
      <w:divBdr>
        <w:top w:val="none" w:sz="0" w:space="0" w:color="auto"/>
        <w:left w:val="none" w:sz="0" w:space="0" w:color="auto"/>
        <w:bottom w:val="none" w:sz="0" w:space="0" w:color="auto"/>
        <w:right w:val="none" w:sz="0" w:space="0" w:color="auto"/>
      </w:divBdr>
    </w:div>
    <w:div w:id="11147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gr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access.gov/us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Rider D</vt:lpstr>
    </vt:vector>
  </TitlesOfParts>
  <Company>State of Maine</Company>
  <LinksUpToDate>false</LinksUpToDate>
  <CharactersWithSpaces>13563</CharactersWithSpaces>
  <SharedDoc>false</SharedDoc>
  <HLinks>
    <vt:vector size="12" baseType="variant">
      <vt:variant>
        <vt:i4>2555958</vt:i4>
      </vt:variant>
      <vt:variant>
        <vt:i4>3</vt:i4>
      </vt:variant>
      <vt:variant>
        <vt:i4>0</vt:i4>
      </vt:variant>
      <vt:variant>
        <vt:i4>5</vt:i4>
      </vt:variant>
      <vt:variant>
        <vt:lpwstr>http://www.gpoaccess.gov/uscode/index.html</vt:lpwstr>
      </vt:variant>
      <vt:variant>
        <vt:lpwstr/>
      </vt:variant>
      <vt:variant>
        <vt:i4>852046</vt:i4>
      </vt:variant>
      <vt:variant>
        <vt:i4>0</vt:i4>
      </vt:variant>
      <vt:variant>
        <vt:i4>0</vt:i4>
      </vt:variant>
      <vt:variant>
        <vt:i4>5</vt:i4>
      </vt:variant>
      <vt:variant>
        <vt:lpwstr>http://www.whitehouse.gov/omb/grants/</vt:lpwstr>
      </vt:variant>
      <vt:variant>
        <vt:lpwstr>forms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D</dc:title>
  <dc:creator>Valued Gateway Client</dc:creator>
  <cp:lastModifiedBy>Lopatosky, Jim</cp:lastModifiedBy>
  <cp:revision>8</cp:revision>
  <cp:lastPrinted>2014-04-15T20:00:00Z</cp:lastPrinted>
  <dcterms:created xsi:type="dcterms:W3CDTF">2015-04-01T20:33:00Z</dcterms:created>
  <dcterms:modified xsi:type="dcterms:W3CDTF">2015-04-02T18:57:00Z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