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74"/>
        <w:gridCol w:w="2251"/>
        <w:gridCol w:w="2160"/>
        <w:gridCol w:w="2160"/>
        <w:gridCol w:w="2326"/>
        <w:gridCol w:w="1289"/>
        <w:gridCol w:w="1690"/>
      </w:tblGrid>
      <w:tr w:rsidR="0071775A" w:rsidRPr="0071775A" w14:paraId="7F10926B" w14:textId="77777777" w:rsidTr="0071775A">
        <w:tc>
          <w:tcPr>
            <w:tcW w:w="1074" w:type="dxa"/>
          </w:tcPr>
          <w:p w14:paraId="291E29B2" w14:textId="154F4E1B" w:rsidR="0071775A" w:rsidRPr="0071775A" w:rsidRDefault="0071775A" w:rsidP="0071775A">
            <w:pPr>
              <w:jc w:val="center"/>
              <w:rPr>
                <w:sz w:val="20"/>
                <w:szCs w:val="20"/>
              </w:rPr>
            </w:pPr>
            <w:r w:rsidRPr="0071775A">
              <w:rPr>
                <w:sz w:val="20"/>
                <w:szCs w:val="20"/>
                <w:u w:val="single"/>
              </w:rPr>
              <w:t>Location</w:t>
            </w:r>
            <w:r w:rsidRPr="0071775A">
              <w:rPr>
                <w:sz w:val="20"/>
                <w:szCs w:val="20"/>
              </w:rPr>
              <w:t xml:space="preserve"> </w:t>
            </w:r>
            <w:r w:rsidRPr="0071775A">
              <w:rPr>
                <w:sz w:val="16"/>
                <w:szCs w:val="16"/>
              </w:rPr>
              <w:t>Section/Page #</w:t>
            </w:r>
          </w:p>
        </w:tc>
        <w:tc>
          <w:tcPr>
            <w:tcW w:w="2251" w:type="dxa"/>
          </w:tcPr>
          <w:p w14:paraId="05326104" w14:textId="54BF1115" w:rsidR="0071775A" w:rsidRPr="0071775A" w:rsidRDefault="0071775A" w:rsidP="0071775A">
            <w:pPr>
              <w:jc w:val="center"/>
              <w:rPr>
                <w:sz w:val="20"/>
                <w:szCs w:val="20"/>
                <w:u w:val="single"/>
              </w:rPr>
            </w:pPr>
            <w:r w:rsidRPr="0071775A">
              <w:rPr>
                <w:sz w:val="20"/>
                <w:szCs w:val="20"/>
                <w:u w:val="single"/>
              </w:rPr>
              <w:t>Change</w:t>
            </w:r>
          </w:p>
        </w:tc>
        <w:tc>
          <w:tcPr>
            <w:tcW w:w="2160" w:type="dxa"/>
          </w:tcPr>
          <w:p w14:paraId="01F1914C" w14:textId="129E9791" w:rsidR="0071775A" w:rsidRPr="0071775A" w:rsidRDefault="0071775A" w:rsidP="0071775A">
            <w:pPr>
              <w:jc w:val="center"/>
              <w:rPr>
                <w:sz w:val="20"/>
                <w:szCs w:val="20"/>
                <w:u w:val="single"/>
              </w:rPr>
            </w:pPr>
            <w:r w:rsidRPr="0071775A">
              <w:rPr>
                <w:sz w:val="20"/>
                <w:szCs w:val="20"/>
                <w:u w:val="single"/>
              </w:rPr>
              <w:t>Purpose of Change</w:t>
            </w:r>
          </w:p>
          <w:p w14:paraId="78C097A3" w14:textId="692953B7" w:rsidR="0071775A" w:rsidRPr="0071775A" w:rsidRDefault="0071775A" w:rsidP="0071775A">
            <w:pPr>
              <w:jc w:val="center"/>
              <w:rPr>
                <w:sz w:val="20"/>
                <w:szCs w:val="20"/>
              </w:rPr>
            </w:pPr>
            <w:r w:rsidRPr="0071775A">
              <w:rPr>
                <w:sz w:val="16"/>
                <w:szCs w:val="16"/>
              </w:rPr>
              <w:t>(Provider Input, Stakeholder Input, Evolution of Evidence, Best Practice, etc.)</w:t>
            </w:r>
          </w:p>
        </w:tc>
        <w:tc>
          <w:tcPr>
            <w:tcW w:w="2160" w:type="dxa"/>
          </w:tcPr>
          <w:p w14:paraId="068940C8" w14:textId="1582E6A0" w:rsidR="0071775A" w:rsidRPr="0071775A" w:rsidRDefault="0071775A" w:rsidP="0071775A">
            <w:pPr>
              <w:jc w:val="center"/>
              <w:rPr>
                <w:sz w:val="20"/>
                <w:szCs w:val="20"/>
                <w:u w:val="single"/>
              </w:rPr>
            </w:pPr>
            <w:r w:rsidRPr="0071775A">
              <w:rPr>
                <w:sz w:val="20"/>
                <w:szCs w:val="20"/>
                <w:u w:val="single"/>
              </w:rPr>
              <w:t>Evidence for Change</w:t>
            </w:r>
          </w:p>
        </w:tc>
        <w:tc>
          <w:tcPr>
            <w:tcW w:w="2326" w:type="dxa"/>
          </w:tcPr>
          <w:p w14:paraId="14BB889E" w14:textId="717D7C9A" w:rsidR="0071775A" w:rsidRPr="0071775A" w:rsidRDefault="0071775A" w:rsidP="0071775A">
            <w:pPr>
              <w:jc w:val="center"/>
              <w:rPr>
                <w:sz w:val="20"/>
                <w:szCs w:val="20"/>
                <w:u w:val="single"/>
              </w:rPr>
            </w:pPr>
            <w:r w:rsidRPr="0071775A">
              <w:rPr>
                <w:sz w:val="20"/>
                <w:szCs w:val="20"/>
                <w:u w:val="single"/>
              </w:rPr>
              <w:t>Expected Impact</w:t>
            </w:r>
          </w:p>
          <w:p w14:paraId="0F864978" w14:textId="2B5FC955" w:rsidR="0071775A" w:rsidRPr="0071775A" w:rsidRDefault="0071775A" w:rsidP="0071775A">
            <w:pPr>
              <w:jc w:val="center"/>
              <w:rPr>
                <w:sz w:val="20"/>
                <w:szCs w:val="20"/>
              </w:rPr>
            </w:pPr>
            <w:r w:rsidRPr="0071775A">
              <w:rPr>
                <w:sz w:val="16"/>
                <w:szCs w:val="16"/>
              </w:rPr>
              <w:t>(Operational, Educational, Financial, QI, Medical Direction, Communication, etc</w:t>
            </w:r>
            <w:r>
              <w:rPr>
                <w:sz w:val="16"/>
                <w:szCs w:val="16"/>
              </w:rPr>
              <w:t>.</w:t>
            </w:r>
            <w:r w:rsidRPr="0071775A">
              <w:rPr>
                <w:sz w:val="16"/>
                <w:szCs w:val="16"/>
              </w:rPr>
              <w:t>)</w:t>
            </w:r>
          </w:p>
        </w:tc>
        <w:tc>
          <w:tcPr>
            <w:tcW w:w="1289" w:type="dxa"/>
          </w:tcPr>
          <w:p w14:paraId="2DBD40CF" w14:textId="6D52AA59" w:rsidR="0071775A" w:rsidRPr="0071775A" w:rsidRDefault="0071775A" w:rsidP="0071775A">
            <w:pPr>
              <w:jc w:val="center"/>
              <w:rPr>
                <w:sz w:val="20"/>
                <w:szCs w:val="20"/>
              </w:rPr>
            </w:pPr>
            <w:r w:rsidRPr="0071775A">
              <w:rPr>
                <w:sz w:val="20"/>
                <w:szCs w:val="20"/>
                <w:u w:val="single"/>
              </w:rPr>
              <w:t>Size of Change</w:t>
            </w:r>
            <w:r>
              <w:rPr>
                <w:sz w:val="20"/>
                <w:szCs w:val="20"/>
              </w:rPr>
              <w:t xml:space="preserve"> </w:t>
            </w:r>
            <w:r w:rsidRPr="0071775A">
              <w:rPr>
                <w:sz w:val="16"/>
                <w:szCs w:val="16"/>
              </w:rPr>
              <w:t>(Small/Medium/</w:t>
            </w:r>
            <w:r>
              <w:rPr>
                <w:sz w:val="16"/>
                <w:szCs w:val="16"/>
              </w:rPr>
              <w:t xml:space="preserve"> </w:t>
            </w:r>
            <w:r w:rsidRPr="0071775A">
              <w:rPr>
                <w:sz w:val="16"/>
                <w:szCs w:val="16"/>
              </w:rPr>
              <w:t>Large)</w:t>
            </w:r>
          </w:p>
        </w:tc>
        <w:tc>
          <w:tcPr>
            <w:tcW w:w="1690" w:type="dxa"/>
          </w:tcPr>
          <w:p w14:paraId="5D040A6B" w14:textId="353A226E" w:rsidR="0071775A" w:rsidRPr="0071775A" w:rsidRDefault="0071775A" w:rsidP="0071775A">
            <w:pPr>
              <w:jc w:val="center"/>
              <w:rPr>
                <w:sz w:val="20"/>
                <w:szCs w:val="20"/>
                <w:u w:val="single"/>
              </w:rPr>
            </w:pPr>
            <w:r w:rsidRPr="0071775A">
              <w:rPr>
                <w:sz w:val="20"/>
                <w:szCs w:val="20"/>
                <w:u w:val="single"/>
              </w:rPr>
              <w:t>Desired Outcome</w:t>
            </w:r>
          </w:p>
        </w:tc>
      </w:tr>
      <w:tr w:rsidR="0071775A" w:rsidRPr="0071775A" w14:paraId="5D772052" w14:textId="77777777" w:rsidTr="0071775A">
        <w:tc>
          <w:tcPr>
            <w:tcW w:w="1074" w:type="dxa"/>
          </w:tcPr>
          <w:p w14:paraId="39CE1420" w14:textId="58E4C001" w:rsidR="0071775A" w:rsidRPr="0071775A" w:rsidRDefault="00EC2969" w:rsidP="0071775A">
            <w:pPr>
              <w:rPr>
                <w:sz w:val="20"/>
                <w:szCs w:val="20"/>
              </w:rPr>
            </w:pPr>
            <w:r>
              <w:rPr>
                <w:sz w:val="20"/>
                <w:szCs w:val="20"/>
              </w:rPr>
              <w:t xml:space="preserve">Gold 1 – </w:t>
            </w:r>
            <w:proofErr w:type="spellStart"/>
            <w:r>
              <w:rPr>
                <w:sz w:val="20"/>
                <w:szCs w:val="20"/>
              </w:rPr>
              <w:t>Pg</w:t>
            </w:r>
            <w:proofErr w:type="spellEnd"/>
            <w:r>
              <w:rPr>
                <w:sz w:val="20"/>
                <w:szCs w:val="20"/>
              </w:rPr>
              <w:t xml:space="preserve"> 58</w:t>
            </w:r>
          </w:p>
        </w:tc>
        <w:tc>
          <w:tcPr>
            <w:tcW w:w="2251" w:type="dxa"/>
          </w:tcPr>
          <w:p w14:paraId="31E6CFD7" w14:textId="75062063" w:rsidR="0071775A" w:rsidRPr="0071775A" w:rsidRDefault="00EC2969" w:rsidP="0071775A">
            <w:pPr>
              <w:rPr>
                <w:sz w:val="20"/>
                <w:szCs w:val="20"/>
              </w:rPr>
            </w:pPr>
            <w:r>
              <w:rPr>
                <w:sz w:val="20"/>
                <w:szCs w:val="20"/>
              </w:rPr>
              <w:t>Add options for repeated doses of epi to the EMT SOP</w:t>
            </w:r>
          </w:p>
        </w:tc>
        <w:tc>
          <w:tcPr>
            <w:tcW w:w="2160" w:type="dxa"/>
          </w:tcPr>
          <w:p w14:paraId="7EC03821" w14:textId="212A9B2B" w:rsidR="0071775A" w:rsidRPr="0071775A" w:rsidRDefault="00EC2969" w:rsidP="0071775A">
            <w:pPr>
              <w:rPr>
                <w:sz w:val="20"/>
                <w:szCs w:val="20"/>
              </w:rPr>
            </w:pPr>
            <w:r>
              <w:rPr>
                <w:sz w:val="20"/>
                <w:szCs w:val="20"/>
              </w:rPr>
              <w:t>Allow continued care of patients suffering anaphylaxis while pending ALS at the hospital or via Paramedic</w:t>
            </w:r>
          </w:p>
        </w:tc>
        <w:tc>
          <w:tcPr>
            <w:tcW w:w="2160" w:type="dxa"/>
          </w:tcPr>
          <w:p w14:paraId="0309DDF4" w14:textId="1C8ED6F1" w:rsidR="0071775A" w:rsidRPr="0071775A" w:rsidRDefault="00EC2969" w:rsidP="0071775A">
            <w:pPr>
              <w:rPr>
                <w:sz w:val="20"/>
                <w:szCs w:val="20"/>
              </w:rPr>
            </w:pPr>
            <w:r w:rsidRPr="005E774C">
              <w:rPr>
                <w:rFonts w:cstheme="minorHAnsi"/>
                <w:color w:val="000000" w:themeColor="text1"/>
                <w:sz w:val="20"/>
                <w:szCs w:val="20"/>
              </w:rPr>
              <w:t>Reviewer/Stakeholder Input</w:t>
            </w:r>
          </w:p>
        </w:tc>
        <w:tc>
          <w:tcPr>
            <w:tcW w:w="2326" w:type="dxa"/>
          </w:tcPr>
          <w:p w14:paraId="2F363FB4" w14:textId="64A89343" w:rsidR="0071775A" w:rsidRPr="0071775A" w:rsidRDefault="00EC2969" w:rsidP="0071775A">
            <w:pPr>
              <w:rPr>
                <w:sz w:val="20"/>
                <w:szCs w:val="20"/>
              </w:rPr>
            </w:pPr>
            <w:r>
              <w:rPr>
                <w:sz w:val="20"/>
                <w:szCs w:val="20"/>
              </w:rPr>
              <w:t xml:space="preserve">Operational/Educational </w:t>
            </w:r>
          </w:p>
        </w:tc>
        <w:tc>
          <w:tcPr>
            <w:tcW w:w="1289" w:type="dxa"/>
          </w:tcPr>
          <w:p w14:paraId="4F369DA7" w14:textId="4527CD1F" w:rsidR="0071775A" w:rsidRPr="0071775A" w:rsidRDefault="00EC2969" w:rsidP="0071775A">
            <w:pPr>
              <w:rPr>
                <w:sz w:val="20"/>
                <w:szCs w:val="20"/>
              </w:rPr>
            </w:pPr>
            <w:r>
              <w:rPr>
                <w:sz w:val="20"/>
                <w:szCs w:val="20"/>
              </w:rPr>
              <w:t>Small</w:t>
            </w:r>
          </w:p>
        </w:tc>
        <w:tc>
          <w:tcPr>
            <w:tcW w:w="1690" w:type="dxa"/>
          </w:tcPr>
          <w:p w14:paraId="3F208410" w14:textId="21D97F4A" w:rsidR="0071775A" w:rsidRPr="0071775A" w:rsidRDefault="00EC2969" w:rsidP="0071775A">
            <w:pPr>
              <w:rPr>
                <w:sz w:val="20"/>
                <w:szCs w:val="20"/>
              </w:rPr>
            </w:pPr>
            <w:r>
              <w:rPr>
                <w:sz w:val="20"/>
                <w:szCs w:val="20"/>
              </w:rPr>
              <w:t xml:space="preserve">Improved patient care when encountering anaphylaxis by allowing access to repeated medications </w:t>
            </w:r>
          </w:p>
        </w:tc>
      </w:tr>
      <w:tr w:rsidR="0071775A" w:rsidRPr="0071775A" w14:paraId="6A09707B" w14:textId="77777777" w:rsidTr="0071775A">
        <w:tc>
          <w:tcPr>
            <w:tcW w:w="1074" w:type="dxa"/>
          </w:tcPr>
          <w:p w14:paraId="3E1FC0B5" w14:textId="6708E3AF" w:rsidR="0071775A" w:rsidRPr="0071775A" w:rsidRDefault="00EC2969" w:rsidP="0071775A">
            <w:pPr>
              <w:rPr>
                <w:sz w:val="20"/>
                <w:szCs w:val="20"/>
              </w:rPr>
            </w:pPr>
            <w:r>
              <w:rPr>
                <w:sz w:val="20"/>
                <w:szCs w:val="20"/>
              </w:rPr>
              <w:t xml:space="preserve">Gold 1 – </w:t>
            </w:r>
            <w:proofErr w:type="spellStart"/>
            <w:r>
              <w:rPr>
                <w:sz w:val="20"/>
                <w:szCs w:val="20"/>
              </w:rPr>
              <w:t>Pg</w:t>
            </w:r>
            <w:proofErr w:type="spellEnd"/>
            <w:r>
              <w:rPr>
                <w:sz w:val="20"/>
                <w:szCs w:val="20"/>
              </w:rPr>
              <w:t xml:space="preserve"> 58</w:t>
            </w:r>
          </w:p>
        </w:tc>
        <w:tc>
          <w:tcPr>
            <w:tcW w:w="2251" w:type="dxa"/>
          </w:tcPr>
          <w:p w14:paraId="6330AE34" w14:textId="3C0E4419" w:rsidR="0071775A" w:rsidRPr="0071775A" w:rsidRDefault="00EC2969" w:rsidP="0071775A">
            <w:pPr>
              <w:rPr>
                <w:sz w:val="20"/>
                <w:szCs w:val="20"/>
              </w:rPr>
            </w:pPr>
            <w:r>
              <w:rPr>
                <w:sz w:val="20"/>
                <w:szCs w:val="20"/>
              </w:rPr>
              <w:t xml:space="preserve">Removal of OLMC for albuterol </w:t>
            </w:r>
          </w:p>
        </w:tc>
        <w:tc>
          <w:tcPr>
            <w:tcW w:w="2160" w:type="dxa"/>
          </w:tcPr>
          <w:p w14:paraId="5D97E18C" w14:textId="2868D1F8" w:rsidR="0071775A" w:rsidRPr="0071775A" w:rsidRDefault="00EC2969" w:rsidP="0071775A">
            <w:pPr>
              <w:rPr>
                <w:sz w:val="20"/>
                <w:szCs w:val="20"/>
              </w:rPr>
            </w:pPr>
            <w:r>
              <w:rPr>
                <w:sz w:val="20"/>
                <w:szCs w:val="20"/>
              </w:rPr>
              <w:t xml:space="preserve">Align with Blue section changes </w:t>
            </w:r>
          </w:p>
        </w:tc>
        <w:tc>
          <w:tcPr>
            <w:tcW w:w="2160" w:type="dxa"/>
          </w:tcPr>
          <w:p w14:paraId="592A72C1" w14:textId="009A2DE9" w:rsidR="0071775A" w:rsidRPr="0071775A" w:rsidRDefault="00EC2969" w:rsidP="0071775A">
            <w:pPr>
              <w:rPr>
                <w:sz w:val="20"/>
                <w:szCs w:val="20"/>
              </w:rPr>
            </w:pPr>
            <w:r w:rsidRPr="005E774C">
              <w:rPr>
                <w:rFonts w:cstheme="minorHAnsi"/>
                <w:color w:val="000000" w:themeColor="text1"/>
                <w:sz w:val="20"/>
                <w:szCs w:val="20"/>
              </w:rPr>
              <w:t>Reviewer/Stakeholder Input</w:t>
            </w:r>
          </w:p>
        </w:tc>
        <w:tc>
          <w:tcPr>
            <w:tcW w:w="2326" w:type="dxa"/>
          </w:tcPr>
          <w:p w14:paraId="26B49DD7" w14:textId="5B39450E" w:rsidR="0071775A" w:rsidRPr="0071775A" w:rsidRDefault="00EC2969" w:rsidP="0071775A">
            <w:pPr>
              <w:rPr>
                <w:sz w:val="20"/>
                <w:szCs w:val="20"/>
              </w:rPr>
            </w:pPr>
            <w:r>
              <w:rPr>
                <w:sz w:val="20"/>
                <w:szCs w:val="20"/>
              </w:rPr>
              <w:t xml:space="preserve">Operational/Educational </w:t>
            </w:r>
          </w:p>
        </w:tc>
        <w:tc>
          <w:tcPr>
            <w:tcW w:w="1289" w:type="dxa"/>
          </w:tcPr>
          <w:p w14:paraId="7A17FCBF" w14:textId="1756AE52" w:rsidR="0071775A" w:rsidRPr="0071775A" w:rsidRDefault="00EC2969" w:rsidP="0071775A">
            <w:pPr>
              <w:rPr>
                <w:sz w:val="20"/>
                <w:szCs w:val="20"/>
              </w:rPr>
            </w:pPr>
            <w:r>
              <w:rPr>
                <w:sz w:val="20"/>
                <w:szCs w:val="20"/>
              </w:rPr>
              <w:t>Small</w:t>
            </w:r>
          </w:p>
        </w:tc>
        <w:tc>
          <w:tcPr>
            <w:tcW w:w="1690" w:type="dxa"/>
          </w:tcPr>
          <w:p w14:paraId="3A5BAD05" w14:textId="721F4CBF" w:rsidR="0071775A" w:rsidRPr="0071775A" w:rsidRDefault="00EC2969" w:rsidP="0071775A">
            <w:pPr>
              <w:rPr>
                <w:sz w:val="20"/>
                <w:szCs w:val="20"/>
              </w:rPr>
            </w:pPr>
            <w:r>
              <w:rPr>
                <w:sz w:val="20"/>
                <w:szCs w:val="20"/>
              </w:rPr>
              <w:t xml:space="preserve">Align with Blue Section </w:t>
            </w:r>
          </w:p>
        </w:tc>
      </w:tr>
      <w:tr w:rsidR="0071775A" w:rsidRPr="0071775A" w14:paraId="089B97F2" w14:textId="77777777" w:rsidTr="0071775A">
        <w:tc>
          <w:tcPr>
            <w:tcW w:w="1074" w:type="dxa"/>
          </w:tcPr>
          <w:p w14:paraId="072D0C75" w14:textId="192699ED" w:rsidR="0071775A" w:rsidRPr="0071775A" w:rsidRDefault="00EC2969" w:rsidP="0071775A">
            <w:pPr>
              <w:rPr>
                <w:sz w:val="20"/>
                <w:szCs w:val="20"/>
              </w:rPr>
            </w:pPr>
            <w:r>
              <w:rPr>
                <w:sz w:val="20"/>
                <w:szCs w:val="20"/>
              </w:rPr>
              <w:t xml:space="preserve">Gold 2 – </w:t>
            </w:r>
            <w:proofErr w:type="spellStart"/>
            <w:r>
              <w:rPr>
                <w:sz w:val="20"/>
                <w:szCs w:val="20"/>
              </w:rPr>
              <w:t>Pg</w:t>
            </w:r>
            <w:proofErr w:type="spellEnd"/>
            <w:r>
              <w:rPr>
                <w:sz w:val="20"/>
                <w:szCs w:val="20"/>
              </w:rPr>
              <w:t xml:space="preserve"> 59 </w:t>
            </w:r>
          </w:p>
        </w:tc>
        <w:tc>
          <w:tcPr>
            <w:tcW w:w="2251" w:type="dxa"/>
          </w:tcPr>
          <w:p w14:paraId="66439BF3" w14:textId="7E74F10B" w:rsidR="0071775A" w:rsidRPr="0071775A" w:rsidRDefault="00EC2969" w:rsidP="0071775A">
            <w:pPr>
              <w:rPr>
                <w:sz w:val="20"/>
                <w:szCs w:val="20"/>
              </w:rPr>
            </w:pPr>
            <w:r>
              <w:rPr>
                <w:sz w:val="20"/>
                <w:szCs w:val="20"/>
              </w:rPr>
              <w:t xml:space="preserve">Add Pearl </w:t>
            </w:r>
            <w:r w:rsidRPr="00EC2969">
              <w:rPr>
                <w:rFonts w:cstheme="minorHAnsi"/>
                <w:sz w:val="20"/>
                <w:szCs w:val="20"/>
              </w:rPr>
              <w:t>“</w:t>
            </w:r>
            <w:r w:rsidRPr="00EC2969">
              <w:rPr>
                <w:rFonts w:cstheme="minorHAnsi"/>
                <w:sz w:val="20"/>
                <w:szCs w:val="20"/>
              </w:rPr>
              <w:t xml:space="preserve">Evidence suggests that the incidence of anaphylaxis is under recognized. Please consider the </w:t>
            </w:r>
            <w:r w:rsidRPr="00EC2969">
              <w:rPr>
                <w:rFonts w:cstheme="minorHAnsi"/>
                <w:sz w:val="20"/>
                <w:szCs w:val="20"/>
              </w:rPr>
              <w:t>definitions</w:t>
            </w:r>
            <w:r w:rsidRPr="00EC2969">
              <w:rPr>
                <w:rFonts w:cstheme="minorHAnsi"/>
                <w:sz w:val="20"/>
                <w:szCs w:val="20"/>
              </w:rPr>
              <w:t xml:space="preserve"> of anaphylaxis (on the following page) and treat all cases of anaphylaxis with </w:t>
            </w:r>
            <w:proofErr w:type="spellStart"/>
            <w:r w:rsidRPr="00EC2969">
              <w:rPr>
                <w:rFonts w:cstheme="minorHAnsi"/>
                <w:sz w:val="20"/>
                <w:szCs w:val="20"/>
              </w:rPr>
              <w:t>EPINEPHrine</w:t>
            </w:r>
            <w:proofErr w:type="spellEnd"/>
            <w:r w:rsidRPr="00EC2969">
              <w:rPr>
                <w:rFonts w:cstheme="minorHAnsi"/>
                <w:sz w:val="20"/>
                <w:szCs w:val="20"/>
              </w:rPr>
              <w:t>.</w:t>
            </w:r>
            <w:r w:rsidRPr="00EC2969">
              <w:rPr>
                <w:rFonts w:cstheme="minorHAnsi"/>
                <w:sz w:val="20"/>
                <w:szCs w:val="20"/>
              </w:rPr>
              <w:t>”</w:t>
            </w:r>
          </w:p>
        </w:tc>
        <w:tc>
          <w:tcPr>
            <w:tcW w:w="2160" w:type="dxa"/>
          </w:tcPr>
          <w:p w14:paraId="4AC2A300" w14:textId="74EBB0AD" w:rsidR="0071775A" w:rsidRPr="0071775A" w:rsidRDefault="00EC2969" w:rsidP="0071775A">
            <w:pPr>
              <w:rPr>
                <w:sz w:val="20"/>
                <w:szCs w:val="20"/>
              </w:rPr>
            </w:pPr>
            <w:r>
              <w:rPr>
                <w:sz w:val="20"/>
                <w:szCs w:val="20"/>
              </w:rPr>
              <w:t xml:space="preserve">Improve identification and treatment of anaphylaxis </w:t>
            </w:r>
          </w:p>
        </w:tc>
        <w:tc>
          <w:tcPr>
            <w:tcW w:w="2160" w:type="dxa"/>
          </w:tcPr>
          <w:p w14:paraId="1455A717" w14:textId="70EE853B" w:rsidR="0071775A" w:rsidRPr="0071775A" w:rsidRDefault="00EC2969" w:rsidP="0071775A">
            <w:pPr>
              <w:rPr>
                <w:sz w:val="20"/>
                <w:szCs w:val="20"/>
              </w:rPr>
            </w:pPr>
            <w:r w:rsidRPr="005E774C">
              <w:rPr>
                <w:rFonts w:cstheme="minorHAnsi"/>
                <w:color w:val="000000" w:themeColor="text1"/>
                <w:sz w:val="20"/>
                <w:szCs w:val="20"/>
              </w:rPr>
              <w:t>Reviewer/Stakeholder Input</w:t>
            </w:r>
            <w:r>
              <w:rPr>
                <w:rFonts w:cstheme="minorHAnsi"/>
                <w:color w:val="000000" w:themeColor="text1"/>
                <w:sz w:val="20"/>
                <w:szCs w:val="20"/>
              </w:rPr>
              <w:t xml:space="preserve">/Medical Evidence </w:t>
            </w:r>
          </w:p>
        </w:tc>
        <w:tc>
          <w:tcPr>
            <w:tcW w:w="2326" w:type="dxa"/>
          </w:tcPr>
          <w:p w14:paraId="27F41C28" w14:textId="1154AC8A" w:rsidR="0071775A" w:rsidRPr="0071775A" w:rsidRDefault="00EC2969" w:rsidP="0071775A">
            <w:pPr>
              <w:rPr>
                <w:sz w:val="20"/>
                <w:szCs w:val="20"/>
              </w:rPr>
            </w:pPr>
            <w:r>
              <w:rPr>
                <w:sz w:val="20"/>
                <w:szCs w:val="20"/>
              </w:rPr>
              <w:t>Operational/Educational</w:t>
            </w:r>
          </w:p>
        </w:tc>
        <w:tc>
          <w:tcPr>
            <w:tcW w:w="1289" w:type="dxa"/>
          </w:tcPr>
          <w:p w14:paraId="5AE8E63F" w14:textId="72CD6CE3" w:rsidR="0071775A" w:rsidRPr="0071775A" w:rsidRDefault="00EC2969" w:rsidP="0071775A">
            <w:pPr>
              <w:rPr>
                <w:sz w:val="20"/>
                <w:szCs w:val="20"/>
              </w:rPr>
            </w:pPr>
            <w:r>
              <w:rPr>
                <w:sz w:val="20"/>
                <w:szCs w:val="20"/>
              </w:rPr>
              <w:t>Small</w:t>
            </w:r>
          </w:p>
        </w:tc>
        <w:tc>
          <w:tcPr>
            <w:tcW w:w="1690" w:type="dxa"/>
          </w:tcPr>
          <w:p w14:paraId="3251D66B" w14:textId="7CBE9B2D" w:rsidR="0071775A" w:rsidRPr="0071775A" w:rsidRDefault="00EC2969" w:rsidP="0071775A">
            <w:pPr>
              <w:rPr>
                <w:sz w:val="20"/>
                <w:szCs w:val="20"/>
              </w:rPr>
            </w:pPr>
            <w:r>
              <w:rPr>
                <w:sz w:val="20"/>
                <w:szCs w:val="20"/>
              </w:rPr>
              <w:t xml:space="preserve">Improved identification and treatment of anaphylaxis </w:t>
            </w:r>
          </w:p>
        </w:tc>
      </w:tr>
      <w:tr w:rsidR="0071775A" w:rsidRPr="0071775A" w14:paraId="6E556089" w14:textId="77777777" w:rsidTr="0071775A">
        <w:tc>
          <w:tcPr>
            <w:tcW w:w="1074" w:type="dxa"/>
          </w:tcPr>
          <w:p w14:paraId="5420E6EB" w14:textId="5A83F75A" w:rsidR="0071775A" w:rsidRPr="0071775A" w:rsidRDefault="00EC2969" w:rsidP="0071775A">
            <w:pPr>
              <w:rPr>
                <w:sz w:val="20"/>
                <w:szCs w:val="20"/>
              </w:rPr>
            </w:pPr>
            <w:r>
              <w:rPr>
                <w:sz w:val="20"/>
                <w:szCs w:val="20"/>
              </w:rPr>
              <w:t xml:space="preserve">Gold 5 – </w:t>
            </w:r>
            <w:proofErr w:type="spellStart"/>
            <w:r>
              <w:rPr>
                <w:sz w:val="20"/>
                <w:szCs w:val="20"/>
              </w:rPr>
              <w:t>Pg</w:t>
            </w:r>
            <w:proofErr w:type="spellEnd"/>
            <w:r>
              <w:rPr>
                <w:sz w:val="20"/>
                <w:szCs w:val="20"/>
              </w:rPr>
              <w:t xml:space="preserve"> 62</w:t>
            </w:r>
          </w:p>
        </w:tc>
        <w:tc>
          <w:tcPr>
            <w:tcW w:w="2251" w:type="dxa"/>
          </w:tcPr>
          <w:p w14:paraId="0D47B491" w14:textId="73843F4A" w:rsidR="0071775A" w:rsidRPr="0071775A" w:rsidRDefault="00EC2969" w:rsidP="0071775A">
            <w:pPr>
              <w:rPr>
                <w:sz w:val="20"/>
                <w:szCs w:val="20"/>
              </w:rPr>
            </w:pPr>
            <w:r>
              <w:rPr>
                <w:sz w:val="20"/>
                <w:szCs w:val="20"/>
              </w:rPr>
              <w:t xml:space="preserve">Change “Coma (Decreased Level of Consciousness) Protocol Title to “Altered Level of Consciousness” </w:t>
            </w:r>
          </w:p>
        </w:tc>
        <w:tc>
          <w:tcPr>
            <w:tcW w:w="2160" w:type="dxa"/>
          </w:tcPr>
          <w:p w14:paraId="12E6E76F" w14:textId="3C1539DD" w:rsidR="0071775A" w:rsidRPr="0071775A" w:rsidRDefault="00EC2969" w:rsidP="0071775A">
            <w:pPr>
              <w:rPr>
                <w:sz w:val="20"/>
                <w:szCs w:val="20"/>
              </w:rPr>
            </w:pPr>
            <w:r>
              <w:rPr>
                <w:sz w:val="20"/>
                <w:szCs w:val="20"/>
              </w:rPr>
              <w:t>Change the title of the protocol to better identify the purpose of the protocol in identifying/addressing all forms of encephalopathy</w:t>
            </w:r>
          </w:p>
        </w:tc>
        <w:tc>
          <w:tcPr>
            <w:tcW w:w="2160" w:type="dxa"/>
          </w:tcPr>
          <w:p w14:paraId="231041AC" w14:textId="4FBB81CC" w:rsidR="0071775A" w:rsidRPr="0071775A" w:rsidRDefault="00EC2969" w:rsidP="0071775A">
            <w:pPr>
              <w:rPr>
                <w:sz w:val="20"/>
                <w:szCs w:val="20"/>
              </w:rPr>
            </w:pPr>
            <w:r>
              <w:rPr>
                <w:sz w:val="20"/>
                <w:szCs w:val="20"/>
              </w:rPr>
              <w:t>MDPB Member Input</w:t>
            </w:r>
          </w:p>
        </w:tc>
        <w:tc>
          <w:tcPr>
            <w:tcW w:w="2326" w:type="dxa"/>
          </w:tcPr>
          <w:p w14:paraId="3F494F1D" w14:textId="379591D9" w:rsidR="0071775A" w:rsidRPr="0071775A" w:rsidRDefault="00EC2969" w:rsidP="0071775A">
            <w:pPr>
              <w:rPr>
                <w:sz w:val="20"/>
                <w:szCs w:val="20"/>
              </w:rPr>
            </w:pPr>
            <w:r>
              <w:rPr>
                <w:sz w:val="20"/>
                <w:szCs w:val="20"/>
              </w:rPr>
              <w:t xml:space="preserve">Educational </w:t>
            </w:r>
          </w:p>
        </w:tc>
        <w:tc>
          <w:tcPr>
            <w:tcW w:w="1289" w:type="dxa"/>
          </w:tcPr>
          <w:p w14:paraId="7A6CD171" w14:textId="0D61B484" w:rsidR="0071775A" w:rsidRPr="0071775A" w:rsidRDefault="00EC2969" w:rsidP="0071775A">
            <w:pPr>
              <w:rPr>
                <w:sz w:val="20"/>
                <w:szCs w:val="20"/>
              </w:rPr>
            </w:pPr>
            <w:r>
              <w:rPr>
                <w:sz w:val="20"/>
                <w:szCs w:val="20"/>
              </w:rPr>
              <w:t>Small</w:t>
            </w:r>
          </w:p>
        </w:tc>
        <w:tc>
          <w:tcPr>
            <w:tcW w:w="1690" w:type="dxa"/>
          </w:tcPr>
          <w:p w14:paraId="48227E55" w14:textId="74B0C4D4" w:rsidR="0071775A" w:rsidRPr="0071775A" w:rsidRDefault="00EC2969" w:rsidP="0071775A">
            <w:pPr>
              <w:rPr>
                <w:sz w:val="20"/>
                <w:szCs w:val="20"/>
              </w:rPr>
            </w:pPr>
            <w:r>
              <w:rPr>
                <w:sz w:val="20"/>
                <w:szCs w:val="20"/>
              </w:rPr>
              <w:t>Align with all causes of AMS</w:t>
            </w:r>
          </w:p>
        </w:tc>
      </w:tr>
      <w:tr w:rsidR="0071775A" w:rsidRPr="0071775A" w14:paraId="3EB8BF86" w14:textId="77777777" w:rsidTr="0071775A">
        <w:tc>
          <w:tcPr>
            <w:tcW w:w="1074" w:type="dxa"/>
          </w:tcPr>
          <w:p w14:paraId="7E7C00D0" w14:textId="013D4EF2" w:rsidR="0071775A" w:rsidRPr="0071775A" w:rsidRDefault="00EC2969" w:rsidP="0071775A">
            <w:pPr>
              <w:rPr>
                <w:sz w:val="20"/>
                <w:szCs w:val="20"/>
              </w:rPr>
            </w:pPr>
            <w:r>
              <w:rPr>
                <w:sz w:val="20"/>
                <w:szCs w:val="20"/>
              </w:rPr>
              <w:t xml:space="preserve">Gold 8 – </w:t>
            </w:r>
            <w:proofErr w:type="spellStart"/>
            <w:r>
              <w:rPr>
                <w:sz w:val="20"/>
                <w:szCs w:val="20"/>
              </w:rPr>
              <w:t>Pg</w:t>
            </w:r>
            <w:proofErr w:type="spellEnd"/>
            <w:r>
              <w:rPr>
                <w:sz w:val="20"/>
                <w:szCs w:val="20"/>
              </w:rPr>
              <w:t xml:space="preserve"> 65</w:t>
            </w:r>
          </w:p>
        </w:tc>
        <w:tc>
          <w:tcPr>
            <w:tcW w:w="2251" w:type="dxa"/>
          </w:tcPr>
          <w:p w14:paraId="763836DA" w14:textId="2BB014AE" w:rsidR="0071775A" w:rsidRPr="0071775A" w:rsidRDefault="00EC2969" w:rsidP="0071775A">
            <w:pPr>
              <w:rPr>
                <w:sz w:val="20"/>
                <w:szCs w:val="20"/>
              </w:rPr>
            </w:pPr>
            <w:r>
              <w:rPr>
                <w:sz w:val="20"/>
                <w:szCs w:val="20"/>
              </w:rPr>
              <w:t>Remove OLMC requirement for repeated doses of midazolam. Add a pearl and “H” to encourage calling forward and notifying the hospital of these patients</w:t>
            </w:r>
          </w:p>
        </w:tc>
        <w:tc>
          <w:tcPr>
            <w:tcW w:w="2160" w:type="dxa"/>
          </w:tcPr>
          <w:p w14:paraId="659D3CCF" w14:textId="1149020C" w:rsidR="0071775A" w:rsidRPr="0071775A" w:rsidRDefault="00EC2969" w:rsidP="0071775A">
            <w:pPr>
              <w:rPr>
                <w:sz w:val="20"/>
                <w:szCs w:val="20"/>
              </w:rPr>
            </w:pPr>
            <w:r>
              <w:rPr>
                <w:sz w:val="20"/>
                <w:szCs w:val="20"/>
              </w:rPr>
              <w:t xml:space="preserve">The available treatment for seizures in the pre-hospital environment are benzos and the treatment of status epilepticus </w:t>
            </w:r>
            <w:r w:rsidR="00DC084A">
              <w:rPr>
                <w:sz w:val="20"/>
                <w:szCs w:val="20"/>
              </w:rPr>
              <w:t>in the pre-hospital venue would be repeated midazolam. This is an effort to empower the paramedic to use this medication in the case of status epilepticus and off load OLMC while still alerting OLMC of this patient’s arrival</w:t>
            </w:r>
            <w:r>
              <w:rPr>
                <w:sz w:val="20"/>
                <w:szCs w:val="20"/>
              </w:rPr>
              <w:t xml:space="preserve">. </w:t>
            </w:r>
          </w:p>
        </w:tc>
        <w:tc>
          <w:tcPr>
            <w:tcW w:w="2160" w:type="dxa"/>
          </w:tcPr>
          <w:p w14:paraId="5C32B587" w14:textId="55630865" w:rsidR="0071775A" w:rsidRPr="0071775A" w:rsidRDefault="00DC084A" w:rsidP="0071775A">
            <w:pPr>
              <w:rPr>
                <w:sz w:val="20"/>
                <w:szCs w:val="20"/>
              </w:rPr>
            </w:pPr>
            <w:r w:rsidRPr="005E774C">
              <w:rPr>
                <w:rFonts w:cstheme="minorHAnsi"/>
                <w:color w:val="000000" w:themeColor="text1"/>
                <w:sz w:val="20"/>
                <w:szCs w:val="20"/>
              </w:rPr>
              <w:t>Reviewer/Stakeholder</w:t>
            </w:r>
            <w:r>
              <w:rPr>
                <w:rFonts w:cstheme="minorHAnsi"/>
                <w:color w:val="000000" w:themeColor="text1"/>
                <w:sz w:val="20"/>
                <w:szCs w:val="20"/>
              </w:rPr>
              <w:t>/</w:t>
            </w:r>
            <w:r>
              <w:rPr>
                <w:sz w:val="20"/>
                <w:szCs w:val="20"/>
              </w:rPr>
              <w:t xml:space="preserve"> MDPB Member </w:t>
            </w:r>
            <w:r w:rsidRPr="005E774C">
              <w:rPr>
                <w:rFonts w:cstheme="minorHAnsi"/>
                <w:color w:val="000000" w:themeColor="text1"/>
                <w:sz w:val="20"/>
                <w:szCs w:val="20"/>
              </w:rPr>
              <w:t>Input</w:t>
            </w:r>
          </w:p>
        </w:tc>
        <w:tc>
          <w:tcPr>
            <w:tcW w:w="2326" w:type="dxa"/>
          </w:tcPr>
          <w:p w14:paraId="206ADE34" w14:textId="441DBCA7" w:rsidR="0071775A" w:rsidRPr="0071775A" w:rsidRDefault="00DC084A" w:rsidP="0071775A">
            <w:pPr>
              <w:rPr>
                <w:sz w:val="20"/>
                <w:szCs w:val="20"/>
              </w:rPr>
            </w:pPr>
            <w:r>
              <w:rPr>
                <w:sz w:val="20"/>
                <w:szCs w:val="20"/>
              </w:rPr>
              <w:t xml:space="preserve">Educational/possible Hospital or OLMC dialogue </w:t>
            </w:r>
          </w:p>
        </w:tc>
        <w:tc>
          <w:tcPr>
            <w:tcW w:w="1289" w:type="dxa"/>
          </w:tcPr>
          <w:p w14:paraId="3EDB226B" w14:textId="63829C9B" w:rsidR="0071775A" w:rsidRPr="0071775A" w:rsidRDefault="00DC084A" w:rsidP="0071775A">
            <w:pPr>
              <w:rPr>
                <w:sz w:val="20"/>
                <w:szCs w:val="20"/>
              </w:rPr>
            </w:pPr>
            <w:r>
              <w:rPr>
                <w:sz w:val="20"/>
                <w:szCs w:val="20"/>
              </w:rPr>
              <w:t>Small</w:t>
            </w:r>
          </w:p>
        </w:tc>
        <w:tc>
          <w:tcPr>
            <w:tcW w:w="1690" w:type="dxa"/>
          </w:tcPr>
          <w:p w14:paraId="77C43F2E" w14:textId="726781EC" w:rsidR="0071775A" w:rsidRPr="0071775A" w:rsidRDefault="00DC084A" w:rsidP="0071775A">
            <w:pPr>
              <w:rPr>
                <w:sz w:val="20"/>
                <w:szCs w:val="20"/>
              </w:rPr>
            </w:pPr>
            <w:r>
              <w:rPr>
                <w:sz w:val="20"/>
                <w:szCs w:val="20"/>
              </w:rPr>
              <w:t xml:space="preserve">Reduce time to access of needed medications, off-load OLMC while still alerting OLMC of very critical incoming patient </w:t>
            </w:r>
          </w:p>
        </w:tc>
      </w:tr>
      <w:tr w:rsidR="0071775A" w:rsidRPr="0071775A" w14:paraId="3539E5F7" w14:textId="77777777" w:rsidTr="0071775A">
        <w:tc>
          <w:tcPr>
            <w:tcW w:w="1074" w:type="dxa"/>
          </w:tcPr>
          <w:p w14:paraId="38B17FE0" w14:textId="5FED586A" w:rsidR="0071775A" w:rsidRPr="0071775A" w:rsidRDefault="00DC084A" w:rsidP="0071775A">
            <w:pPr>
              <w:rPr>
                <w:sz w:val="20"/>
                <w:szCs w:val="20"/>
              </w:rPr>
            </w:pPr>
            <w:r>
              <w:rPr>
                <w:sz w:val="20"/>
                <w:szCs w:val="20"/>
              </w:rPr>
              <w:t xml:space="preserve">Gold 14 – </w:t>
            </w:r>
            <w:proofErr w:type="spellStart"/>
            <w:r>
              <w:rPr>
                <w:sz w:val="20"/>
                <w:szCs w:val="20"/>
              </w:rPr>
              <w:t>Pg</w:t>
            </w:r>
            <w:proofErr w:type="spellEnd"/>
            <w:r>
              <w:rPr>
                <w:sz w:val="20"/>
                <w:szCs w:val="20"/>
              </w:rPr>
              <w:t xml:space="preserve"> 71</w:t>
            </w:r>
          </w:p>
        </w:tc>
        <w:tc>
          <w:tcPr>
            <w:tcW w:w="2251" w:type="dxa"/>
          </w:tcPr>
          <w:p w14:paraId="0C83933D" w14:textId="095BF318" w:rsidR="0071775A" w:rsidRPr="0071775A" w:rsidRDefault="00DC084A" w:rsidP="0071775A">
            <w:pPr>
              <w:rPr>
                <w:sz w:val="20"/>
                <w:szCs w:val="20"/>
              </w:rPr>
            </w:pPr>
            <w:r>
              <w:rPr>
                <w:sz w:val="20"/>
                <w:szCs w:val="20"/>
              </w:rPr>
              <w:t>Add language allowing EMT SOP to identify sepsis</w:t>
            </w:r>
          </w:p>
        </w:tc>
        <w:tc>
          <w:tcPr>
            <w:tcW w:w="2160" w:type="dxa"/>
          </w:tcPr>
          <w:p w14:paraId="2EB43CFD" w14:textId="6BF776E0" w:rsidR="0071775A" w:rsidRPr="0071775A" w:rsidRDefault="00DC084A" w:rsidP="0071775A">
            <w:pPr>
              <w:rPr>
                <w:sz w:val="20"/>
                <w:szCs w:val="20"/>
              </w:rPr>
            </w:pPr>
            <w:r>
              <w:rPr>
                <w:sz w:val="20"/>
                <w:szCs w:val="20"/>
              </w:rPr>
              <w:t>Empower the EMT SOP to ID and alert hospitals of potential sepsis patient while still calling for ALS support</w:t>
            </w:r>
          </w:p>
        </w:tc>
        <w:tc>
          <w:tcPr>
            <w:tcW w:w="2160" w:type="dxa"/>
          </w:tcPr>
          <w:p w14:paraId="539487BB" w14:textId="5345E893" w:rsidR="0071775A" w:rsidRPr="0071775A" w:rsidRDefault="00DC084A" w:rsidP="0071775A">
            <w:pPr>
              <w:rPr>
                <w:sz w:val="20"/>
                <w:szCs w:val="20"/>
              </w:rPr>
            </w:pPr>
            <w:r w:rsidRPr="005E774C">
              <w:rPr>
                <w:rFonts w:cstheme="minorHAnsi"/>
                <w:color w:val="000000" w:themeColor="text1"/>
                <w:sz w:val="20"/>
                <w:szCs w:val="20"/>
              </w:rPr>
              <w:t>Reviewer/Stakeholder</w:t>
            </w:r>
            <w:r>
              <w:rPr>
                <w:rFonts w:cstheme="minorHAnsi"/>
                <w:color w:val="000000" w:themeColor="text1"/>
                <w:sz w:val="20"/>
                <w:szCs w:val="20"/>
              </w:rPr>
              <w:t>/</w:t>
            </w:r>
            <w:r>
              <w:rPr>
                <w:sz w:val="20"/>
                <w:szCs w:val="20"/>
              </w:rPr>
              <w:t xml:space="preserve"> MDPB Member </w:t>
            </w:r>
            <w:r w:rsidRPr="005E774C">
              <w:rPr>
                <w:rFonts w:cstheme="minorHAnsi"/>
                <w:color w:val="000000" w:themeColor="text1"/>
                <w:sz w:val="20"/>
                <w:szCs w:val="20"/>
              </w:rPr>
              <w:t>Input</w:t>
            </w:r>
          </w:p>
        </w:tc>
        <w:tc>
          <w:tcPr>
            <w:tcW w:w="2326" w:type="dxa"/>
          </w:tcPr>
          <w:p w14:paraId="2BBF0E7D" w14:textId="77777777" w:rsidR="00DC084A" w:rsidRDefault="00DC084A" w:rsidP="0071775A">
            <w:pPr>
              <w:rPr>
                <w:sz w:val="20"/>
                <w:szCs w:val="20"/>
              </w:rPr>
            </w:pPr>
            <w:r>
              <w:rPr>
                <w:sz w:val="20"/>
                <w:szCs w:val="20"/>
              </w:rPr>
              <w:t>Educational/</w:t>
            </w:r>
            <w:r>
              <w:rPr>
                <w:sz w:val="20"/>
                <w:szCs w:val="20"/>
              </w:rPr>
              <w:t>Operational/</w:t>
            </w:r>
          </w:p>
          <w:p w14:paraId="0427F844" w14:textId="3306ED01" w:rsidR="0071775A" w:rsidRPr="0071775A" w:rsidRDefault="00DC084A" w:rsidP="0071775A">
            <w:pPr>
              <w:rPr>
                <w:sz w:val="20"/>
                <w:szCs w:val="20"/>
              </w:rPr>
            </w:pPr>
            <w:r>
              <w:rPr>
                <w:sz w:val="20"/>
                <w:szCs w:val="20"/>
              </w:rPr>
              <w:t>possible Hospital or OLMC dialogue</w:t>
            </w:r>
          </w:p>
        </w:tc>
        <w:tc>
          <w:tcPr>
            <w:tcW w:w="1289" w:type="dxa"/>
          </w:tcPr>
          <w:p w14:paraId="0C6BE854" w14:textId="5E20445C" w:rsidR="0071775A" w:rsidRPr="0071775A" w:rsidRDefault="00DC084A" w:rsidP="0071775A">
            <w:pPr>
              <w:rPr>
                <w:sz w:val="20"/>
                <w:szCs w:val="20"/>
              </w:rPr>
            </w:pPr>
            <w:r>
              <w:rPr>
                <w:sz w:val="20"/>
                <w:szCs w:val="20"/>
              </w:rPr>
              <w:t>Moderate at the EMT SOP</w:t>
            </w:r>
          </w:p>
        </w:tc>
        <w:tc>
          <w:tcPr>
            <w:tcW w:w="1690" w:type="dxa"/>
          </w:tcPr>
          <w:p w14:paraId="22BC84A8" w14:textId="1C9380F5" w:rsidR="0071775A" w:rsidRPr="0071775A" w:rsidRDefault="00DC084A" w:rsidP="0071775A">
            <w:pPr>
              <w:rPr>
                <w:sz w:val="20"/>
                <w:szCs w:val="20"/>
              </w:rPr>
            </w:pPr>
            <w:r>
              <w:rPr>
                <w:sz w:val="20"/>
                <w:szCs w:val="20"/>
              </w:rPr>
              <w:t>Allow early recognition and notification of septic patients care for first by the EMT SOP</w:t>
            </w:r>
          </w:p>
        </w:tc>
      </w:tr>
      <w:tr w:rsidR="0071775A" w:rsidRPr="0071775A" w14:paraId="4364971F" w14:textId="77777777" w:rsidTr="0071775A">
        <w:tc>
          <w:tcPr>
            <w:tcW w:w="1074" w:type="dxa"/>
          </w:tcPr>
          <w:p w14:paraId="441CD73A" w14:textId="5DDD5CBE" w:rsidR="0071775A" w:rsidRPr="0071775A" w:rsidRDefault="00DC084A" w:rsidP="0071775A">
            <w:pPr>
              <w:rPr>
                <w:sz w:val="20"/>
                <w:szCs w:val="20"/>
              </w:rPr>
            </w:pPr>
            <w:r>
              <w:rPr>
                <w:sz w:val="20"/>
                <w:szCs w:val="20"/>
              </w:rPr>
              <w:t xml:space="preserve">Gold 14 – </w:t>
            </w:r>
            <w:proofErr w:type="spellStart"/>
            <w:r>
              <w:rPr>
                <w:sz w:val="20"/>
                <w:szCs w:val="20"/>
              </w:rPr>
              <w:t>Pg</w:t>
            </w:r>
            <w:proofErr w:type="spellEnd"/>
            <w:r>
              <w:rPr>
                <w:sz w:val="20"/>
                <w:szCs w:val="20"/>
              </w:rPr>
              <w:t xml:space="preserve"> 71</w:t>
            </w:r>
          </w:p>
        </w:tc>
        <w:tc>
          <w:tcPr>
            <w:tcW w:w="2251" w:type="dxa"/>
          </w:tcPr>
          <w:p w14:paraId="2179AB4E" w14:textId="25B918E1" w:rsidR="0071775A" w:rsidRPr="0071775A" w:rsidRDefault="00DC084A" w:rsidP="0071775A">
            <w:pPr>
              <w:rPr>
                <w:sz w:val="20"/>
                <w:szCs w:val="20"/>
              </w:rPr>
            </w:pPr>
            <w:r>
              <w:rPr>
                <w:sz w:val="20"/>
                <w:szCs w:val="20"/>
              </w:rPr>
              <w:t xml:space="preserve">Add language re: identifying patients with resuscitation volume goals other than 30 ml/kg – supported by a pearl identifying which patients may require different volume goals </w:t>
            </w:r>
          </w:p>
        </w:tc>
        <w:tc>
          <w:tcPr>
            <w:tcW w:w="2160" w:type="dxa"/>
          </w:tcPr>
          <w:p w14:paraId="53ADA401" w14:textId="15242AD3" w:rsidR="0071775A" w:rsidRPr="0071775A" w:rsidRDefault="00DC084A" w:rsidP="0071775A">
            <w:pPr>
              <w:rPr>
                <w:sz w:val="20"/>
                <w:szCs w:val="20"/>
              </w:rPr>
            </w:pPr>
            <w:r>
              <w:rPr>
                <w:sz w:val="20"/>
                <w:szCs w:val="20"/>
              </w:rPr>
              <w:t>Identify patients who may benefit from smaller volume resuscitation goals via conversation with OLMC</w:t>
            </w:r>
          </w:p>
        </w:tc>
        <w:tc>
          <w:tcPr>
            <w:tcW w:w="2160" w:type="dxa"/>
          </w:tcPr>
          <w:p w14:paraId="47799DF1" w14:textId="21CA8F00" w:rsidR="0071775A" w:rsidRPr="0071775A" w:rsidRDefault="00DC084A" w:rsidP="0071775A">
            <w:pPr>
              <w:rPr>
                <w:sz w:val="20"/>
                <w:szCs w:val="20"/>
              </w:rPr>
            </w:pPr>
            <w:r w:rsidRPr="005E774C">
              <w:rPr>
                <w:rFonts w:cstheme="minorHAnsi"/>
                <w:color w:val="000000" w:themeColor="text1"/>
                <w:sz w:val="20"/>
                <w:szCs w:val="20"/>
              </w:rPr>
              <w:t>Reviewer/Stakeholder</w:t>
            </w:r>
            <w:r>
              <w:rPr>
                <w:rFonts w:cstheme="minorHAnsi"/>
                <w:color w:val="000000" w:themeColor="text1"/>
                <w:sz w:val="20"/>
                <w:szCs w:val="20"/>
              </w:rPr>
              <w:t>/</w:t>
            </w:r>
            <w:r>
              <w:rPr>
                <w:sz w:val="20"/>
                <w:szCs w:val="20"/>
              </w:rPr>
              <w:t xml:space="preserve"> MDPB Member </w:t>
            </w:r>
            <w:r w:rsidRPr="005E774C">
              <w:rPr>
                <w:rFonts w:cstheme="minorHAnsi"/>
                <w:color w:val="000000" w:themeColor="text1"/>
                <w:sz w:val="20"/>
                <w:szCs w:val="20"/>
              </w:rPr>
              <w:t>Input</w:t>
            </w:r>
          </w:p>
        </w:tc>
        <w:tc>
          <w:tcPr>
            <w:tcW w:w="2326" w:type="dxa"/>
          </w:tcPr>
          <w:p w14:paraId="1FAD0FC1" w14:textId="0243B6AA" w:rsidR="0071775A" w:rsidRPr="0071775A" w:rsidRDefault="00DC084A" w:rsidP="0071775A">
            <w:pPr>
              <w:rPr>
                <w:sz w:val="20"/>
                <w:szCs w:val="20"/>
              </w:rPr>
            </w:pPr>
            <w:r>
              <w:rPr>
                <w:sz w:val="20"/>
                <w:szCs w:val="20"/>
              </w:rPr>
              <w:t xml:space="preserve">Educational/Operational </w:t>
            </w:r>
          </w:p>
        </w:tc>
        <w:tc>
          <w:tcPr>
            <w:tcW w:w="1289" w:type="dxa"/>
          </w:tcPr>
          <w:p w14:paraId="4D42137D" w14:textId="336B7185" w:rsidR="0071775A" w:rsidRPr="0071775A" w:rsidRDefault="00DC084A" w:rsidP="0071775A">
            <w:pPr>
              <w:rPr>
                <w:sz w:val="20"/>
                <w:szCs w:val="20"/>
              </w:rPr>
            </w:pPr>
            <w:r>
              <w:rPr>
                <w:sz w:val="20"/>
                <w:szCs w:val="20"/>
              </w:rPr>
              <w:t>Moderate at the AEMT SOP</w:t>
            </w:r>
          </w:p>
        </w:tc>
        <w:tc>
          <w:tcPr>
            <w:tcW w:w="1690" w:type="dxa"/>
          </w:tcPr>
          <w:p w14:paraId="7AF27AF9" w14:textId="183B2A4C" w:rsidR="0071775A" w:rsidRPr="0071775A" w:rsidRDefault="00DC084A" w:rsidP="0071775A">
            <w:pPr>
              <w:rPr>
                <w:sz w:val="20"/>
                <w:szCs w:val="20"/>
              </w:rPr>
            </w:pPr>
            <w:r>
              <w:rPr>
                <w:sz w:val="20"/>
                <w:szCs w:val="20"/>
              </w:rPr>
              <w:t xml:space="preserve">ID patients who may not tolerate 30 ml/kg of volume and who may be better treated by alternate means, including pressors at the Paramedic SOP </w:t>
            </w:r>
          </w:p>
        </w:tc>
      </w:tr>
      <w:tr w:rsidR="0071775A" w:rsidRPr="0071775A" w14:paraId="4F4BCBA7" w14:textId="77777777" w:rsidTr="0071775A">
        <w:tc>
          <w:tcPr>
            <w:tcW w:w="1074" w:type="dxa"/>
          </w:tcPr>
          <w:p w14:paraId="73637F0B" w14:textId="5E7EBDE6" w:rsidR="0071775A" w:rsidRPr="0071775A" w:rsidRDefault="00DC084A" w:rsidP="0071775A">
            <w:pPr>
              <w:rPr>
                <w:sz w:val="20"/>
                <w:szCs w:val="20"/>
              </w:rPr>
            </w:pPr>
            <w:r>
              <w:rPr>
                <w:sz w:val="20"/>
                <w:szCs w:val="20"/>
              </w:rPr>
              <w:t xml:space="preserve">Gold 15 – </w:t>
            </w:r>
            <w:proofErr w:type="spellStart"/>
            <w:r>
              <w:rPr>
                <w:sz w:val="20"/>
                <w:szCs w:val="20"/>
              </w:rPr>
              <w:t>Pg</w:t>
            </w:r>
            <w:proofErr w:type="spellEnd"/>
            <w:r>
              <w:rPr>
                <w:sz w:val="20"/>
                <w:szCs w:val="20"/>
              </w:rPr>
              <w:t xml:space="preserve"> 72</w:t>
            </w:r>
          </w:p>
        </w:tc>
        <w:tc>
          <w:tcPr>
            <w:tcW w:w="2251" w:type="dxa"/>
          </w:tcPr>
          <w:p w14:paraId="4B0DD15D" w14:textId="70CE5E95" w:rsidR="0071775A" w:rsidRPr="0071775A" w:rsidRDefault="00DC084A" w:rsidP="0071775A">
            <w:pPr>
              <w:rPr>
                <w:sz w:val="20"/>
                <w:szCs w:val="20"/>
              </w:rPr>
            </w:pPr>
            <w:r>
              <w:rPr>
                <w:sz w:val="20"/>
                <w:szCs w:val="20"/>
              </w:rPr>
              <w:t xml:space="preserve">Remove OLMC requirement for initiation of pressors – change to “H” symbol and add Pearl that reads </w:t>
            </w:r>
            <w:r w:rsidRPr="00DC084A">
              <w:rPr>
                <w:rFonts w:cstheme="minorHAnsi"/>
                <w:sz w:val="20"/>
                <w:szCs w:val="20"/>
              </w:rPr>
              <w:t>“</w:t>
            </w:r>
            <w:r w:rsidRPr="00DC084A">
              <w:rPr>
                <w:rFonts w:cstheme="minorHAnsi"/>
                <w:sz w:val="20"/>
                <w:szCs w:val="20"/>
              </w:rPr>
              <w:t xml:space="preserve">Patients suffering from sepsis or septic shock are very ill patients and the care of these patients may be nuanced. Please consider the value of </w:t>
            </w:r>
            <w:proofErr w:type="gramStart"/>
            <w:r w:rsidRPr="00DC084A">
              <w:rPr>
                <w:rFonts w:cstheme="minorHAnsi"/>
                <w:sz w:val="20"/>
                <w:szCs w:val="20"/>
              </w:rPr>
              <w:t>On Line</w:t>
            </w:r>
            <w:proofErr w:type="gramEnd"/>
            <w:r w:rsidRPr="00DC084A">
              <w:rPr>
                <w:rFonts w:cstheme="minorHAnsi"/>
                <w:sz w:val="20"/>
                <w:szCs w:val="20"/>
              </w:rPr>
              <w:t xml:space="preserve"> Medical Control discussion for any questions or concerns regarding the management of these patients.</w:t>
            </w:r>
            <w:r>
              <w:rPr>
                <w:rFonts w:cstheme="minorHAnsi"/>
                <w:sz w:val="20"/>
                <w:szCs w:val="20"/>
              </w:rPr>
              <w:t>”</w:t>
            </w:r>
          </w:p>
        </w:tc>
        <w:tc>
          <w:tcPr>
            <w:tcW w:w="2160" w:type="dxa"/>
          </w:tcPr>
          <w:p w14:paraId="6C25CD1A" w14:textId="17B6C246" w:rsidR="0071775A" w:rsidRPr="0071775A" w:rsidRDefault="00DC084A" w:rsidP="0071775A">
            <w:pPr>
              <w:rPr>
                <w:sz w:val="20"/>
                <w:szCs w:val="20"/>
              </w:rPr>
            </w:pPr>
            <w:r>
              <w:rPr>
                <w:sz w:val="20"/>
                <w:szCs w:val="20"/>
              </w:rPr>
              <w:t xml:space="preserve">Decrease barriers to initiation of pressors while continuing to emphasize the value in medical consultation with the physician who will be receiving the patient </w:t>
            </w:r>
          </w:p>
        </w:tc>
        <w:tc>
          <w:tcPr>
            <w:tcW w:w="2160" w:type="dxa"/>
          </w:tcPr>
          <w:p w14:paraId="013A4301" w14:textId="1A9D4D2A" w:rsidR="0071775A" w:rsidRPr="0071775A" w:rsidRDefault="00DC084A" w:rsidP="0071775A">
            <w:pPr>
              <w:rPr>
                <w:sz w:val="20"/>
                <w:szCs w:val="20"/>
              </w:rPr>
            </w:pPr>
            <w:r w:rsidRPr="005E774C">
              <w:rPr>
                <w:rFonts w:cstheme="minorHAnsi"/>
                <w:color w:val="000000" w:themeColor="text1"/>
                <w:sz w:val="20"/>
                <w:szCs w:val="20"/>
              </w:rPr>
              <w:t>Reviewer/Stakeholder</w:t>
            </w:r>
            <w:r>
              <w:rPr>
                <w:rFonts w:cstheme="minorHAnsi"/>
                <w:color w:val="000000" w:themeColor="text1"/>
                <w:sz w:val="20"/>
                <w:szCs w:val="20"/>
              </w:rPr>
              <w:t>/</w:t>
            </w:r>
            <w:r>
              <w:rPr>
                <w:sz w:val="20"/>
                <w:szCs w:val="20"/>
              </w:rPr>
              <w:t xml:space="preserve"> MDPB Member </w:t>
            </w:r>
            <w:r w:rsidRPr="005E774C">
              <w:rPr>
                <w:rFonts w:cstheme="minorHAnsi"/>
                <w:color w:val="000000" w:themeColor="text1"/>
                <w:sz w:val="20"/>
                <w:szCs w:val="20"/>
              </w:rPr>
              <w:t>Input</w:t>
            </w:r>
          </w:p>
        </w:tc>
        <w:tc>
          <w:tcPr>
            <w:tcW w:w="2326" w:type="dxa"/>
          </w:tcPr>
          <w:p w14:paraId="332927D9" w14:textId="671A1ED8" w:rsidR="0071775A" w:rsidRPr="0071775A" w:rsidRDefault="00DC084A" w:rsidP="0071775A">
            <w:pPr>
              <w:rPr>
                <w:sz w:val="20"/>
                <w:szCs w:val="20"/>
              </w:rPr>
            </w:pPr>
            <w:r>
              <w:rPr>
                <w:sz w:val="20"/>
                <w:szCs w:val="20"/>
              </w:rPr>
              <w:t>Educational/Operational – may require discussion with hospitals/OLMC</w:t>
            </w:r>
          </w:p>
        </w:tc>
        <w:tc>
          <w:tcPr>
            <w:tcW w:w="1289" w:type="dxa"/>
          </w:tcPr>
          <w:p w14:paraId="4CEA894C" w14:textId="224A9540" w:rsidR="0071775A" w:rsidRPr="0071775A" w:rsidRDefault="00DC084A" w:rsidP="0071775A">
            <w:pPr>
              <w:rPr>
                <w:sz w:val="20"/>
                <w:szCs w:val="20"/>
              </w:rPr>
            </w:pPr>
            <w:r>
              <w:rPr>
                <w:sz w:val="20"/>
                <w:szCs w:val="20"/>
              </w:rPr>
              <w:t>Moderate at the Medic SOP</w:t>
            </w:r>
          </w:p>
        </w:tc>
        <w:tc>
          <w:tcPr>
            <w:tcW w:w="1690" w:type="dxa"/>
          </w:tcPr>
          <w:p w14:paraId="5CA2094E" w14:textId="3C17BC05" w:rsidR="0071775A" w:rsidRPr="0071775A" w:rsidRDefault="003D56C4" w:rsidP="0071775A">
            <w:pPr>
              <w:rPr>
                <w:sz w:val="20"/>
                <w:szCs w:val="20"/>
              </w:rPr>
            </w:pPr>
            <w:r>
              <w:rPr>
                <w:sz w:val="20"/>
                <w:szCs w:val="20"/>
              </w:rPr>
              <w:t xml:space="preserve">Decrease barriers to therapy while still encouraging medical consultation </w:t>
            </w:r>
          </w:p>
        </w:tc>
      </w:tr>
      <w:tr w:rsidR="0071775A" w:rsidRPr="0071775A" w14:paraId="12969229" w14:textId="77777777" w:rsidTr="0071775A">
        <w:tc>
          <w:tcPr>
            <w:tcW w:w="1074" w:type="dxa"/>
          </w:tcPr>
          <w:p w14:paraId="18BB35FC" w14:textId="35C4E6DB" w:rsidR="0071775A" w:rsidRPr="0071775A" w:rsidRDefault="003D56C4" w:rsidP="0071775A">
            <w:pPr>
              <w:rPr>
                <w:sz w:val="20"/>
                <w:szCs w:val="20"/>
              </w:rPr>
            </w:pPr>
            <w:r>
              <w:rPr>
                <w:sz w:val="20"/>
                <w:szCs w:val="20"/>
              </w:rPr>
              <w:t xml:space="preserve">Gold 19 – </w:t>
            </w:r>
            <w:proofErr w:type="spellStart"/>
            <w:r>
              <w:rPr>
                <w:sz w:val="20"/>
                <w:szCs w:val="20"/>
              </w:rPr>
              <w:t>Pg</w:t>
            </w:r>
            <w:proofErr w:type="spellEnd"/>
            <w:r>
              <w:rPr>
                <w:sz w:val="20"/>
                <w:szCs w:val="20"/>
              </w:rPr>
              <w:t xml:space="preserve"> 76</w:t>
            </w:r>
          </w:p>
        </w:tc>
        <w:tc>
          <w:tcPr>
            <w:tcW w:w="2251" w:type="dxa"/>
          </w:tcPr>
          <w:p w14:paraId="6112B0E7" w14:textId="0A8B9FC0" w:rsidR="0071775A" w:rsidRPr="0071775A" w:rsidRDefault="003D56C4" w:rsidP="0071775A">
            <w:pPr>
              <w:rPr>
                <w:sz w:val="20"/>
                <w:szCs w:val="20"/>
              </w:rPr>
            </w:pPr>
            <w:r>
              <w:rPr>
                <w:sz w:val="20"/>
                <w:szCs w:val="20"/>
              </w:rPr>
              <w:t xml:space="preserve">NEW PROTOCOL – add in new protocol focused on Obstetric Emergencies </w:t>
            </w:r>
          </w:p>
        </w:tc>
        <w:tc>
          <w:tcPr>
            <w:tcW w:w="2160" w:type="dxa"/>
          </w:tcPr>
          <w:p w14:paraId="25197C24" w14:textId="78893155" w:rsidR="0071775A" w:rsidRPr="0071775A" w:rsidRDefault="003D56C4" w:rsidP="0071775A">
            <w:pPr>
              <w:rPr>
                <w:sz w:val="20"/>
                <w:szCs w:val="20"/>
              </w:rPr>
            </w:pPr>
            <w:r>
              <w:rPr>
                <w:sz w:val="20"/>
                <w:szCs w:val="20"/>
              </w:rPr>
              <w:t xml:space="preserve">Identify select obstetric emergencies, their immediate treatment and to provide assistance regarding entry destination recognizing that there are diminishing OB resources in the state </w:t>
            </w:r>
          </w:p>
        </w:tc>
        <w:tc>
          <w:tcPr>
            <w:tcW w:w="2160" w:type="dxa"/>
          </w:tcPr>
          <w:p w14:paraId="5DBC2BF8" w14:textId="7F871D83" w:rsidR="0071775A" w:rsidRPr="0071775A" w:rsidRDefault="003D56C4" w:rsidP="0071775A">
            <w:pPr>
              <w:rPr>
                <w:sz w:val="20"/>
                <w:szCs w:val="20"/>
              </w:rPr>
            </w:pPr>
            <w:r w:rsidRPr="005E774C">
              <w:rPr>
                <w:rFonts w:cstheme="minorHAnsi"/>
                <w:color w:val="000000" w:themeColor="text1"/>
                <w:sz w:val="20"/>
                <w:szCs w:val="20"/>
              </w:rPr>
              <w:t>Reviewer/Stakeholder</w:t>
            </w:r>
            <w:r>
              <w:rPr>
                <w:rFonts w:cstheme="minorHAnsi"/>
                <w:color w:val="000000" w:themeColor="text1"/>
                <w:sz w:val="20"/>
                <w:szCs w:val="20"/>
              </w:rPr>
              <w:t>/</w:t>
            </w:r>
            <w:r>
              <w:rPr>
                <w:sz w:val="20"/>
                <w:szCs w:val="20"/>
              </w:rPr>
              <w:t xml:space="preserve"> MDPB Member </w:t>
            </w:r>
            <w:r w:rsidRPr="005E774C">
              <w:rPr>
                <w:rFonts w:cstheme="minorHAnsi"/>
                <w:color w:val="000000" w:themeColor="text1"/>
                <w:sz w:val="20"/>
                <w:szCs w:val="20"/>
              </w:rPr>
              <w:t>Input</w:t>
            </w:r>
            <w:r>
              <w:rPr>
                <w:rFonts w:cstheme="minorHAnsi"/>
                <w:color w:val="000000" w:themeColor="text1"/>
                <w:sz w:val="20"/>
                <w:szCs w:val="20"/>
              </w:rPr>
              <w:t xml:space="preserve"> – dialogue with EMS-C and OB provider input</w:t>
            </w:r>
          </w:p>
        </w:tc>
        <w:tc>
          <w:tcPr>
            <w:tcW w:w="2326" w:type="dxa"/>
          </w:tcPr>
          <w:p w14:paraId="16EFC075" w14:textId="73CDDC34" w:rsidR="0071775A" w:rsidRPr="0071775A" w:rsidRDefault="003D56C4" w:rsidP="0071775A">
            <w:pPr>
              <w:rPr>
                <w:sz w:val="20"/>
                <w:szCs w:val="20"/>
              </w:rPr>
            </w:pPr>
            <w:r>
              <w:rPr>
                <w:sz w:val="20"/>
                <w:szCs w:val="20"/>
              </w:rPr>
              <w:t>Educational/Operational</w:t>
            </w:r>
          </w:p>
        </w:tc>
        <w:tc>
          <w:tcPr>
            <w:tcW w:w="1289" w:type="dxa"/>
          </w:tcPr>
          <w:p w14:paraId="06B7098C" w14:textId="4EC4AC0A" w:rsidR="0071775A" w:rsidRPr="0071775A" w:rsidRDefault="003D56C4" w:rsidP="0071775A">
            <w:pPr>
              <w:rPr>
                <w:sz w:val="20"/>
                <w:szCs w:val="20"/>
              </w:rPr>
            </w:pPr>
            <w:r>
              <w:rPr>
                <w:sz w:val="20"/>
                <w:szCs w:val="20"/>
              </w:rPr>
              <w:t>Moderate</w:t>
            </w:r>
          </w:p>
        </w:tc>
        <w:tc>
          <w:tcPr>
            <w:tcW w:w="1690" w:type="dxa"/>
          </w:tcPr>
          <w:p w14:paraId="36F5E673" w14:textId="3436AB0E" w:rsidR="0071775A" w:rsidRPr="0071775A" w:rsidRDefault="003D56C4" w:rsidP="0071775A">
            <w:pPr>
              <w:rPr>
                <w:sz w:val="20"/>
                <w:szCs w:val="20"/>
              </w:rPr>
            </w:pPr>
            <w:r>
              <w:rPr>
                <w:sz w:val="20"/>
                <w:szCs w:val="20"/>
              </w:rPr>
              <w:t xml:space="preserve">Increase awareness of OB emergencies, their initial treatment and entry destination support </w:t>
            </w:r>
          </w:p>
        </w:tc>
      </w:tr>
      <w:tr w:rsidR="003D56C4" w:rsidRPr="0071775A" w14:paraId="6FC5AF22" w14:textId="77777777" w:rsidTr="0071775A">
        <w:tc>
          <w:tcPr>
            <w:tcW w:w="1074" w:type="dxa"/>
          </w:tcPr>
          <w:p w14:paraId="66BFE2A5" w14:textId="6ABC35D1" w:rsidR="003D56C4" w:rsidRPr="0071775A" w:rsidRDefault="003D56C4" w:rsidP="003D56C4">
            <w:pPr>
              <w:rPr>
                <w:sz w:val="20"/>
                <w:szCs w:val="20"/>
              </w:rPr>
            </w:pPr>
            <w:r>
              <w:rPr>
                <w:sz w:val="20"/>
                <w:szCs w:val="20"/>
              </w:rPr>
              <w:t xml:space="preserve">Gold 20 – </w:t>
            </w:r>
            <w:proofErr w:type="spellStart"/>
            <w:r>
              <w:rPr>
                <w:sz w:val="20"/>
                <w:szCs w:val="20"/>
              </w:rPr>
              <w:t>Pg</w:t>
            </w:r>
            <w:proofErr w:type="spellEnd"/>
            <w:r>
              <w:rPr>
                <w:sz w:val="20"/>
                <w:szCs w:val="20"/>
              </w:rPr>
              <w:t xml:space="preserve"> 77</w:t>
            </w:r>
          </w:p>
        </w:tc>
        <w:tc>
          <w:tcPr>
            <w:tcW w:w="2251" w:type="dxa"/>
          </w:tcPr>
          <w:p w14:paraId="3747E7D2" w14:textId="77777777" w:rsidR="003D56C4" w:rsidRDefault="003D56C4" w:rsidP="003D56C4">
            <w:pPr>
              <w:rPr>
                <w:sz w:val="20"/>
                <w:szCs w:val="20"/>
              </w:rPr>
            </w:pPr>
            <w:r>
              <w:rPr>
                <w:sz w:val="20"/>
                <w:szCs w:val="20"/>
              </w:rPr>
              <w:t xml:space="preserve">Add IV ondansetron to the AEMT SOP </w:t>
            </w:r>
          </w:p>
          <w:p w14:paraId="6A66C801" w14:textId="56D63EAC" w:rsidR="003D56C4" w:rsidRPr="0071775A" w:rsidRDefault="003D56C4" w:rsidP="003D56C4">
            <w:pPr>
              <w:rPr>
                <w:sz w:val="20"/>
                <w:szCs w:val="20"/>
              </w:rPr>
            </w:pPr>
            <w:r>
              <w:rPr>
                <w:sz w:val="20"/>
                <w:szCs w:val="20"/>
              </w:rPr>
              <w:t>AND</w:t>
            </w:r>
            <w:r>
              <w:rPr>
                <w:sz w:val="20"/>
                <w:szCs w:val="20"/>
              </w:rPr>
              <w:br/>
              <w:t xml:space="preserve">align the guidance on when to initiate vascular access and fluid boluses </w:t>
            </w:r>
          </w:p>
        </w:tc>
        <w:tc>
          <w:tcPr>
            <w:tcW w:w="2160" w:type="dxa"/>
          </w:tcPr>
          <w:p w14:paraId="0413B611" w14:textId="3F7CDE4B" w:rsidR="003D56C4" w:rsidRPr="0071775A" w:rsidRDefault="003D56C4" w:rsidP="003D56C4">
            <w:pPr>
              <w:rPr>
                <w:sz w:val="20"/>
                <w:szCs w:val="20"/>
              </w:rPr>
            </w:pPr>
            <w:r>
              <w:rPr>
                <w:sz w:val="20"/>
                <w:szCs w:val="20"/>
              </w:rPr>
              <w:t xml:space="preserve">Align with the 2019 National SOP Model AND to align the guidance on when to start </w:t>
            </w:r>
            <w:proofErr w:type="gramStart"/>
            <w:r>
              <w:rPr>
                <w:sz w:val="20"/>
                <w:szCs w:val="20"/>
              </w:rPr>
              <w:t>fluids/establish</w:t>
            </w:r>
            <w:proofErr w:type="gramEnd"/>
            <w:r>
              <w:rPr>
                <w:sz w:val="20"/>
                <w:szCs w:val="20"/>
              </w:rPr>
              <w:t xml:space="preserve"> IV Access </w:t>
            </w:r>
          </w:p>
        </w:tc>
        <w:tc>
          <w:tcPr>
            <w:tcW w:w="2160" w:type="dxa"/>
          </w:tcPr>
          <w:p w14:paraId="033C6CA4" w14:textId="0B66C0B9" w:rsidR="003D56C4" w:rsidRPr="0071775A" w:rsidRDefault="003D56C4" w:rsidP="003D56C4">
            <w:pPr>
              <w:rPr>
                <w:sz w:val="20"/>
                <w:szCs w:val="20"/>
              </w:rPr>
            </w:pPr>
            <w:r w:rsidRPr="005E774C">
              <w:rPr>
                <w:rFonts w:cstheme="minorHAnsi"/>
                <w:color w:val="000000" w:themeColor="text1"/>
                <w:sz w:val="20"/>
                <w:szCs w:val="20"/>
              </w:rPr>
              <w:t>Reviewer/Stakeholder</w:t>
            </w:r>
            <w:r>
              <w:rPr>
                <w:rFonts w:cstheme="minorHAnsi"/>
                <w:color w:val="000000" w:themeColor="text1"/>
                <w:sz w:val="20"/>
                <w:szCs w:val="20"/>
              </w:rPr>
              <w:t>/</w:t>
            </w:r>
            <w:r>
              <w:rPr>
                <w:sz w:val="20"/>
                <w:szCs w:val="20"/>
              </w:rPr>
              <w:t xml:space="preserve"> MDPB Member </w:t>
            </w:r>
            <w:r w:rsidRPr="005E774C">
              <w:rPr>
                <w:rFonts w:cstheme="minorHAnsi"/>
                <w:color w:val="000000" w:themeColor="text1"/>
                <w:sz w:val="20"/>
                <w:szCs w:val="20"/>
              </w:rPr>
              <w:t>Input</w:t>
            </w:r>
            <w:r>
              <w:rPr>
                <w:rFonts w:cstheme="minorHAnsi"/>
                <w:color w:val="000000" w:themeColor="text1"/>
                <w:sz w:val="20"/>
                <w:szCs w:val="20"/>
              </w:rPr>
              <w:t xml:space="preserve"> – Review of the 2019 National SOP Model </w:t>
            </w:r>
          </w:p>
        </w:tc>
        <w:tc>
          <w:tcPr>
            <w:tcW w:w="2326" w:type="dxa"/>
          </w:tcPr>
          <w:p w14:paraId="4020877A" w14:textId="2241870F" w:rsidR="003D56C4" w:rsidRPr="0071775A" w:rsidRDefault="003D56C4" w:rsidP="003D56C4">
            <w:pPr>
              <w:rPr>
                <w:sz w:val="20"/>
                <w:szCs w:val="20"/>
              </w:rPr>
            </w:pPr>
            <w:r>
              <w:rPr>
                <w:sz w:val="20"/>
                <w:szCs w:val="20"/>
              </w:rPr>
              <w:t>Educational/Operational</w:t>
            </w:r>
          </w:p>
        </w:tc>
        <w:tc>
          <w:tcPr>
            <w:tcW w:w="1289" w:type="dxa"/>
          </w:tcPr>
          <w:p w14:paraId="3AFA1A21" w14:textId="31E4A5F9" w:rsidR="003D56C4" w:rsidRPr="0071775A" w:rsidRDefault="003D56C4" w:rsidP="003D56C4">
            <w:pPr>
              <w:rPr>
                <w:sz w:val="20"/>
                <w:szCs w:val="20"/>
              </w:rPr>
            </w:pPr>
            <w:r>
              <w:rPr>
                <w:sz w:val="20"/>
                <w:szCs w:val="20"/>
              </w:rPr>
              <w:t xml:space="preserve">Moderate at the AEMT SOP </w:t>
            </w:r>
          </w:p>
        </w:tc>
        <w:tc>
          <w:tcPr>
            <w:tcW w:w="1690" w:type="dxa"/>
          </w:tcPr>
          <w:p w14:paraId="27C9476C" w14:textId="02B611A6" w:rsidR="003D56C4" w:rsidRPr="0071775A" w:rsidRDefault="003D56C4" w:rsidP="003D56C4">
            <w:pPr>
              <w:rPr>
                <w:sz w:val="20"/>
                <w:szCs w:val="20"/>
              </w:rPr>
            </w:pPr>
            <w:r>
              <w:rPr>
                <w:sz w:val="20"/>
                <w:szCs w:val="20"/>
              </w:rPr>
              <w:t xml:space="preserve">Increased access to the IV formulation of ondansetron in patients who </w:t>
            </w:r>
            <w:proofErr w:type="spellStart"/>
            <w:r>
              <w:rPr>
                <w:sz w:val="20"/>
                <w:szCs w:val="20"/>
              </w:rPr>
              <w:t>can not</w:t>
            </w:r>
            <w:proofErr w:type="spellEnd"/>
            <w:r>
              <w:rPr>
                <w:sz w:val="20"/>
                <w:szCs w:val="20"/>
              </w:rPr>
              <w:t xml:space="preserve"> tolerate oral/SL form of medication  </w:t>
            </w:r>
          </w:p>
        </w:tc>
      </w:tr>
    </w:tbl>
    <w:p w14:paraId="074FE637" w14:textId="20D95310" w:rsidR="00F457FB" w:rsidRPr="0071775A" w:rsidRDefault="00F457FB" w:rsidP="0071775A">
      <w:pPr>
        <w:rPr>
          <w:sz w:val="20"/>
          <w:szCs w:val="20"/>
        </w:rPr>
      </w:pPr>
    </w:p>
    <w:sectPr w:rsidR="00F457FB" w:rsidRPr="0071775A" w:rsidSect="008C2813">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pgBorders w:offsetFrom="page">
        <w:top w:val="single" w:sz="24" w:space="24" w:color="FFD966" w:themeColor="accent4" w:themeTint="99"/>
        <w:left w:val="single" w:sz="24" w:space="24" w:color="FFD966" w:themeColor="accent4" w:themeTint="99"/>
        <w:bottom w:val="single" w:sz="24" w:space="24" w:color="FFD966" w:themeColor="accent4" w:themeTint="99"/>
        <w:right w:val="single" w:sz="24" w:space="24" w:color="FFD966" w:themeColor="accent4"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3250B" w14:textId="77777777" w:rsidR="002611B7" w:rsidRDefault="002611B7" w:rsidP="008A6081">
      <w:r>
        <w:separator/>
      </w:r>
    </w:p>
  </w:endnote>
  <w:endnote w:type="continuationSeparator" w:id="0">
    <w:p w14:paraId="173D2942" w14:textId="77777777" w:rsidR="002611B7" w:rsidRDefault="002611B7" w:rsidP="008A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4DAD5" w14:textId="77777777" w:rsidR="003313D9" w:rsidRDefault="00331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7BB1B" w14:textId="77777777" w:rsidR="003313D9" w:rsidRDefault="003313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A50E4" w14:textId="77777777" w:rsidR="003313D9" w:rsidRDefault="00331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88844" w14:textId="77777777" w:rsidR="002611B7" w:rsidRDefault="002611B7" w:rsidP="008A6081">
      <w:r>
        <w:separator/>
      </w:r>
    </w:p>
  </w:footnote>
  <w:footnote w:type="continuationSeparator" w:id="0">
    <w:p w14:paraId="2E385B7B" w14:textId="77777777" w:rsidR="002611B7" w:rsidRDefault="002611B7" w:rsidP="008A6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6415D" w14:textId="12EBD497" w:rsidR="003313D9" w:rsidRDefault="00EC2969">
    <w:pPr>
      <w:pStyle w:val="Header"/>
    </w:pPr>
    <w:r>
      <w:rPr>
        <w:noProof/>
      </w:rPr>
    </w:r>
    <w:r w:rsidR="00EC2969">
      <w:rPr>
        <w:noProof/>
      </w:rPr>
      <w:pict w14:anchorId="7C4752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3713155" o:spid="_x0000_s1027" type="#_x0000_t136" alt="" style="position:absolute;margin-left:0;margin-top:0;width:9in;height:3in;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FFFBB" w14:textId="726B138B" w:rsidR="008A6081" w:rsidRPr="008A6081" w:rsidRDefault="00EC2969" w:rsidP="008A6081">
    <w:pPr>
      <w:pStyle w:val="Header"/>
      <w:jc w:val="center"/>
      <w:rPr>
        <w:b/>
        <w:bCs/>
      </w:rPr>
    </w:pPr>
    <w:r>
      <w:rPr>
        <w:noProof/>
      </w:rPr>
    </w:r>
    <w:r w:rsidR="00EC2969">
      <w:rPr>
        <w:noProof/>
      </w:rPr>
      <w:pict w14:anchorId="10D9B0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3713156" o:spid="_x0000_s1026" type="#_x0000_t136" alt="" style="position:absolute;left:0;text-align:left;margin-left:0;margin-top:0;width:9in;height:3in;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8C2813">
      <w:rPr>
        <w:b/>
        <w:bCs/>
      </w:rPr>
      <w:t>Gold</w:t>
    </w:r>
    <w:r w:rsidR="008A6081" w:rsidRPr="008A6081">
      <w:rPr>
        <w:b/>
        <w:bCs/>
      </w:rPr>
      <w:t xml:space="preserve"> Section Change Document </w:t>
    </w:r>
    <w:r w:rsidR="0033033B">
      <w:rPr>
        <w:b/>
        <w:bCs/>
      </w:rPr>
      <w:t>POST</w:t>
    </w:r>
    <w:r w:rsidR="008A6081" w:rsidRPr="008A6081">
      <w:rPr>
        <w:b/>
        <w:bCs/>
      </w:rPr>
      <w:t xml:space="preserve"> MDPB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45FE2" w14:textId="52145D2D" w:rsidR="003313D9" w:rsidRDefault="00EC2969">
    <w:pPr>
      <w:pStyle w:val="Header"/>
    </w:pPr>
    <w:r>
      <w:rPr>
        <w:noProof/>
      </w:rPr>
    </w:r>
    <w:r w:rsidR="00EC2969">
      <w:rPr>
        <w:noProof/>
      </w:rPr>
      <w:pict w14:anchorId="724756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3713154" o:spid="_x0000_s1025" type="#_x0000_t136" alt="" style="position:absolute;margin-left:0;margin-top:0;width:9in;height:3in;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5A"/>
    <w:rsid w:val="00055CC3"/>
    <w:rsid w:val="001A4A3B"/>
    <w:rsid w:val="002169B0"/>
    <w:rsid w:val="00243AD6"/>
    <w:rsid w:val="002611B7"/>
    <w:rsid w:val="0033033B"/>
    <w:rsid w:val="003313D9"/>
    <w:rsid w:val="003D56C4"/>
    <w:rsid w:val="003F39C7"/>
    <w:rsid w:val="004A43D4"/>
    <w:rsid w:val="004B3E58"/>
    <w:rsid w:val="00530795"/>
    <w:rsid w:val="0071775A"/>
    <w:rsid w:val="007453DD"/>
    <w:rsid w:val="007E021A"/>
    <w:rsid w:val="008A6081"/>
    <w:rsid w:val="008C2813"/>
    <w:rsid w:val="0099749E"/>
    <w:rsid w:val="00B327FE"/>
    <w:rsid w:val="00B55EE8"/>
    <w:rsid w:val="00B6456B"/>
    <w:rsid w:val="00BC4EB8"/>
    <w:rsid w:val="00CC054A"/>
    <w:rsid w:val="00D232D6"/>
    <w:rsid w:val="00DC084A"/>
    <w:rsid w:val="00E12B19"/>
    <w:rsid w:val="00E404F9"/>
    <w:rsid w:val="00EC2969"/>
    <w:rsid w:val="00ED436C"/>
    <w:rsid w:val="00F4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B5E23"/>
  <w15:chartTrackingRefBased/>
  <w15:docId w15:val="{5C859033-08CC-3945-BA4C-C68739C5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6081"/>
    <w:pPr>
      <w:tabs>
        <w:tab w:val="center" w:pos="4680"/>
        <w:tab w:val="right" w:pos="9360"/>
      </w:tabs>
    </w:pPr>
  </w:style>
  <w:style w:type="character" w:customStyle="1" w:styleId="HeaderChar">
    <w:name w:val="Header Char"/>
    <w:basedOn w:val="DefaultParagraphFont"/>
    <w:link w:val="Header"/>
    <w:uiPriority w:val="99"/>
    <w:rsid w:val="008A6081"/>
  </w:style>
  <w:style w:type="paragraph" w:styleId="Footer">
    <w:name w:val="footer"/>
    <w:basedOn w:val="Normal"/>
    <w:link w:val="FooterChar"/>
    <w:uiPriority w:val="99"/>
    <w:unhideWhenUsed/>
    <w:rsid w:val="008A6081"/>
    <w:pPr>
      <w:tabs>
        <w:tab w:val="center" w:pos="4680"/>
        <w:tab w:val="right" w:pos="9360"/>
      </w:tabs>
    </w:pPr>
  </w:style>
  <w:style w:type="character" w:customStyle="1" w:styleId="FooterChar">
    <w:name w:val="Footer Char"/>
    <w:basedOn w:val="DefaultParagraphFont"/>
    <w:link w:val="Footer"/>
    <w:uiPriority w:val="99"/>
    <w:rsid w:val="008A6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Sholl</dc:creator>
  <cp:keywords/>
  <dc:description/>
  <cp:lastModifiedBy>Matthew Sholl</cp:lastModifiedBy>
  <cp:revision>6</cp:revision>
  <dcterms:created xsi:type="dcterms:W3CDTF">2019-12-19T14:22:00Z</dcterms:created>
  <dcterms:modified xsi:type="dcterms:W3CDTF">2021-03-09T18:15:00Z</dcterms:modified>
</cp:coreProperties>
</file>