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474"/>
        <w:gridCol w:w="2130"/>
        <w:gridCol w:w="2037"/>
        <w:gridCol w:w="2108"/>
        <w:gridCol w:w="2205"/>
        <w:gridCol w:w="1289"/>
        <w:gridCol w:w="1707"/>
      </w:tblGrid>
      <w:tr w:rsidR="0071775A" w:rsidRPr="0071775A" w14:paraId="7F10926B" w14:textId="77777777" w:rsidTr="00C74E5D">
        <w:tc>
          <w:tcPr>
            <w:tcW w:w="1474" w:type="dxa"/>
          </w:tcPr>
          <w:p w14:paraId="291E29B2" w14:textId="154F4E1B" w:rsidR="0071775A" w:rsidRPr="0071775A" w:rsidRDefault="0071775A" w:rsidP="0071775A">
            <w:pPr>
              <w:jc w:val="center"/>
              <w:rPr>
                <w:sz w:val="20"/>
                <w:szCs w:val="20"/>
              </w:rPr>
            </w:pPr>
            <w:r w:rsidRPr="0071775A">
              <w:rPr>
                <w:sz w:val="20"/>
                <w:szCs w:val="20"/>
                <w:u w:val="single"/>
              </w:rPr>
              <w:t>Location</w:t>
            </w:r>
            <w:r w:rsidRPr="0071775A">
              <w:rPr>
                <w:sz w:val="20"/>
                <w:szCs w:val="20"/>
              </w:rPr>
              <w:t xml:space="preserve"> </w:t>
            </w:r>
            <w:r w:rsidRPr="0071775A">
              <w:rPr>
                <w:sz w:val="16"/>
                <w:szCs w:val="16"/>
              </w:rPr>
              <w:t>Section/Page #</w:t>
            </w:r>
          </w:p>
        </w:tc>
        <w:tc>
          <w:tcPr>
            <w:tcW w:w="2130" w:type="dxa"/>
          </w:tcPr>
          <w:p w14:paraId="05326104" w14:textId="54BF1115" w:rsidR="0071775A" w:rsidRPr="0071775A" w:rsidRDefault="0071775A" w:rsidP="0071775A">
            <w:pPr>
              <w:jc w:val="center"/>
              <w:rPr>
                <w:sz w:val="20"/>
                <w:szCs w:val="20"/>
                <w:u w:val="single"/>
              </w:rPr>
            </w:pPr>
            <w:r w:rsidRPr="0071775A">
              <w:rPr>
                <w:sz w:val="20"/>
                <w:szCs w:val="20"/>
                <w:u w:val="single"/>
              </w:rPr>
              <w:t>Change</w:t>
            </w:r>
          </w:p>
        </w:tc>
        <w:tc>
          <w:tcPr>
            <w:tcW w:w="2037" w:type="dxa"/>
          </w:tcPr>
          <w:p w14:paraId="01F1914C" w14:textId="129E9791" w:rsidR="0071775A" w:rsidRPr="0071775A" w:rsidRDefault="0071775A" w:rsidP="0071775A">
            <w:pPr>
              <w:jc w:val="center"/>
              <w:rPr>
                <w:sz w:val="20"/>
                <w:szCs w:val="20"/>
                <w:u w:val="single"/>
              </w:rPr>
            </w:pPr>
            <w:r w:rsidRPr="0071775A">
              <w:rPr>
                <w:sz w:val="20"/>
                <w:szCs w:val="20"/>
                <w:u w:val="single"/>
              </w:rPr>
              <w:t>Purpose of Change</w:t>
            </w:r>
          </w:p>
          <w:p w14:paraId="78C097A3" w14:textId="692953B7" w:rsidR="0071775A" w:rsidRPr="0071775A" w:rsidRDefault="0071775A" w:rsidP="0071775A">
            <w:pPr>
              <w:jc w:val="center"/>
              <w:rPr>
                <w:sz w:val="20"/>
                <w:szCs w:val="20"/>
              </w:rPr>
            </w:pPr>
            <w:r w:rsidRPr="0071775A">
              <w:rPr>
                <w:sz w:val="16"/>
                <w:szCs w:val="16"/>
              </w:rPr>
              <w:t>(Provider Input, Stakeholder Input, Evolution of Evidence, Best Practice, etc.)</w:t>
            </w:r>
          </w:p>
        </w:tc>
        <w:tc>
          <w:tcPr>
            <w:tcW w:w="2108" w:type="dxa"/>
          </w:tcPr>
          <w:p w14:paraId="068940C8" w14:textId="1582E6A0" w:rsidR="0071775A" w:rsidRPr="0071775A" w:rsidRDefault="0071775A" w:rsidP="0071775A">
            <w:pPr>
              <w:jc w:val="center"/>
              <w:rPr>
                <w:sz w:val="20"/>
                <w:szCs w:val="20"/>
                <w:u w:val="single"/>
              </w:rPr>
            </w:pPr>
            <w:r w:rsidRPr="0071775A">
              <w:rPr>
                <w:sz w:val="20"/>
                <w:szCs w:val="20"/>
                <w:u w:val="single"/>
              </w:rPr>
              <w:t>Evidence for Change</w:t>
            </w:r>
          </w:p>
        </w:tc>
        <w:tc>
          <w:tcPr>
            <w:tcW w:w="2205" w:type="dxa"/>
          </w:tcPr>
          <w:p w14:paraId="14BB889E" w14:textId="717D7C9A" w:rsidR="0071775A" w:rsidRPr="0071775A" w:rsidRDefault="0071775A" w:rsidP="0071775A">
            <w:pPr>
              <w:jc w:val="center"/>
              <w:rPr>
                <w:sz w:val="20"/>
                <w:szCs w:val="20"/>
                <w:u w:val="single"/>
              </w:rPr>
            </w:pPr>
            <w:r w:rsidRPr="0071775A">
              <w:rPr>
                <w:sz w:val="20"/>
                <w:szCs w:val="20"/>
                <w:u w:val="single"/>
              </w:rPr>
              <w:t>Expected Impact</w:t>
            </w:r>
          </w:p>
          <w:p w14:paraId="0F864978" w14:textId="2B5FC955" w:rsidR="0071775A" w:rsidRPr="0071775A" w:rsidRDefault="0071775A" w:rsidP="0071775A">
            <w:pPr>
              <w:jc w:val="center"/>
              <w:rPr>
                <w:sz w:val="20"/>
                <w:szCs w:val="20"/>
              </w:rPr>
            </w:pPr>
            <w:r w:rsidRPr="0071775A">
              <w:rPr>
                <w:sz w:val="16"/>
                <w:szCs w:val="16"/>
              </w:rPr>
              <w:t>(Operational, Educational, Financial, QI, Medical Direction, Communication, etc</w:t>
            </w:r>
            <w:r>
              <w:rPr>
                <w:sz w:val="16"/>
                <w:szCs w:val="16"/>
              </w:rPr>
              <w:t>.</w:t>
            </w:r>
            <w:r w:rsidRPr="0071775A">
              <w:rPr>
                <w:sz w:val="16"/>
                <w:szCs w:val="16"/>
              </w:rPr>
              <w:t>)</w:t>
            </w:r>
          </w:p>
        </w:tc>
        <w:tc>
          <w:tcPr>
            <w:tcW w:w="1289" w:type="dxa"/>
          </w:tcPr>
          <w:p w14:paraId="2DBD40CF" w14:textId="6D52AA59" w:rsidR="0071775A" w:rsidRPr="0071775A" w:rsidRDefault="0071775A" w:rsidP="0071775A">
            <w:pPr>
              <w:jc w:val="center"/>
              <w:rPr>
                <w:sz w:val="20"/>
                <w:szCs w:val="20"/>
              </w:rPr>
            </w:pPr>
            <w:r w:rsidRPr="0071775A">
              <w:rPr>
                <w:sz w:val="20"/>
                <w:szCs w:val="20"/>
                <w:u w:val="single"/>
              </w:rPr>
              <w:t>Size of Change</w:t>
            </w:r>
            <w:r>
              <w:rPr>
                <w:sz w:val="20"/>
                <w:szCs w:val="20"/>
              </w:rPr>
              <w:t xml:space="preserve"> </w:t>
            </w:r>
            <w:r w:rsidRPr="0071775A">
              <w:rPr>
                <w:sz w:val="16"/>
                <w:szCs w:val="16"/>
              </w:rPr>
              <w:t>(Small/Medium/</w:t>
            </w:r>
            <w:r>
              <w:rPr>
                <w:sz w:val="16"/>
                <w:szCs w:val="16"/>
              </w:rPr>
              <w:t xml:space="preserve"> </w:t>
            </w:r>
            <w:r w:rsidRPr="0071775A">
              <w:rPr>
                <w:sz w:val="16"/>
                <w:szCs w:val="16"/>
              </w:rPr>
              <w:t>Large)</w:t>
            </w:r>
          </w:p>
        </w:tc>
        <w:tc>
          <w:tcPr>
            <w:tcW w:w="1707" w:type="dxa"/>
          </w:tcPr>
          <w:p w14:paraId="5D040A6B" w14:textId="353A226E" w:rsidR="0071775A" w:rsidRPr="0071775A" w:rsidRDefault="0071775A" w:rsidP="0071775A">
            <w:pPr>
              <w:jc w:val="center"/>
              <w:rPr>
                <w:sz w:val="20"/>
                <w:szCs w:val="20"/>
                <w:u w:val="single"/>
              </w:rPr>
            </w:pPr>
            <w:r w:rsidRPr="0071775A">
              <w:rPr>
                <w:sz w:val="20"/>
                <w:szCs w:val="20"/>
                <w:u w:val="single"/>
              </w:rPr>
              <w:t>Desired Outcome</w:t>
            </w:r>
          </w:p>
        </w:tc>
      </w:tr>
      <w:tr w:rsidR="0071775A" w:rsidRPr="0071775A" w14:paraId="5D772052" w14:textId="77777777" w:rsidTr="00C74E5D">
        <w:tc>
          <w:tcPr>
            <w:tcW w:w="1474" w:type="dxa"/>
            <w:shd w:val="clear" w:color="auto" w:fill="D9D9D9" w:themeFill="background1" w:themeFillShade="D9"/>
          </w:tcPr>
          <w:p w14:paraId="39CE1420" w14:textId="191CEE0C" w:rsidR="0071775A" w:rsidRPr="0071775A" w:rsidRDefault="006F40D6" w:rsidP="0071775A">
            <w:pPr>
              <w:rPr>
                <w:sz w:val="20"/>
                <w:szCs w:val="20"/>
              </w:rPr>
            </w:pPr>
            <w:r>
              <w:rPr>
                <w:sz w:val="20"/>
                <w:szCs w:val="20"/>
              </w:rPr>
              <w:t>Red 2/ #10</w:t>
            </w:r>
          </w:p>
        </w:tc>
        <w:tc>
          <w:tcPr>
            <w:tcW w:w="2130" w:type="dxa"/>
          </w:tcPr>
          <w:p w14:paraId="31E6CFD7" w14:textId="40E64FE1" w:rsidR="0071775A" w:rsidRPr="0071775A" w:rsidRDefault="006F40D6" w:rsidP="0071775A">
            <w:pPr>
              <w:rPr>
                <w:sz w:val="20"/>
                <w:szCs w:val="20"/>
              </w:rPr>
            </w:pPr>
            <w:r>
              <w:rPr>
                <w:sz w:val="20"/>
                <w:szCs w:val="20"/>
              </w:rPr>
              <w:t>Change “Have defib pads ready as these patients are high risk for VF/VT” to “Apply defib pads and be prepared to defibrillate as these patients are high risk for VF/VT cardiac arrest”</w:t>
            </w:r>
          </w:p>
        </w:tc>
        <w:tc>
          <w:tcPr>
            <w:tcW w:w="2037" w:type="dxa"/>
          </w:tcPr>
          <w:p w14:paraId="7EC03821" w14:textId="0E18E36A" w:rsidR="0071775A" w:rsidRPr="0071775A" w:rsidRDefault="006F40D6" w:rsidP="0071775A">
            <w:pPr>
              <w:rPr>
                <w:sz w:val="20"/>
                <w:szCs w:val="20"/>
              </w:rPr>
            </w:pPr>
            <w:r>
              <w:rPr>
                <w:sz w:val="20"/>
                <w:szCs w:val="20"/>
              </w:rPr>
              <w:t>Evolution of best practice – evidence suggests 4% risk of OHCA with prehospital STEMI and &gt;60sec reduction in time to first shock if pads are already in place</w:t>
            </w:r>
          </w:p>
        </w:tc>
        <w:tc>
          <w:tcPr>
            <w:tcW w:w="2108" w:type="dxa"/>
          </w:tcPr>
          <w:p w14:paraId="0309DDF4" w14:textId="233469E7" w:rsidR="0071775A" w:rsidRPr="0071775A" w:rsidRDefault="006F40D6" w:rsidP="0071775A">
            <w:pPr>
              <w:rPr>
                <w:sz w:val="20"/>
                <w:szCs w:val="20"/>
              </w:rPr>
            </w:pPr>
            <w:r>
              <w:rPr>
                <w:sz w:val="20"/>
                <w:szCs w:val="20"/>
              </w:rPr>
              <w:t>Decreasing Time to First Shock (PMID 31469063)</w:t>
            </w:r>
          </w:p>
        </w:tc>
        <w:tc>
          <w:tcPr>
            <w:tcW w:w="2205" w:type="dxa"/>
          </w:tcPr>
          <w:p w14:paraId="2F363FB4" w14:textId="11B13530" w:rsidR="0071775A" w:rsidRPr="0071775A" w:rsidRDefault="006F40D6" w:rsidP="0071775A">
            <w:pPr>
              <w:rPr>
                <w:sz w:val="20"/>
                <w:szCs w:val="20"/>
              </w:rPr>
            </w:pPr>
            <w:r>
              <w:rPr>
                <w:sz w:val="20"/>
                <w:szCs w:val="20"/>
              </w:rPr>
              <w:t>Small educational rollout, operational cost of pads (376 total STEMI primary impressions statewide in 2018 report)</w:t>
            </w:r>
          </w:p>
        </w:tc>
        <w:tc>
          <w:tcPr>
            <w:tcW w:w="1289" w:type="dxa"/>
          </w:tcPr>
          <w:p w14:paraId="4F369DA7" w14:textId="31D5D0A0" w:rsidR="0071775A" w:rsidRPr="0071775A" w:rsidRDefault="00C74E5D" w:rsidP="0071775A">
            <w:pPr>
              <w:rPr>
                <w:sz w:val="20"/>
                <w:szCs w:val="20"/>
              </w:rPr>
            </w:pPr>
            <w:r>
              <w:rPr>
                <w:sz w:val="20"/>
                <w:szCs w:val="20"/>
              </w:rPr>
              <w:t>Small</w:t>
            </w:r>
          </w:p>
        </w:tc>
        <w:tc>
          <w:tcPr>
            <w:tcW w:w="1707" w:type="dxa"/>
          </w:tcPr>
          <w:p w14:paraId="3F208410" w14:textId="5879B4F5" w:rsidR="00665584" w:rsidRPr="0071775A" w:rsidRDefault="006F40D6" w:rsidP="0071775A">
            <w:pPr>
              <w:rPr>
                <w:sz w:val="20"/>
                <w:szCs w:val="20"/>
              </w:rPr>
            </w:pPr>
            <w:r>
              <w:rPr>
                <w:sz w:val="20"/>
                <w:szCs w:val="20"/>
              </w:rPr>
              <w:t>Improvement in OHCA and STEMI care</w:t>
            </w:r>
            <w:r w:rsidR="0021048A">
              <w:rPr>
                <w:sz w:val="20"/>
                <w:szCs w:val="20"/>
              </w:rPr>
              <w:t xml:space="preserve"> and decrease time to defibrillation if the patient suffers cardiac arrest</w:t>
            </w:r>
          </w:p>
        </w:tc>
      </w:tr>
      <w:tr w:rsidR="0071775A" w:rsidRPr="0071775A" w14:paraId="6A09707B" w14:textId="77777777" w:rsidTr="00C74E5D">
        <w:tc>
          <w:tcPr>
            <w:tcW w:w="1474" w:type="dxa"/>
            <w:shd w:val="clear" w:color="auto" w:fill="D9D9D9" w:themeFill="background1" w:themeFillShade="D9"/>
          </w:tcPr>
          <w:p w14:paraId="3E1FC0B5" w14:textId="63EA3DC3" w:rsidR="0071775A" w:rsidRPr="0071775A" w:rsidRDefault="006F40D6" w:rsidP="0071775A">
            <w:pPr>
              <w:rPr>
                <w:sz w:val="20"/>
                <w:szCs w:val="20"/>
              </w:rPr>
            </w:pPr>
            <w:r>
              <w:rPr>
                <w:sz w:val="20"/>
                <w:szCs w:val="20"/>
              </w:rPr>
              <w:t>Red 5/ final box</w:t>
            </w:r>
          </w:p>
        </w:tc>
        <w:tc>
          <w:tcPr>
            <w:tcW w:w="2130" w:type="dxa"/>
          </w:tcPr>
          <w:p w14:paraId="6330AE34" w14:textId="7B1D9618" w:rsidR="0071775A" w:rsidRPr="0071775A" w:rsidRDefault="006F40D6" w:rsidP="0071775A">
            <w:pPr>
              <w:rPr>
                <w:sz w:val="20"/>
                <w:szCs w:val="20"/>
              </w:rPr>
            </w:pPr>
            <w:r>
              <w:rPr>
                <w:sz w:val="20"/>
                <w:szCs w:val="20"/>
              </w:rPr>
              <w:t xml:space="preserve">Close the parentheses </w:t>
            </w:r>
          </w:p>
        </w:tc>
        <w:tc>
          <w:tcPr>
            <w:tcW w:w="2037" w:type="dxa"/>
          </w:tcPr>
          <w:p w14:paraId="5D97E18C" w14:textId="7C794C58" w:rsidR="0071775A" w:rsidRPr="0071775A" w:rsidRDefault="006F40D6" w:rsidP="0071775A">
            <w:pPr>
              <w:rPr>
                <w:sz w:val="20"/>
                <w:szCs w:val="20"/>
              </w:rPr>
            </w:pPr>
            <w:r>
              <w:rPr>
                <w:sz w:val="20"/>
                <w:szCs w:val="20"/>
              </w:rPr>
              <w:t>grammar</w:t>
            </w:r>
          </w:p>
        </w:tc>
        <w:tc>
          <w:tcPr>
            <w:tcW w:w="2108" w:type="dxa"/>
          </w:tcPr>
          <w:p w14:paraId="592A72C1" w14:textId="3EA8DB5A" w:rsidR="0071775A" w:rsidRPr="0071775A" w:rsidRDefault="00C74E5D" w:rsidP="0071775A">
            <w:pPr>
              <w:rPr>
                <w:sz w:val="20"/>
                <w:szCs w:val="20"/>
              </w:rPr>
            </w:pPr>
            <w:r>
              <w:rPr>
                <w:sz w:val="20"/>
                <w:szCs w:val="20"/>
              </w:rPr>
              <w:t xml:space="preserve">Grammatical </w:t>
            </w:r>
          </w:p>
        </w:tc>
        <w:tc>
          <w:tcPr>
            <w:tcW w:w="2205" w:type="dxa"/>
          </w:tcPr>
          <w:p w14:paraId="26B49DD7" w14:textId="06B9505B" w:rsidR="0071775A" w:rsidRPr="0071775A" w:rsidRDefault="00C74E5D" w:rsidP="0071775A">
            <w:pPr>
              <w:rPr>
                <w:sz w:val="20"/>
                <w:szCs w:val="20"/>
              </w:rPr>
            </w:pPr>
            <w:r>
              <w:rPr>
                <w:sz w:val="20"/>
                <w:szCs w:val="20"/>
              </w:rPr>
              <w:t>None</w:t>
            </w:r>
          </w:p>
        </w:tc>
        <w:tc>
          <w:tcPr>
            <w:tcW w:w="1289" w:type="dxa"/>
          </w:tcPr>
          <w:p w14:paraId="7A17FCBF" w14:textId="5A374696" w:rsidR="0071775A" w:rsidRPr="0071775A" w:rsidRDefault="00C74E5D" w:rsidP="0071775A">
            <w:pPr>
              <w:rPr>
                <w:sz w:val="20"/>
                <w:szCs w:val="20"/>
              </w:rPr>
            </w:pPr>
            <w:r>
              <w:rPr>
                <w:sz w:val="20"/>
                <w:szCs w:val="20"/>
              </w:rPr>
              <w:t>None</w:t>
            </w:r>
          </w:p>
        </w:tc>
        <w:tc>
          <w:tcPr>
            <w:tcW w:w="1707" w:type="dxa"/>
          </w:tcPr>
          <w:p w14:paraId="3A5BAD05" w14:textId="67D0E0BF" w:rsidR="0071775A" w:rsidRPr="0071775A" w:rsidRDefault="0021048A" w:rsidP="0071775A">
            <w:pPr>
              <w:rPr>
                <w:sz w:val="20"/>
                <w:szCs w:val="20"/>
              </w:rPr>
            </w:pPr>
            <w:r>
              <w:rPr>
                <w:sz w:val="20"/>
                <w:szCs w:val="20"/>
              </w:rPr>
              <w:t xml:space="preserve">Grammatical </w:t>
            </w:r>
          </w:p>
        </w:tc>
      </w:tr>
      <w:tr w:rsidR="0071775A" w:rsidRPr="0071775A" w14:paraId="089B97F2" w14:textId="77777777" w:rsidTr="00C74E5D">
        <w:tc>
          <w:tcPr>
            <w:tcW w:w="1474" w:type="dxa"/>
            <w:shd w:val="clear" w:color="auto" w:fill="D9D9D9" w:themeFill="background1" w:themeFillShade="D9"/>
          </w:tcPr>
          <w:p w14:paraId="072D0C75" w14:textId="74F72FEB" w:rsidR="0071775A" w:rsidRPr="0071775A" w:rsidRDefault="006F40D6" w:rsidP="0071775A">
            <w:pPr>
              <w:rPr>
                <w:sz w:val="20"/>
                <w:szCs w:val="20"/>
              </w:rPr>
            </w:pPr>
            <w:r>
              <w:rPr>
                <w:sz w:val="20"/>
                <w:szCs w:val="20"/>
              </w:rPr>
              <w:t>Red 6/ #6</w:t>
            </w:r>
          </w:p>
        </w:tc>
        <w:tc>
          <w:tcPr>
            <w:tcW w:w="2130" w:type="dxa"/>
          </w:tcPr>
          <w:p w14:paraId="66439BF3" w14:textId="715505A9" w:rsidR="0071775A" w:rsidRPr="0071775A" w:rsidRDefault="006F40D6" w:rsidP="0071775A">
            <w:pPr>
              <w:rPr>
                <w:sz w:val="20"/>
                <w:szCs w:val="20"/>
              </w:rPr>
            </w:pPr>
            <w:r>
              <w:rPr>
                <w:sz w:val="20"/>
                <w:szCs w:val="20"/>
              </w:rPr>
              <w:t>Remove “if so trained” from “Cardiac monitor and 12-lead ECG…”</w:t>
            </w:r>
          </w:p>
        </w:tc>
        <w:tc>
          <w:tcPr>
            <w:tcW w:w="2037" w:type="dxa"/>
          </w:tcPr>
          <w:p w14:paraId="4AC2A300" w14:textId="1B80120B" w:rsidR="0071775A" w:rsidRPr="0071775A" w:rsidRDefault="006F40D6" w:rsidP="0071775A">
            <w:pPr>
              <w:rPr>
                <w:sz w:val="20"/>
                <w:szCs w:val="20"/>
              </w:rPr>
            </w:pPr>
            <w:r>
              <w:rPr>
                <w:sz w:val="20"/>
                <w:szCs w:val="20"/>
              </w:rPr>
              <w:t>Match protocol with scope of practice.</w:t>
            </w:r>
          </w:p>
        </w:tc>
        <w:tc>
          <w:tcPr>
            <w:tcW w:w="2108" w:type="dxa"/>
          </w:tcPr>
          <w:p w14:paraId="1455A717" w14:textId="3CE436A9" w:rsidR="0071775A" w:rsidRPr="0071775A" w:rsidRDefault="00C74E5D" w:rsidP="0071775A">
            <w:pPr>
              <w:rPr>
                <w:sz w:val="20"/>
                <w:szCs w:val="20"/>
              </w:rPr>
            </w:pPr>
            <w:r>
              <w:rPr>
                <w:sz w:val="20"/>
                <w:szCs w:val="20"/>
              </w:rPr>
              <w:t>Section Author Review</w:t>
            </w:r>
          </w:p>
        </w:tc>
        <w:tc>
          <w:tcPr>
            <w:tcW w:w="2205" w:type="dxa"/>
          </w:tcPr>
          <w:p w14:paraId="27F41C28" w14:textId="264839D8" w:rsidR="0071775A" w:rsidRPr="0071775A" w:rsidRDefault="00C74E5D" w:rsidP="0071775A">
            <w:pPr>
              <w:rPr>
                <w:sz w:val="20"/>
                <w:szCs w:val="20"/>
              </w:rPr>
            </w:pPr>
            <w:r>
              <w:rPr>
                <w:sz w:val="20"/>
                <w:szCs w:val="20"/>
              </w:rPr>
              <w:t xml:space="preserve">Educational </w:t>
            </w:r>
          </w:p>
        </w:tc>
        <w:tc>
          <w:tcPr>
            <w:tcW w:w="1289" w:type="dxa"/>
          </w:tcPr>
          <w:p w14:paraId="5AE8E63F" w14:textId="38C3F199" w:rsidR="0071775A" w:rsidRPr="0071775A" w:rsidRDefault="00C74E5D" w:rsidP="0071775A">
            <w:pPr>
              <w:rPr>
                <w:sz w:val="20"/>
                <w:szCs w:val="20"/>
              </w:rPr>
            </w:pPr>
            <w:r>
              <w:rPr>
                <w:sz w:val="20"/>
                <w:szCs w:val="20"/>
              </w:rPr>
              <w:t>Small</w:t>
            </w:r>
          </w:p>
        </w:tc>
        <w:tc>
          <w:tcPr>
            <w:tcW w:w="1707" w:type="dxa"/>
          </w:tcPr>
          <w:p w14:paraId="3251D66B" w14:textId="7947F424" w:rsidR="00665584" w:rsidRPr="0071775A" w:rsidRDefault="006F40D6" w:rsidP="0071775A">
            <w:pPr>
              <w:rPr>
                <w:sz w:val="20"/>
                <w:szCs w:val="20"/>
              </w:rPr>
            </w:pPr>
            <w:r>
              <w:rPr>
                <w:sz w:val="20"/>
                <w:szCs w:val="20"/>
              </w:rPr>
              <w:t>Align protocol with AEMT scope</w:t>
            </w:r>
            <w:r w:rsidR="0021048A">
              <w:rPr>
                <w:sz w:val="20"/>
                <w:szCs w:val="20"/>
              </w:rPr>
              <w:t xml:space="preserve"> given all AEMT’s are trained </w:t>
            </w:r>
          </w:p>
        </w:tc>
      </w:tr>
      <w:tr w:rsidR="00F64ECA" w:rsidRPr="0071775A" w14:paraId="22059A03" w14:textId="77777777" w:rsidTr="00C74E5D">
        <w:tc>
          <w:tcPr>
            <w:tcW w:w="1474" w:type="dxa"/>
            <w:shd w:val="clear" w:color="auto" w:fill="D9D9D9" w:themeFill="background1" w:themeFillShade="D9"/>
          </w:tcPr>
          <w:p w14:paraId="58ED620B" w14:textId="5912BF14" w:rsidR="00F64ECA" w:rsidRDefault="00C74E5D" w:rsidP="0071775A">
            <w:pPr>
              <w:rPr>
                <w:sz w:val="20"/>
                <w:szCs w:val="20"/>
              </w:rPr>
            </w:pPr>
            <w:r>
              <w:rPr>
                <w:sz w:val="20"/>
                <w:szCs w:val="20"/>
              </w:rPr>
              <w:t xml:space="preserve">New </w:t>
            </w:r>
            <w:r w:rsidR="00F64ECA">
              <w:rPr>
                <w:sz w:val="20"/>
                <w:szCs w:val="20"/>
              </w:rPr>
              <w:t>Red</w:t>
            </w:r>
            <w:r>
              <w:rPr>
                <w:sz w:val="20"/>
                <w:szCs w:val="20"/>
              </w:rPr>
              <w:t xml:space="preserve"> Protocol </w:t>
            </w:r>
            <w:r w:rsidR="00F64ECA">
              <w:rPr>
                <w:sz w:val="20"/>
                <w:szCs w:val="20"/>
              </w:rPr>
              <w:t xml:space="preserve"> </w:t>
            </w:r>
          </w:p>
        </w:tc>
        <w:tc>
          <w:tcPr>
            <w:tcW w:w="2130" w:type="dxa"/>
          </w:tcPr>
          <w:p w14:paraId="25D72F1E" w14:textId="3F394BD7" w:rsidR="00F64ECA" w:rsidRDefault="00F64ECA" w:rsidP="0071775A">
            <w:pPr>
              <w:rPr>
                <w:sz w:val="20"/>
                <w:szCs w:val="20"/>
              </w:rPr>
            </w:pPr>
            <w:r>
              <w:rPr>
                <w:sz w:val="20"/>
                <w:szCs w:val="20"/>
              </w:rPr>
              <w:t xml:space="preserve">New Hyperkalemia Protocol </w:t>
            </w:r>
          </w:p>
        </w:tc>
        <w:tc>
          <w:tcPr>
            <w:tcW w:w="2037" w:type="dxa"/>
          </w:tcPr>
          <w:p w14:paraId="4B3753AF" w14:textId="04FC914E" w:rsidR="00F64ECA" w:rsidRDefault="00F64ECA" w:rsidP="0071775A">
            <w:pPr>
              <w:rPr>
                <w:sz w:val="20"/>
                <w:szCs w:val="20"/>
              </w:rPr>
            </w:pPr>
            <w:r>
              <w:rPr>
                <w:sz w:val="20"/>
                <w:szCs w:val="20"/>
              </w:rPr>
              <w:t>Guide paramedic recognition and treatment of ECG changes associated with hyperkalemia</w:t>
            </w:r>
          </w:p>
        </w:tc>
        <w:tc>
          <w:tcPr>
            <w:tcW w:w="2108" w:type="dxa"/>
          </w:tcPr>
          <w:p w14:paraId="24924CD9" w14:textId="73B99BDA" w:rsidR="00F64ECA" w:rsidRPr="0071775A" w:rsidRDefault="00C74E5D" w:rsidP="0071775A">
            <w:pPr>
              <w:rPr>
                <w:sz w:val="20"/>
                <w:szCs w:val="20"/>
              </w:rPr>
            </w:pPr>
            <w:r>
              <w:rPr>
                <w:sz w:val="20"/>
                <w:szCs w:val="20"/>
              </w:rPr>
              <w:t>Section Author Review</w:t>
            </w:r>
          </w:p>
        </w:tc>
        <w:tc>
          <w:tcPr>
            <w:tcW w:w="2205" w:type="dxa"/>
          </w:tcPr>
          <w:p w14:paraId="1B9AE65E" w14:textId="141F4E53" w:rsidR="00F64ECA" w:rsidRPr="0071775A" w:rsidRDefault="00F64ECA" w:rsidP="0071775A">
            <w:pPr>
              <w:rPr>
                <w:sz w:val="20"/>
                <w:szCs w:val="20"/>
              </w:rPr>
            </w:pPr>
            <w:r>
              <w:rPr>
                <w:sz w:val="20"/>
                <w:szCs w:val="20"/>
              </w:rPr>
              <w:t xml:space="preserve">Educational </w:t>
            </w:r>
          </w:p>
        </w:tc>
        <w:tc>
          <w:tcPr>
            <w:tcW w:w="1289" w:type="dxa"/>
          </w:tcPr>
          <w:p w14:paraId="20846D35" w14:textId="48B5C2C6" w:rsidR="00F64ECA" w:rsidRDefault="00F64ECA" w:rsidP="0071775A">
            <w:pPr>
              <w:rPr>
                <w:sz w:val="20"/>
                <w:szCs w:val="20"/>
              </w:rPr>
            </w:pPr>
            <w:r>
              <w:rPr>
                <w:sz w:val="20"/>
                <w:szCs w:val="20"/>
              </w:rPr>
              <w:t>Medium</w:t>
            </w:r>
          </w:p>
        </w:tc>
        <w:tc>
          <w:tcPr>
            <w:tcW w:w="1707" w:type="dxa"/>
          </w:tcPr>
          <w:p w14:paraId="135E418E" w14:textId="3986B5A6" w:rsidR="00F64ECA" w:rsidRDefault="006777B6" w:rsidP="0071775A">
            <w:pPr>
              <w:rPr>
                <w:sz w:val="20"/>
                <w:szCs w:val="20"/>
              </w:rPr>
            </w:pPr>
            <w:r>
              <w:rPr>
                <w:sz w:val="20"/>
                <w:szCs w:val="20"/>
              </w:rPr>
              <w:t xml:space="preserve">Yes – with proposed edits </w:t>
            </w:r>
          </w:p>
        </w:tc>
      </w:tr>
      <w:tr w:rsidR="0071775A" w:rsidRPr="0071775A" w14:paraId="6E556089" w14:textId="77777777" w:rsidTr="00C74E5D">
        <w:tc>
          <w:tcPr>
            <w:tcW w:w="1474" w:type="dxa"/>
            <w:shd w:val="clear" w:color="auto" w:fill="D9D9D9" w:themeFill="background1" w:themeFillShade="D9"/>
          </w:tcPr>
          <w:p w14:paraId="5420E6EB" w14:textId="1D258F4B" w:rsidR="0071775A" w:rsidRPr="0071775A" w:rsidRDefault="006F40D6" w:rsidP="0071775A">
            <w:pPr>
              <w:rPr>
                <w:sz w:val="20"/>
                <w:szCs w:val="20"/>
              </w:rPr>
            </w:pPr>
            <w:r>
              <w:rPr>
                <w:sz w:val="20"/>
                <w:szCs w:val="20"/>
              </w:rPr>
              <w:t>Red 7/ top box “consider cause of arrest”</w:t>
            </w:r>
          </w:p>
        </w:tc>
        <w:tc>
          <w:tcPr>
            <w:tcW w:w="2130" w:type="dxa"/>
          </w:tcPr>
          <w:p w14:paraId="0D47B491" w14:textId="250C2EB7" w:rsidR="0071775A" w:rsidRPr="0071775A" w:rsidRDefault="006F40D6" w:rsidP="0071775A">
            <w:pPr>
              <w:rPr>
                <w:sz w:val="20"/>
                <w:szCs w:val="20"/>
              </w:rPr>
            </w:pPr>
            <w:r>
              <w:rPr>
                <w:sz w:val="20"/>
                <w:szCs w:val="20"/>
              </w:rPr>
              <w:t>Change “Is the patient acidotic, hyperkalemic, or overdose? – Bicarb and fluid bolus” to “… - calcium, bicarb, and fluid bolus”</w:t>
            </w:r>
          </w:p>
        </w:tc>
        <w:tc>
          <w:tcPr>
            <w:tcW w:w="2037" w:type="dxa"/>
          </w:tcPr>
          <w:p w14:paraId="12E6E76F" w14:textId="329696AC" w:rsidR="0071775A" w:rsidRPr="0071775A" w:rsidRDefault="006F40D6" w:rsidP="0071775A">
            <w:pPr>
              <w:rPr>
                <w:sz w:val="20"/>
                <w:szCs w:val="20"/>
              </w:rPr>
            </w:pPr>
            <w:r>
              <w:rPr>
                <w:sz w:val="20"/>
                <w:szCs w:val="20"/>
              </w:rPr>
              <w:t>Best practice now that calcium is in our formulary</w:t>
            </w:r>
          </w:p>
        </w:tc>
        <w:tc>
          <w:tcPr>
            <w:tcW w:w="2108" w:type="dxa"/>
          </w:tcPr>
          <w:p w14:paraId="231041AC" w14:textId="42AF343D" w:rsidR="0071775A" w:rsidRPr="0071775A" w:rsidRDefault="00C74E5D" w:rsidP="0071775A">
            <w:pPr>
              <w:rPr>
                <w:sz w:val="20"/>
                <w:szCs w:val="20"/>
              </w:rPr>
            </w:pPr>
            <w:r>
              <w:rPr>
                <w:sz w:val="20"/>
                <w:szCs w:val="20"/>
              </w:rPr>
              <w:t xml:space="preserve">Section Author Review </w:t>
            </w:r>
          </w:p>
        </w:tc>
        <w:tc>
          <w:tcPr>
            <w:tcW w:w="2205" w:type="dxa"/>
          </w:tcPr>
          <w:p w14:paraId="3F494F1D" w14:textId="485FA46B" w:rsidR="0071775A" w:rsidRPr="0071775A" w:rsidRDefault="006F40D6" w:rsidP="0071775A">
            <w:pPr>
              <w:rPr>
                <w:sz w:val="20"/>
                <w:szCs w:val="20"/>
              </w:rPr>
            </w:pPr>
            <w:r>
              <w:rPr>
                <w:sz w:val="20"/>
                <w:szCs w:val="20"/>
              </w:rPr>
              <w:t>Best practice now that calcium is in our formulary</w:t>
            </w:r>
          </w:p>
        </w:tc>
        <w:tc>
          <w:tcPr>
            <w:tcW w:w="1289" w:type="dxa"/>
          </w:tcPr>
          <w:p w14:paraId="7A6CD171" w14:textId="64ED900B" w:rsidR="0071775A" w:rsidRPr="0071775A" w:rsidRDefault="006F40D6" w:rsidP="0071775A">
            <w:pPr>
              <w:rPr>
                <w:sz w:val="20"/>
                <w:szCs w:val="20"/>
              </w:rPr>
            </w:pPr>
            <w:r>
              <w:rPr>
                <w:sz w:val="20"/>
                <w:szCs w:val="20"/>
              </w:rPr>
              <w:t>medium</w:t>
            </w:r>
          </w:p>
        </w:tc>
        <w:tc>
          <w:tcPr>
            <w:tcW w:w="1707" w:type="dxa"/>
          </w:tcPr>
          <w:p w14:paraId="48227E55" w14:textId="02D36DDC" w:rsidR="0071775A" w:rsidRPr="0071775A" w:rsidRDefault="006F40D6" w:rsidP="0071775A">
            <w:pPr>
              <w:rPr>
                <w:sz w:val="20"/>
                <w:szCs w:val="20"/>
              </w:rPr>
            </w:pPr>
            <w:r>
              <w:rPr>
                <w:sz w:val="20"/>
                <w:szCs w:val="20"/>
              </w:rPr>
              <w:t>Additional treatment options given current drug formulary for acidotic and hyperkalemic OHCA</w:t>
            </w:r>
            <w:r w:rsidR="006777B6">
              <w:rPr>
                <w:sz w:val="20"/>
                <w:szCs w:val="20"/>
              </w:rPr>
              <w:t xml:space="preserve">; </w:t>
            </w:r>
          </w:p>
        </w:tc>
      </w:tr>
      <w:tr w:rsidR="0071775A" w:rsidRPr="0071775A" w14:paraId="3EB8BF86" w14:textId="77777777" w:rsidTr="00C74E5D">
        <w:tc>
          <w:tcPr>
            <w:tcW w:w="1474" w:type="dxa"/>
            <w:shd w:val="clear" w:color="auto" w:fill="D9D9D9" w:themeFill="background1" w:themeFillShade="D9"/>
          </w:tcPr>
          <w:p w14:paraId="7E7C00D0" w14:textId="552BDE1E" w:rsidR="0071775A" w:rsidRPr="0071775A" w:rsidRDefault="006F40D6" w:rsidP="0071775A">
            <w:pPr>
              <w:rPr>
                <w:sz w:val="20"/>
                <w:szCs w:val="20"/>
              </w:rPr>
            </w:pPr>
            <w:r>
              <w:rPr>
                <w:sz w:val="20"/>
                <w:szCs w:val="20"/>
              </w:rPr>
              <w:t>Red 7/ PEARL</w:t>
            </w:r>
          </w:p>
        </w:tc>
        <w:tc>
          <w:tcPr>
            <w:tcW w:w="2130" w:type="dxa"/>
          </w:tcPr>
          <w:p w14:paraId="763836DA" w14:textId="34DC4529" w:rsidR="0071775A" w:rsidRPr="0071775A" w:rsidRDefault="006F40D6" w:rsidP="0071775A">
            <w:pPr>
              <w:rPr>
                <w:sz w:val="20"/>
                <w:szCs w:val="20"/>
              </w:rPr>
            </w:pPr>
            <w:r>
              <w:rPr>
                <w:sz w:val="20"/>
                <w:szCs w:val="20"/>
              </w:rPr>
              <w:t xml:space="preserve">Change “…consideration of bicarb in possible toxic, acidotic, or hyperkalemic patients.” To </w:t>
            </w:r>
            <w:r>
              <w:rPr>
                <w:sz w:val="20"/>
                <w:szCs w:val="20"/>
              </w:rPr>
              <w:lastRenderedPageBreak/>
              <w:t>“…consideration of bicarb in possible toxic or acidotic patients. Also, consideration of bicarb and calcium in hyperkalemic patients – note patients on dialysis are at highest risk.”</w:t>
            </w:r>
          </w:p>
        </w:tc>
        <w:tc>
          <w:tcPr>
            <w:tcW w:w="2037" w:type="dxa"/>
          </w:tcPr>
          <w:p w14:paraId="659D3CCF" w14:textId="5EA93C55" w:rsidR="0071775A" w:rsidRPr="0071775A" w:rsidRDefault="006F40D6" w:rsidP="0071775A">
            <w:pPr>
              <w:rPr>
                <w:sz w:val="20"/>
                <w:szCs w:val="20"/>
              </w:rPr>
            </w:pPr>
            <w:r>
              <w:rPr>
                <w:sz w:val="20"/>
                <w:szCs w:val="20"/>
              </w:rPr>
              <w:lastRenderedPageBreak/>
              <w:t>Best practice now that calcium is in our formulary</w:t>
            </w:r>
          </w:p>
        </w:tc>
        <w:tc>
          <w:tcPr>
            <w:tcW w:w="2108" w:type="dxa"/>
          </w:tcPr>
          <w:p w14:paraId="5C32B587" w14:textId="38E50081" w:rsidR="0071775A" w:rsidRPr="0071775A" w:rsidRDefault="00C74E5D" w:rsidP="0071775A">
            <w:pPr>
              <w:rPr>
                <w:sz w:val="20"/>
                <w:szCs w:val="20"/>
              </w:rPr>
            </w:pPr>
            <w:r>
              <w:rPr>
                <w:sz w:val="20"/>
                <w:szCs w:val="20"/>
              </w:rPr>
              <w:t>Section Author Review</w:t>
            </w:r>
          </w:p>
        </w:tc>
        <w:tc>
          <w:tcPr>
            <w:tcW w:w="2205" w:type="dxa"/>
          </w:tcPr>
          <w:p w14:paraId="206ADE34" w14:textId="18337CDB" w:rsidR="0071775A" w:rsidRPr="0071775A" w:rsidRDefault="006F40D6" w:rsidP="0071775A">
            <w:pPr>
              <w:rPr>
                <w:sz w:val="20"/>
                <w:szCs w:val="20"/>
              </w:rPr>
            </w:pPr>
            <w:r>
              <w:rPr>
                <w:sz w:val="20"/>
                <w:szCs w:val="20"/>
              </w:rPr>
              <w:t>Best practice now that calcium is in our formulary</w:t>
            </w:r>
          </w:p>
        </w:tc>
        <w:tc>
          <w:tcPr>
            <w:tcW w:w="1289" w:type="dxa"/>
          </w:tcPr>
          <w:p w14:paraId="3EDB226B" w14:textId="7A83ECA0" w:rsidR="0071775A" w:rsidRPr="0071775A" w:rsidRDefault="006F40D6" w:rsidP="0071775A">
            <w:pPr>
              <w:rPr>
                <w:sz w:val="20"/>
                <w:szCs w:val="20"/>
              </w:rPr>
            </w:pPr>
            <w:r>
              <w:rPr>
                <w:sz w:val="20"/>
                <w:szCs w:val="20"/>
              </w:rPr>
              <w:t>medium</w:t>
            </w:r>
          </w:p>
        </w:tc>
        <w:tc>
          <w:tcPr>
            <w:tcW w:w="1707" w:type="dxa"/>
          </w:tcPr>
          <w:p w14:paraId="0023B433" w14:textId="77777777" w:rsidR="0071775A" w:rsidRDefault="006F40D6" w:rsidP="0071775A">
            <w:pPr>
              <w:rPr>
                <w:sz w:val="20"/>
                <w:szCs w:val="20"/>
              </w:rPr>
            </w:pPr>
            <w:r>
              <w:rPr>
                <w:sz w:val="20"/>
                <w:szCs w:val="20"/>
              </w:rPr>
              <w:t>Additional treatment options given current drug formulary for hyperkalemic OHCA</w:t>
            </w:r>
          </w:p>
          <w:p w14:paraId="3781E5AA" w14:textId="77777777" w:rsidR="006777B6" w:rsidRDefault="006777B6" w:rsidP="0071775A">
            <w:pPr>
              <w:rPr>
                <w:sz w:val="20"/>
                <w:szCs w:val="20"/>
              </w:rPr>
            </w:pPr>
          </w:p>
          <w:p w14:paraId="77C43F2E" w14:textId="042A30D8" w:rsidR="006777B6" w:rsidRPr="0071775A" w:rsidRDefault="006777B6" w:rsidP="0071775A">
            <w:pPr>
              <w:rPr>
                <w:sz w:val="20"/>
                <w:szCs w:val="20"/>
              </w:rPr>
            </w:pPr>
          </w:p>
        </w:tc>
      </w:tr>
      <w:tr w:rsidR="0071775A" w:rsidRPr="0071775A" w14:paraId="3539E5F7" w14:textId="77777777" w:rsidTr="00C74E5D">
        <w:tc>
          <w:tcPr>
            <w:tcW w:w="1474" w:type="dxa"/>
            <w:shd w:val="clear" w:color="auto" w:fill="D9D9D9" w:themeFill="background1" w:themeFillShade="D9"/>
          </w:tcPr>
          <w:p w14:paraId="38B17FE0" w14:textId="4C881FA9" w:rsidR="0071775A" w:rsidRPr="0071775A" w:rsidRDefault="006F40D6" w:rsidP="0071775A">
            <w:pPr>
              <w:rPr>
                <w:sz w:val="20"/>
                <w:szCs w:val="20"/>
              </w:rPr>
            </w:pPr>
            <w:r>
              <w:rPr>
                <w:sz w:val="20"/>
                <w:szCs w:val="20"/>
              </w:rPr>
              <w:lastRenderedPageBreak/>
              <w:t>Red 8/ #4</w:t>
            </w:r>
          </w:p>
        </w:tc>
        <w:tc>
          <w:tcPr>
            <w:tcW w:w="2130" w:type="dxa"/>
          </w:tcPr>
          <w:p w14:paraId="0C83933D" w14:textId="6135AA15" w:rsidR="0071775A" w:rsidRPr="0071775A" w:rsidRDefault="006F40D6" w:rsidP="0071775A">
            <w:pPr>
              <w:rPr>
                <w:sz w:val="20"/>
                <w:szCs w:val="20"/>
              </w:rPr>
            </w:pPr>
            <w:r>
              <w:rPr>
                <w:sz w:val="20"/>
                <w:szCs w:val="20"/>
              </w:rPr>
              <w:t>Change “high flow O2 with BVM ventilation…” to “…at a ratio of 30:2 or 1 breath every 10 chest compressions during recoil and without interrupting compressions”</w:t>
            </w:r>
          </w:p>
        </w:tc>
        <w:tc>
          <w:tcPr>
            <w:tcW w:w="2037" w:type="dxa"/>
          </w:tcPr>
          <w:p w14:paraId="2EB43CFD" w14:textId="58F51561" w:rsidR="0071775A" w:rsidRPr="0071775A" w:rsidRDefault="006F40D6" w:rsidP="0071775A">
            <w:pPr>
              <w:rPr>
                <w:sz w:val="20"/>
                <w:szCs w:val="20"/>
              </w:rPr>
            </w:pPr>
            <w:r>
              <w:rPr>
                <w:sz w:val="20"/>
                <w:szCs w:val="20"/>
              </w:rPr>
              <w:t xml:space="preserve">Prioritization of language: 30:2 ratio is the AHA taught ratio (Class </w:t>
            </w:r>
            <w:proofErr w:type="spellStart"/>
            <w:r>
              <w:rPr>
                <w:sz w:val="20"/>
                <w:szCs w:val="20"/>
              </w:rPr>
              <w:t>IIa</w:t>
            </w:r>
            <w:proofErr w:type="spellEnd"/>
            <w:r>
              <w:rPr>
                <w:sz w:val="20"/>
                <w:szCs w:val="20"/>
              </w:rPr>
              <w:t xml:space="preserve">) while AHA reports </w:t>
            </w:r>
            <w:proofErr w:type="gramStart"/>
            <w:r>
              <w:rPr>
                <w:sz w:val="20"/>
                <w:szCs w:val="20"/>
              </w:rPr>
              <w:t>continues</w:t>
            </w:r>
            <w:proofErr w:type="gramEnd"/>
            <w:r>
              <w:rPr>
                <w:sz w:val="20"/>
                <w:szCs w:val="20"/>
              </w:rPr>
              <w:t xml:space="preserve"> ventilation strategy “may be reasonable” (Class IIb)</w:t>
            </w:r>
          </w:p>
        </w:tc>
        <w:tc>
          <w:tcPr>
            <w:tcW w:w="2108" w:type="dxa"/>
          </w:tcPr>
          <w:p w14:paraId="539487BB" w14:textId="4C22EDB9" w:rsidR="0071775A" w:rsidRPr="0071775A" w:rsidRDefault="006F40D6" w:rsidP="0071775A">
            <w:pPr>
              <w:rPr>
                <w:sz w:val="20"/>
                <w:szCs w:val="20"/>
              </w:rPr>
            </w:pPr>
            <w:proofErr w:type="gramStart"/>
            <w:r>
              <w:rPr>
                <w:sz w:val="20"/>
                <w:szCs w:val="20"/>
              </w:rPr>
              <w:t>AHA  guidelines</w:t>
            </w:r>
            <w:proofErr w:type="gramEnd"/>
            <w:r>
              <w:rPr>
                <w:sz w:val="20"/>
                <w:szCs w:val="20"/>
              </w:rPr>
              <w:t xml:space="preserve"> – 2017 updates </w:t>
            </w:r>
            <w:r w:rsidR="00C74E5D">
              <w:rPr>
                <w:sz w:val="20"/>
                <w:szCs w:val="20"/>
              </w:rPr>
              <w:t xml:space="preserve">(no additional changes since) </w:t>
            </w:r>
          </w:p>
        </w:tc>
        <w:tc>
          <w:tcPr>
            <w:tcW w:w="2205" w:type="dxa"/>
          </w:tcPr>
          <w:p w14:paraId="0427F844" w14:textId="7D940566" w:rsidR="0071775A" w:rsidRPr="0071775A" w:rsidRDefault="00C74E5D" w:rsidP="0071775A">
            <w:pPr>
              <w:rPr>
                <w:sz w:val="20"/>
                <w:szCs w:val="20"/>
              </w:rPr>
            </w:pPr>
            <w:r>
              <w:rPr>
                <w:sz w:val="20"/>
                <w:szCs w:val="20"/>
              </w:rPr>
              <w:t>P</w:t>
            </w:r>
            <w:r w:rsidR="006F40D6">
              <w:rPr>
                <w:sz w:val="20"/>
                <w:szCs w:val="20"/>
              </w:rPr>
              <w:t>rioritizing the language, no education needed</w:t>
            </w:r>
          </w:p>
        </w:tc>
        <w:tc>
          <w:tcPr>
            <w:tcW w:w="1289" w:type="dxa"/>
          </w:tcPr>
          <w:p w14:paraId="0C6BE854" w14:textId="3601F717" w:rsidR="0071775A" w:rsidRPr="0071775A" w:rsidRDefault="006F40D6" w:rsidP="0071775A">
            <w:pPr>
              <w:rPr>
                <w:sz w:val="20"/>
                <w:szCs w:val="20"/>
              </w:rPr>
            </w:pPr>
            <w:r>
              <w:rPr>
                <w:sz w:val="20"/>
                <w:szCs w:val="20"/>
              </w:rPr>
              <w:t>small</w:t>
            </w:r>
          </w:p>
        </w:tc>
        <w:tc>
          <w:tcPr>
            <w:tcW w:w="1707" w:type="dxa"/>
          </w:tcPr>
          <w:p w14:paraId="22BC84A8" w14:textId="1ABC7C41" w:rsidR="0071775A" w:rsidRPr="0071775A" w:rsidRDefault="00C74E5D" w:rsidP="0071775A">
            <w:pPr>
              <w:rPr>
                <w:sz w:val="20"/>
                <w:szCs w:val="20"/>
              </w:rPr>
            </w:pPr>
            <w:r w:rsidRPr="00C74E5D">
              <w:rPr>
                <w:color w:val="000000" w:themeColor="text1"/>
                <w:sz w:val="20"/>
                <w:szCs w:val="20"/>
              </w:rPr>
              <w:t>Allow variations on high performance CPR</w:t>
            </w:r>
            <w:r w:rsidR="001B2175" w:rsidRPr="00C74E5D">
              <w:rPr>
                <w:color w:val="000000" w:themeColor="text1"/>
                <w:sz w:val="20"/>
                <w:szCs w:val="20"/>
              </w:rPr>
              <w:t xml:space="preserve">  </w:t>
            </w:r>
          </w:p>
        </w:tc>
      </w:tr>
      <w:tr w:rsidR="0071775A" w:rsidRPr="0071775A" w14:paraId="4364971F" w14:textId="77777777" w:rsidTr="00C74E5D">
        <w:tc>
          <w:tcPr>
            <w:tcW w:w="1474" w:type="dxa"/>
            <w:shd w:val="clear" w:color="auto" w:fill="D9D9D9" w:themeFill="background1" w:themeFillShade="D9"/>
          </w:tcPr>
          <w:p w14:paraId="441CD73A" w14:textId="3AC8FE16" w:rsidR="0071775A" w:rsidRPr="0071775A" w:rsidRDefault="00240075" w:rsidP="0071775A">
            <w:pPr>
              <w:rPr>
                <w:sz w:val="20"/>
                <w:szCs w:val="20"/>
              </w:rPr>
            </w:pPr>
            <w:r>
              <w:rPr>
                <w:sz w:val="20"/>
                <w:szCs w:val="20"/>
              </w:rPr>
              <w:t>Red 8/ #13c</w:t>
            </w:r>
          </w:p>
        </w:tc>
        <w:tc>
          <w:tcPr>
            <w:tcW w:w="2130" w:type="dxa"/>
          </w:tcPr>
          <w:p w14:paraId="2179AB4E" w14:textId="0B1FC3EA" w:rsidR="0071775A" w:rsidRPr="0071775A" w:rsidRDefault="00240075" w:rsidP="0071775A">
            <w:pPr>
              <w:rPr>
                <w:sz w:val="20"/>
                <w:szCs w:val="20"/>
              </w:rPr>
            </w:pPr>
            <w:r>
              <w:rPr>
                <w:sz w:val="20"/>
                <w:szCs w:val="20"/>
              </w:rPr>
              <w:t>Change: “For refractory V</w:t>
            </w:r>
            <w:r w:rsidR="007343F9">
              <w:rPr>
                <w:sz w:val="20"/>
                <w:szCs w:val="20"/>
              </w:rPr>
              <w:t>F</w:t>
            </w:r>
            <w:r>
              <w:rPr>
                <w:sz w:val="20"/>
                <w:szCs w:val="20"/>
              </w:rPr>
              <w:t>/VT (total of 5 shocks…)” to “(total of 3 shocks…)”</w:t>
            </w:r>
          </w:p>
        </w:tc>
        <w:tc>
          <w:tcPr>
            <w:tcW w:w="2037" w:type="dxa"/>
          </w:tcPr>
          <w:p w14:paraId="53ADA401" w14:textId="5BB8DE3F" w:rsidR="0071775A" w:rsidRPr="0071775A" w:rsidRDefault="00240075" w:rsidP="0071775A">
            <w:pPr>
              <w:rPr>
                <w:sz w:val="20"/>
                <w:szCs w:val="20"/>
              </w:rPr>
            </w:pPr>
            <w:r>
              <w:rPr>
                <w:sz w:val="20"/>
                <w:szCs w:val="20"/>
              </w:rPr>
              <w:t xml:space="preserve">Allow for earlier deployment of </w:t>
            </w:r>
            <w:r w:rsidR="00B86EEC">
              <w:rPr>
                <w:sz w:val="20"/>
                <w:szCs w:val="20"/>
              </w:rPr>
              <w:t>therapies for refractory VF</w:t>
            </w:r>
            <w:r>
              <w:rPr>
                <w:sz w:val="20"/>
                <w:szCs w:val="20"/>
              </w:rPr>
              <w:t xml:space="preserve"> based on continued study suggesting early deployment beneficial</w:t>
            </w:r>
          </w:p>
        </w:tc>
        <w:tc>
          <w:tcPr>
            <w:tcW w:w="2108" w:type="dxa"/>
          </w:tcPr>
          <w:p w14:paraId="47799DF1" w14:textId="4F75CB85" w:rsidR="0071775A" w:rsidRPr="0071775A" w:rsidRDefault="00240075" w:rsidP="0071775A">
            <w:pPr>
              <w:rPr>
                <w:sz w:val="20"/>
                <w:szCs w:val="20"/>
              </w:rPr>
            </w:pPr>
            <w:r>
              <w:rPr>
                <w:sz w:val="20"/>
                <w:szCs w:val="20"/>
              </w:rPr>
              <w:t>DOSE – VF (pilot study 2020) and Impact of DSED (2019)</w:t>
            </w:r>
          </w:p>
        </w:tc>
        <w:tc>
          <w:tcPr>
            <w:tcW w:w="2205" w:type="dxa"/>
          </w:tcPr>
          <w:p w14:paraId="1FAD0FC1" w14:textId="42728F47" w:rsidR="0071775A" w:rsidRPr="0071775A" w:rsidRDefault="00240075" w:rsidP="0071775A">
            <w:pPr>
              <w:rPr>
                <w:sz w:val="20"/>
                <w:szCs w:val="20"/>
              </w:rPr>
            </w:pPr>
            <w:r>
              <w:rPr>
                <w:sz w:val="20"/>
                <w:szCs w:val="20"/>
              </w:rPr>
              <w:t xml:space="preserve">Educational </w:t>
            </w:r>
          </w:p>
        </w:tc>
        <w:tc>
          <w:tcPr>
            <w:tcW w:w="1289" w:type="dxa"/>
          </w:tcPr>
          <w:p w14:paraId="4D42137D" w14:textId="400F89E9" w:rsidR="0071775A" w:rsidRPr="0071775A" w:rsidRDefault="00240075" w:rsidP="0071775A">
            <w:pPr>
              <w:rPr>
                <w:sz w:val="20"/>
                <w:szCs w:val="20"/>
              </w:rPr>
            </w:pPr>
            <w:r>
              <w:rPr>
                <w:sz w:val="20"/>
                <w:szCs w:val="20"/>
              </w:rPr>
              <w:t>small</w:t>
            </w:r>
          </w:p>
        </w:tc>
        <w:tc>
          <w:tcPr>
            <w:tcW w:w="1707" w:type="dxa"/>
          </w:tcPr>
          <w:p w14:paraId="7AF27AF9" w14:textId="6EC51158" w:rsidR="0071775A" w:rsidRPr="0071775A" w:rsidRDefault="00240075" w:rsidP="0071775A">
            <w:pPr>
              <w:rPr>
                <w:sz w:val="20"/>
                <w:szCs w:val="20"/>
              </w:rPr>
            </w:pPr>
            <w:r>
              <w:rPr>
                <w:sz w:val="20"/>
                <w:szCs w:val="20"/>
              </w:rPr>
              <w:t xml:space="preserve">Opportunity to deploy </w:t>
            </w:r>
            <w:r w:rsidR="00B86EEC">
              <w:rPr>
                <w:sz w:val="20"/>
                <w:szCs w:val="20"/>
              </w:rPr>
              <w:t>therapies</w:t>
            </w:r>
            <w:r>
              <w:rPr>
                <w:sz w:val="20"/>
                <w:szCs w:val="20"/>
              </w:rPr>
              <w:t xml:space="preserve"> for complex OHCA as early as clinical studies sugges</w:t>
            </w:r>
            <w:r w:rsidR="00B86EEC">
              <w:rPr>
                <w:sz w:val="20"/>
                <w:szCs w:val="20"/>
              </w:rPr>
              <w:t>t</w:t>
            </w:r>
          </w:p>
        </w:tc>
      </w:tr>
      <w:tr w:rsidR="0071775A" w:rsidRPr="0071775A" w14:paraId="4F4BCBA7" w14:textId="77777777" w:rsidTr="00C74E5D">
        <w:tc>
          <w:tcPr>
            <w:tcW w:w="1474" w:type="dxa"/>
            <w:shd w:val="clear" w:color="auto" w:fill="D9D9D9" w:themeFill="background1" w:themeFillShade="D9"/>
          </w:tcPr>
          <w:p w14:paraId="73637F0B" w14:textId="626979E2" w:rsidR="0071775A" w:rsidRPr="0071775A" w:rsidRDefault="00240075" w:rsidP="0071775A">
            <w:pPr>
              <w:rPr>
                <w:sz w:val="20"/>
                <w:szCs w:val="20"/>
              </w:rPr>
            </w:pPr>
            <w:r>
              <w:rPr>
                <w:sz w:val="20"/>
                <w:szCs w:val="20"/>
              </w:rPr>
              <w:t>Red 12</w:t>
            </w:r>
            <w:proofErr w:type="gramStart"/>
            <w:r>
              <w:rPr>
                <w:sz w:val="20"/>
                <w:szCs w:val="20"/>
              </w:rPr>
              <w:t>/”Indication</w:t>
            </w:r>
            <w:proofErr w:type="gramEnd"/>
            <w:r>
              <w:rPr>
                <w:sz w:val="20"/>
                <w:szCs w:val="20"/>
              </w:rPr>
              <w:t>”</w:t>
            </w:r>
          </w:p>
        </w:tc>
        <w:tc>
          <w:tcPr>
            <w:tcW w:w="2130" w:type="dxa"/>
          </w:tcPr>
          <w:p w14:paraId="4B0DD15D" w14:textId="1FECB14D" w:rsidR="0071775A" w:rsidRPr="0071775A" w:rsidRDefault="00240075" w:rsidP="0071775A">
            <w:pPr>
              <w:rPr>
                <w:sz w:val="20"/>
                <w:szCs w:val="20"/>
              </w:rPr>
            </w:pPr>
            <w:r>
              <w:rPr>
                <w:sz w:val="20"/>
                <w:szCs w:val="20"/>
              </w:rPr>
              <w:t>Change: “refractory VF/VT after 5 unsuccessful shocks” to “…after 3…”</w:t>
            </w:r>
          </w:p>
        </w:tc>
        <w:tc>
          <w:tcPr>
            <w:tcW w:w="2037" w:type="dxa"/>
          </w:tcPr>
          <w:p w14:paraId="6C25CD1A" w14:textId="1954C3CB" w:rsidR="0071775A" w:rsidRPr="0071775A" w:rsidRDefault="00240075" w:rsidP="0071775A">
            <w:pPr>
              <w:rPr>
                <w:sz w:val="20"/>
                <w:szCs w:val="20"/>
              </w:rPr>
            </w:pPr>
            <w:r>
              <w:rPr>
                <w:sz w:val="20"/>
                <w:szCs w:val="20"/>
              </w:rPr>
              <w:t>Same as above</w:t>
            </w:r>
          </w:p>
        </w:tc>
        <w:tc>
          <w:tcPr>
            <w:tcW w:w="2108" w:type="dxa"/>
          </w:tcPr>
          <w:p w14:paraId="013A4301" w14:textId="5C0A43A4" w:rsidR="0071775A" w:rsidRPr="0071775A" w:rsidRDefault="00240075" w:rsidP="0071775A">
            <w:pPr>
              <w:rPr>
                <w:sz w:val="20"/>
                <w:szCs w:val="20"/>
              </w:rPr>
            </w:pPr>
            <w:r>
              <w:rPr>
                <w:sz w:val="20"/>
                <w:szCs w:val="20"/>
              </w:rPr>
              <w:t>Same as above</w:t>
            </w:r>
          </w:p>
        </w:tc>
        <w:tc>
          <w:tcPr>
            <w:tcW w:w="2205" w:type="dxa"/>
          </w:tcPr>
          <w:p w14:paraId="332927D9" w14:textId="32A015D6" w:rsidR="0071775A" w:rsidRPr="0071775A" w:rsidRDefault="00240075" w:rsidP="0071775A">
            <w:pPr>
              <w:rPr>
                <w:sz w:val="20"/>
                <w:szCs w:val="20"/>
              </w:rPr>
            </w:pPr>
            <w:r>
              <w:rPr>
                <w:sz w:val="20"/>
                <w:szCs w:val="20"/>
              </w:rPr>
              <w:t xml:space="preserve">Educational </w:t>
            </w:r>
          </w:p>
        </w:tc>
        <w:tc>
          <w:tcPr>
            <w:tcW w:w="1289" w:type="dxa"/>
          </w:tcPr>
          <w:p w14:paraId="4CEA894C" w14:textId="69EC5DEB" w:rsidR="0071775A" w:rsidRPr="0071775A" w:rsidRDefault="00240075" w:rsidP="0071775A">
            <w:pPr>
              <w:rPr>
                <w:sz w:val="20"/>
                <w:szCs w:val="20"/>
              </w:rPr>
            </w:pPr>
            <w:r>
              <w:rPr>
                <w:sz w:val="20"/>
                <w:szCs w:val="20"/>
              </w:rPr>
              <w:t>Small</w:t>
            </w:r>
          </w:p>
        </w:tc>
        <w:tc>
          <w:tcPr>
            <w:tcW w:w="1707" w:type="dxa"/>
          </w:tcPr>
          <w:p w14:paraId="5CA2094E" w14:textId="56457DB1" w:rsidR="0071775A" w:rsidRPr="0071775A" w:rsidRDefault="00240075" w:rsidP="0071775A">
            <w:pPr>
              <w:rPr>
                <w:sz w:val="20"/>
                <w:szCs w:val="20"/>
              </w:rPr>
            </w:pPr>
            <w:r>
              <w:rPr>
                <w:sz w:val="20"/>
                <w:szCs w:val="20"/>
              </w:rPr>
              <w:t>Same as above</w:t>
            </w:r>
          </w:p>
        </w:tc>
      </w:tr>
      <w:tr w:rsidR="00045565" w:rsidRPr="0071775A" w14:paraId="6F272F80" w14:textId="77777777" w:rsidTr="00C74E5D">
        <w:tc>
          <w:tcPr>
            <w:tcW w:w="1474" w:type="dxa"/>
            <w:shd w:val="clear" w:color="auto" w:fill="D9D9D9" w:themeFill="background1" w:themeFillShade="D9"/>
          </w:tcPr>
          <w:p w14:paraId="2B63BB84" w14:textId="4112FE5D" w:rsidR="00045565" w:rsidRDefault="00045565" w:rsidP="0071775A">
            <w:pPr>
              <w:rPr>
                <w:sz w:val="20"/>
                <w:szCs w:val="20"/>
              </w:rPr>
            </w:pPr>
            <w:r>
              <w:rPr>
                <w:sz w:val="20"/>
                <w:szCs w:val="20"/>
              </w:rPr>
              <w:t>Red 12</w:t>
            </w:r>
          </w:p>
        </w:tc>
        <w:tc>
          <w:tcPr>
            <w:tcW w:w="2130" w:type="dxa"/>
          </w:tcPr>
          <w:p w14:paraId="2C1D743F" w14:textId="2DB4B411" w:rsidR="00045565" w:rsidRDefault="00B86EEC" w:rsidP="0071775A">
            <w:pPr>
              <w:rPr>
                <w:sz w:val="20"/>
                <w:szCs w:val="20"/>
              </w:rPr>
            </w:pPr>
            <w:r>
              <w:rPr>
                <w:sz w:val="20"/>
                <w:szCs w:val="20"/>
              </w:rPr>
              <w:t xml:space="preserve">Reorganization of the Refractory VF/VT protocol to initiate vector changes and ensuring adequate pad contact after 3 defibrillations. Only then moving to consideration of DSD. </w:t>
            </w:r>
          </w:p>
        </w:tc>
        <w:tc>
          <w:tcPr>
            <w:tcW w:w="2037" w:type="dxa"/>
          </w:tcPr>
          <w:p w14:paraId="01015EB2" w14:textId="549D8E22" w:rsidR="00045565" w:rsidRDefault="00B86EEC" w:rsidP="0071775A">
            <w:pPr>
              <w:rPr>
                <w:sz w:val="20"/>
                <w:szCs w:val="20"/>
              </w:rPr>
            </w:pPr>
            <w:r>
              <w:rPr>
                <w:sz w:val="20"/>
                <w:szCs w:val="20"/>
              </w:rPr>
              <w:t>Same as above</w:t>
            </w:r>
          </w:p>
        </w:tc>
        <w:tc>
          <w:tcPr>
            <w:tcW w:w="2108" w:type="dxa"/>
          </w:tcPr>
          <w:p w14:paraId="2C9A82EB" w14:textId="46239600" w:rsidR="00045565" w:rsidRDefault="00B86EEC" w:rsidP="0071775A">
            <w:pPr>
              <w:rPr>
                <w:sz w:val="20"/>
                <w:szCs w:val="20"/>
              </w:rPr>
            </w:pPr>
            <w:r>
              <w:rPr>
                <w:sz w:val="20"/>
                <w:szCs w:val="20"/>
              </w:rPr>
              <w:t>Same as above</w:t>
            </w:r>
          </w:p>
        </w:tc>
        <w:tc>
          <w:tcPr>
            <w:tcW w:w="2205" w:type="dxa"/>
          </w:tcPr>
          <w:p w14:paraId="3E9D4A50" w14:textId="246ED89F" w:rsidR="00045565" w:rsidRDefault="00B86EEC" w:rsidP="0071775A">
            <w:pPr>
              <w:rPr>
                <w:sz w:val="20"/>
                <w:szCs w:val="20"/>
              </w:rPr>
            </w:pPr>
            <w:r>
              <w:rPr>
                <w:sz w:val="20"/>
                <w:szCs w:val="20"/>
              </w:rPr>
              <w:t xml:space="preserve">Educational </w:t>
            </w:r>
          </w:p>
        </w:tc>
        <w:tc>
          <w:tcPr>
            <w:tcW w:w="1289" w:type="dxa"/>
          </w:tcPr>
          <w:p w14:paraId="3338B558" w14:textId="07DDF6B0" w:rsidR="00045565" w:rsidRDefault="00B86EEC" w:rsidP="0071775A">
            <w:pPr>
              <w:rPr>
                <w:sz w:val="20"/>
                <w:szCs w:val="20"/>
              </w:rPr>
            </w:pPr>
            <w:r>
              <w:rPr>
                <w:sz w:val="20"/>
                <w:szCs w:val="20"/>
              </w:rPr>
              <w:t>Small</w:t>
            </w:r>
          </w:p>
        </w:tc>
        <w:tc>
          <w:tcPr>
            <w:tcW w:w="1707" w:type="dxa"/>
          </w:tcPr>
          <w:p w14:paraId="2191BDB3" w14:textId="4A97E207" w:rsidR="00045565" w:rsidRDefault="00B86EEC" w:rsidP="0071775A">
            <w:pPr>
              <w:rPr>
                <w:sz w:val="20"/>
                <w:szCs w:val="20"/>
              </w:rPr>
            </w:pPr>
            <w:r>
              <w:rPr>
                <w:sz w:val="20"/>
                <w:szCs w:val="20"/>
              </w:rPr>
              <w:t xml:space="preserve">Same as above </w:t>
            </w:r>
          </w:p>
        </w:tc>
      </w:tr>
      <w:tr w:rsidR="0071775A" w:rsidRPr="0071775A" w14:paraId="12969229" w14:textId="77777777" w:rsidTr="00C74E5D">
        <w:tc>
          <w:tcPr>
            <w:tcW w:w="1474" w:type="dxa"/>
            <w:shd w:val="clear" w:color="auto" w:fill="D9D9D9" w:themeFill="background1" w:themeFillShade="D9"/>
          </w:tcPr>
          <w:p w14:paraId="18BB35FC" w14:textId="7395B329" w:rsidR="0071775A" w:rsidRPr="0071775A" w:rsidRDefault="00C96D6F" w:rsidP="0071775A">
            <w:pPr>
              <w:rPr>
                <w:sz w:val="20"/>
                <w:szCs w:val="20"/>
              </w:rPr>
            </w:pPr>
            <w:r>
              <w:rPr>
                <w:sz w:val="20"/>
                <w:szCs w:val="20"/>
              </w:rPr>
              <w:lastRenderedPageBreak/>
              <w:t xml:space="preserve">Red 8/ </w:t>
            </w:r>
            <w:r w:rsidR="00AA4E69">
              <w:rPr>
                <w:sz w:val="20"/>
                <w:szCs w:val="20"/>
              </w:rPr>
              <w:t>New</w:t>
            </w:r>
            <w:r>
              <w:rPr>
                <w:sz w:val="20"/>
                <w:szCs w:val="20"/>
              </w:rPr>
              <w:t xml:space="preserve"> #13</w:t>
            </w:r>
            <w:r w:rsidR="00AA4E69">
              <w:rPr>
                <w:sz w:val="20"/>
                <w:szCs w:val="20"/>
              </w:rPr>
              <w:t>d</w:t>
            </w:r>
          </w:p>
        </w:tc>
        <w:tc>
          <w:tcPr>
            <w:tcW w:w="2130" w:type="dxa"/>
          </w:tcPr>
          <w:p w14:paraId="6112B0E7" w14:textId="79D3BB21" w:rsidR="0071775A" w:rsidRPr="0071775A" w:rsidRDefault="00C96D6F" w:rsidP="0071775A">
            <w:pPr>
              <w:rPr>
                <w:sz w:val="20"/>
                <w:szCs w:val="20"/>
              </w:rPr>
            </w:pPr>
            <w:r>
              <w:rPr>
                <w:sz w:val="20"/>
                <w:szCs w:val="20"/>
              </w:rPr>
              <w:t xml:space="preserve">Add </w:t>
            </w:r>
            <w:r w:rsidR="00AA4E69">
              <w:rPr>
                <w:sz w:val="20"/>
                <w:szCs w:val="20"/>
              </w:rPr>
              <w:t xml:space="preserve">“PEA, consider treatment based on QRS complex width: narrow vs wide” and </w:t>
            </w:r>
            <w:r>
              <w:rPr>
                <w:sz w:val="20"/>
                <w:szCs w:val="20"/>
              </w:rPr>
              <w:t xml:space="preserve">PEA algorithm </w:t>
            </w:r>
            <w:r w:rsidR="00AA4E69">
              <w:rPr>
                <w:sz w:val="20"/>
                <w:szCs w:val="20"/>
              </w:rPr>
              <w:t>infographic</w:t>
            </w:r>
            <w:r>
              <w:rPr>
                <w:sz w:val="20"/>
                <w:szCs w:val="20"/>
              </w:rPr>
              <w:t xml:space="preserve"> (</w:t>
            </w:r>
            <w:r w:rsidR="00AA4E69">
              <w:rPr>
                <w:sz w:val="20"/>
                <w:szCs w:val="20"/>
              </w:rPr>
              <w:t>consideration of rhythm specific treatments)</w:t>
            </w:r>
          </w:p>
        </w:tc>
        <w:tc>
          <w:tcPr>
            <w:tcW w:w="2037" w:type="dxa"/>
          </w:tcPr>
          <w:p w14:paraId="25197C24" w14:textId="5D5E5E55" w:rsidR="0071775A" w:rsidRPr="0071775A" w:rsidRDefault="00C96D6F" w:rsidP="0071775A">
            <w:pPr>
              <w:rPr>
                <w:sz w:val="20"/>
                <w:szCs w:val="20"/>
              </w:rPr>
            </w:pPr>
            <w:r>
              <w:rPr>
                <w:sz w:val="20"/>
                <w:szCs w:val="20"/>
              </w:rPr>
              <w:t xml:space="preserve">Highlight available treatments for PEA and provide guidance based on ECG tracing that is more instructive than classic </w:t>
            </w:r>
            <w:proofErr w:type="spellStart"/>
            <w:r>
              <w:rPr>
                <w:sz w:val="20"/>
                <w:szCs w:val="20"/>
              </w:rPr>
              <w:t>Hs&amp;Ts</w:t>
            </w:r>
            <w:proofErr w:type="spellEnd"/>
            <w:r>
              <w:rPr>
                <w:sz w:val="20"/>
                <w:szCs w:val="20"/>
              </w:rPr>
              <w:t xml:space="preserve"> training</w:t>
            </w:r>
          </w:p>
        </w:tc>
        <w:tc>
          <w:tcPr>
            <w:tcW w:w="2108" w:type="dxa"/>
          </w:tcPr>
          <w:p w14:paraId="5DBC2BF8" w14:textId="77777777" w:rsidR="0071775A" w:rsidRPr="0071775A" w:rsidRDefault="0071775A" w:rsidP="0071775A">
            <w:pPr>
              <w:rPr>
                <w:sz w:val="20"/>
                <w:szCs w:val="20"/>
              </w:rPr>
            </w:pPr>
          </w:p>
        </w:tc>
        <w:tc>
          <w:tcPr>
            <w:tcW w:w="2205" w:type="dxa"/>
          </w:tcPr>
          <w:p w14:paraId="16EFC075" w14:textId="78D7E8AC" w:rsidR="0071775A" w:rsidRPr="0071775A" w:rsidRDefault="00C96D6F" w:rsidP="0071775A">
            <w:pPr>
              <w:rPr>
                <w:sz w:val="20"/>
                <w:szCs w:val="20"/>
              </w:rPr>
            </w:pPr>
            <w:r>
              <w:rPr>
                <w:sz w:val="20"/>
                <w:szCs w:val="20"/>
              </w:rPr>
              <w:t>Education</w:t>
            </w:r>
          </w:p>
        </w:tc>
        <w:tc>
          <w:tcPr>
            <w:tcW w:w="1289" w:type="dxa"/>
          </w:tcPr>
          <w:p w14:paraId="06B7098C" w14:textId="52BC24F6" w:rsidR="0071775A" w:rsidRPr="0071775A" w:rsidRDefault="00C96D6F" w:rsidP="0071775A">
            <w:pPr>
              <w:rPr>
                <w:sz w:val="20"/>
                <w:szCs w:val="20"/>
              </w:rPr>
            </w:pPr>
            <w:r>
              <w:rPr>
                <w:sz w:val="20"/>
                <w:szCs w:val="20"/>
              </w:rPr>
              <w:t>Medium</w:t>
            </w:r>
          </w:p>
        </w:tc>
        <w:tc>
          <w:tcPr>
            <w:tcW w:w="1707" w:type="dxa"/>
          </w:tcPr>
          <w:p w14:paraId="36F5E673" w14:textId="18673B97" w:rsidR="0071775A" w:rsidRPr="00C67480" w:rsidRDefault="00B86EEC" w:rsidP="0071775A">
            <w:pPr>
              <w:rPr>
                <w:color w:val="FF0000"/>
                <w:sz w:val="20"/>
                <w:szCs w:val="20"/>
              </w:rPr>
            </w:pPr>
            <w:r>
              <w:rPr>
                <w:sz w:val="20"/>
                <w:szCs w:val="20"/>
              </w:rPr>
              <w:t>Create a f</w:t>
            </w:r>
            <w:r w:rsidR="00C96D6F">
              <w:rPr>
                <w:sz w:val="20"/>
                <w:szCs w:val="20"/>
              </w:rPr>
              <w:t xml:space="preserve">ocused approach </w:t>
            </w:r>
            <w:r>
              <w:rPr>
                <w:sz w:val="20"/>
                <w:szCs w:val="20"/>
              </w:rPr>
              <w:t>to the treatment of</w:t>
            </w:r>
            <w:r w:rsidR="00C96D6F">
              <w:rPr>
                <w:sz w:val="20"/>
                <w:szCs w:val="20"/>
              </w:rPr>
              <w:t xml:space="preserve"> PEA </w:t>
            </w:r>
            <w:r>
              <w:rPr>
                <w:sz w:val="20"/>
                <w:szCs w:val="20"/>
              </w:rPr>
              <w:t>based on the morphology/rate of PEA with the aim of increasing survival from PEA</w:t>
            </w:r>
          </w:p>
        </w:tc>
      </w:tr>
      <w:tr w:rsidR="0071775A" w:rsidRPr="0071775A" w14:paraId="6FC5AF22" w14:textId="77777777" w:rsidTr="00C74E5D">
        <w:tc>
          <w:tcPr>
            <w:tcW w:w="1474" w:type="dxa"/>
            <w:shd w:val="clear" w:color="auto" w:fill="D9D9D9" w:themeFill="background1" w:themeFillShade="D9"/>
          </w:tcPr>
          <w:p w14:paraId="66BFE2A5" w14:textId="1B2A2ED9" w:rsidR="0071775A" w:rsidRPr="0071775A" w:rsidRDefault="00AA4E69" w:rsidP="0071775A">
            <w:pPr>
              <w:rPr>
                <w:sz w:val="20"/>
                <w:szCs w:val="20"/>
              </w:rPr>
            </w:pPr>
            <w:r>
              <w:rPr>
                <w:sz w:val="20"/>
                <w:szCs w:val="20"/>
              </w:rPr>
              <w:t>Red 8/ #14</w:t>
            </w:r>
          </w:p>
        </w:tc>
        <w:tc>
          <w:tcPr>
            <w:tcW w:w="2130" w:type="dxa"/>
          </w:tcPr>
          <w:p w14:paraId="7A14BF1D" w14:textId="77777777" w:rsidR="0071775A" w:rsidRDefault="00AA4E69" w:rsidP="0071775A">
            <w:pPr>
              <w:rPr>
                <w:sz w:val="20"/>
                <w:szCs w:val="20"/>
              </w:rPr>
            </w:pPr>
            <w:r>
              <w:rPr>
                <w:sz w:val="20"/>
                <w:szCs w:val="20"/>
              </w:rPr>
              <w:t>14a – sodium bicarb, IVF, calcium</w:t>
            </w:r>
          </w:p>
          <w:p w14:paraId="1AB926BE" w14:textId="77777777" w:rsidR="00AA4E69" w:rsidRDefault="00AA4E69" w:rsidP="0071775A">
            <w:pPr>
              <w:rPr>
                <w:sz w:val="20"/>
                <w:szCs w:val="20"/>
              </w:rPr>
            </w:pPr>
            <w:r>
              <w:rPr>
                <w:sz w:val="20"/>
                <w:szCs w:val="20"/>
              </w:rPr>
              <w:t>14b – sodium bicarb, IVF</w:t>
            </w:r>
          </w:p>
          <w:p w14:paraId="6A66C801" w14:textId="385FCE90" w:rsidR="00AA4E69" w:rsidRPr="0071775A" w:rsidRDefault="00AA4E69" w:rsidP="0071775A">
            <w:pPr>
              <w:rPr>
                <w:sz w:val="20"/>
                <w:szCs w:val="20"/>
              </w:rPr>
            </w:pPr>
            <w:r>
              <w:rPr>
                <w:sz w:val="20"/>
                <w:szCs w:val="20"/>
              </w:rPr>
              <w:t>14c – sodium bicarb, IVF</w:t>
            </w:r>
          </w:p>
        </w:tc>
        <w:tc>
          <w:tcPr>
            <w:tcW w:w="2037" w:type="dxa"/>
          </w:tcPr>
          <w:p w14:paraId="0413B611" w14:textId="1AE99006" w:rsidR="0071775A" w:rsidRPr="0071775A" w:rsidRDefault="00AA4E69" w:rsidP="0071775A">
            <w:pPr>
              <w:rPr>
                <w:sz w:val="20"/>
                <w:szCs w:val="20"/>
              </w:rPr>
            </w:pPr>
            <w:r>
              <w:rPr>
                <w:sz w:val="20"/>
                <w:szCs w:val="20"/>
              </w:rPr>
              <w:t>Best practice now that calcium is in our formulary</w:t>
            </w:r>
          </w:p>
        </w:tc>
        <w:tc>
          <w:tcPr>
            <w:tcW w:w="2108" w:type="dxa"/>
          </w:tcPr>
          <w:p w14:paraId="033C6CA4" w14:textId="3FEF7D25" w:rsidR="0071775A" w:rsidRPr="0071775A" w:rsidRDefault="00C74E5D" w:rsidP="0071775A">
            <w:pPr>
              <w:rPr>
                <w:sz w:val="20"/>
                <w:szCs w:val="20"/>
              </w:rPr>
            </w:pPr>
            <w:r>
              <w:rPr>
                <w:sz w:val="20"/>
                <w:szCs w:val="20"/>
              </w:rPr>
              <w:t>Section Author Review</w:t>
            </w:r>
          </w:p>
        </w:tc>
        <w:tc>
          <w:tcPr>
            <w:tcW w:w="2205" w:type="dxa"/>
          </w:tcPr>
          <w:p w14:paraId="4020877A" w14:textId="161729A1" w:rsidR="0071775A" w:rsidRPr="0071775A" w:rsidRDefault="004045BB" w:rsidP="0071775A">
            <w:pPr>
              <w:rPr>
                <w:sz w:val="20"/>
                <w:szCs w:val="20"/>
              </w:rPr>
            </w:pPr>
            <w:r>
              <w:rPr>
                <w:sz w:val="20"/>
                <w:szCs w:val="20"/>
              </w:rPr>
              <w:t>education</w:t>
            </w:r>
          </w:p>
        </w:tc>
        <w:tc>
          <w:tcPr>
            <w:tcW w:w="1289" w:type="dxa"/>
          </w:tcPr>
          <w:p w14:paraId="3AFA1A21" w14:textId="54507399" w:rsidR="0071775A" w:rsidRPr="0071775A" w:rsidRDefault="004045BB" w:rsidP="0071775A">
            <w:pPr>
              <w:rPr>
                <w:sz w:val="20"/>
                <w:szCs w:val="20"/>
              </w:rPr>
            </w:pPr>
            <w:r>
              <w:rPr>
                <w:sz w:val="20"/>
                <w:szCs w:val="20"/>
              </w:rPr>
              <w:t>small</w:t>
            </w:r>
          </w:p>
        </w:tc>
        <w:tc>
          <w:tcPr>
            <w:tcW w:w="1707" w:type="dxa"/>
          </w:tcPr>
          <w:p w14:paraId="27C9476C" w14:textId="3436B69D" w:rsidR="0071775A" w:rsidRPr="00886097" w:rsidRDefault="00AA4E69" w:rsidP="0071775A">
            <w:pPr>
              <w:rPr>
                <w:color w:val="FF0000"/>
                <w:sz w:val="20"/>
                <w:szCs w:val="20"/>
              </w:rPr>
            </w:pPr>
            <w:r>
              <w:rPr>
                <w:sz w:val="20"/>
                <w:szCs w:val="20"/>
              </w:rPr>
              <w:t>Additional treatment options given current drug formulary for hyperkalemic OHCA</w:t>
            </w:r>
            <w:r w:rsidR="00886097">
              <w:rPr>
                <w:sz w:val="20"/>
                <w:szCs w:val="20"/>
              </w:rPr>
              <w:t xml:space="preserve">; </w:t>
            </w:r>
          </w:p>
        </w:tc>
      </w:tr>
      <w:tr w:rsidR="004045BB" w:rsidRPr="0071775A" w14:paraId="1536FADC" w14:textId="77777777" w:rsidTr="00C74E5D">
        <w:tc>
          <w:tcPr>
            <w:tcW w:w="1474" w:type="dxa"/>
            <w:shd w:val="clear" w:color="auto" w:fill="D9D9D9" w:themeFill="background1" w:themeFillShade="D9"/>
          </w:tcPr>
          <w:p w14:paraId="09672DF8" w14:textId="0C504734" w:rsidR="004045BB" w:rsidRDefault="004045BB" w:rsidP="0071775A">
            <w:pPr>
              <w:rPr>
                <w:sz w:val="20"/>
                <w:szCs w:val="20"/>
              </w:rPr>
            </w:pPr>
            <w:r>
              <w:rPr>
                <w:sz w:val="20"/>
                <w:szCs w:val="20"/>
              </w:rPr>
              <w:t>Red 8/#15</w:t>
            </w:r>
          </w:p>
        </w:tc>
        <w:tc>
          <w:tcPr>
            <w:tcW w:w="2130" w:type="dxa"/>
          </w:tcPr>
          <w:p w14:paraId="565B35E5" w14:textId="65BF3F10" w:rsidR="004045BB" w:rsidRDefault="004045BB" w:rsidP="0071775A">
            <w:pPr>
              <w:rPr>
                <w:sz w:val="20"/>
                <w:szCs w:val="20"/>
              </w:rPr>
            </w:pPr>
            <w:r>
              <w:rPr>
                <w:sz w:val="20"/>
                <w:szCs w:val="20"/>
              </w:rPr>
              <w:t>Remove “post resuscitation amiodarone drip”</w:t>
            </w:r>
          </w:p>
        </w:tc>
        <w:tc>
          <w:tcPr>
            <w:tcW w:w="2037" w:type="dxa"/>
          </w:tcPr>
          <w:p w14:paraId="042F71E1" w14:textId="3239933A" w:rsidR="004045BB" w:rsidRDefault="004045BB" w:rsidP="0071775A">
            <w:pPr>
              <w:rPr>
                <w:sz w:val="20"/>
                <w:szCs w:val="20"/>
              </w:rPr>
            </w:pPr>
            <w:r>
              <w:rPr>
                <w:sz w:val="20"/>
                <w:szCs w:val="20"/>
              </w:rPr>
              <w:t xml:space="preserve">Amiodarone bolus is </w:t>
            </w:r>
            <w:r w:rsidR="00C74E5D">
              <w:rPr>
                <w:sz w:val="20"/>
                <w:szCs w:val="20"/>
              </w:rPr>
              <w:t>adequate</w:t>
            </w:r>
          </w:p>
        </w:tc>
        <w:tc>
          <w:tcPr>
            <w:tcW w:w="2108" w:type="dxa"/>
          </w:tcPr>
          <w:p w14:paraId="2B30767E" w14:textId="71C8A9CF" w:rsidR="004045BB" w:rsidRPr="0071775A" w:rsidRDefault="00C74E5D" w:rsidP="0071775A">
            <w:pPr>
              <w:rPr>
                <w:sz w:val="20"/>
                <w:szCs w:val="20"/>
              </w:rPr>
            </w:pPr>
            <w:r>
              <w:rPr>
                <w:sz w:val="20"/>
                <w:szCs w:val="20"/>
              </w:rPr>
              <w:t>Section Author Review</w:t>
            </w:r>
          </w:p>
        </w:tc>
        <w:tc>
          <w:tcPr>
            <w:tcW w:w="2205" w:type="dxa"/>
          </w:tcPr>
          <w:p w14:paraId="7D3E8AA0" w14:textId="17C20B9E" w:rsidR="004045BB" w:rsidRPr="0071775A" w:rsidRDefault="004045BB" w:rsidP="0071775A">
            <w:pPr>
              <w:rPr>
                <w:sz w:val="20"/>
                <w:szCs w:val="20"/>
              </w:rPr>
            </w:pPr>
            <w:r>
              <w:rPr>
                <w:sz w:val="20"/>
                <w:szCs w:val="20"/>
              </w:rPr>
              <w:t>Education</w:t>
            </w:r>
          </w:p>
        </w:tc>
        <w:tc>
          <w:tcPr>
            <w:tcW w:w="1289" w:type="dxa"/>
          </w:tcPr>
          <w:p w14:paraId="63590792" w14:textId="7112A1E0" w:rsidR="004045BB" w:rsidRDefault="004045BB" w:rsidP="0071775A">
            <w:pPr>
              <w:rPr>
                <w:sz w:val="20"/>
                <w:szCs w:val="20"/>
              </w:rPr>
            </w:pPr>
            <w:r>
              <w:rPr>
                <w:sz w:val="20"/>
                <w:szCs w:val="20"/>
              </w:rPr>
              <w:t>Small</w:t>
            </w:r>
          </w:p>
        </w:tc>
        <w:tc>
          <w:tcPr>
            <w:tcW w:w="1707" w:type="dxa"/>
          </w:tcPr>
          <w:p w14:paraId="527E5E72" w14:textId="77777777" w:rsidR="004045BB" w:rsidRDefault="00545CF0" w:rsidP="0071775A">
            <w:pPr>
              <w:rPr>
                <w:sz w:val="20"/>
                <w:szCs w:val="20"/>
              </w:rPr>
            </w:pPr>
            <w:proofErr w:type="gramStart"/>
            <w:r>
              <w:rPr>
                <w:sz w:val="20"/>
                <w:szCs w:val="20"/>
              </w:rPr>
              <w:t>P</w:t>
            </w:r>
            <w:r w:rsidR="0064383A">
              <w:rPr>
                <w:sz w:val="20"/>
                <w:szCs w:val="20"/>
              </w:rPr>
              <w:t>harmacokinetics</w:t>
            </w:r>
            <w:r>
              <w:rPr>
                <w:sz w:val="20"/>
                <w:szCs w:val="20"/>
              </w:rPr>
              <w:t>;</w:t>
            </w:r>
            <w:proofErr w:type="gramEnd"/>
            <w:r>
              <w:rPr>
                <w:sz w:val="20"/>
                <w:szCs w:val="20"/>
              </w:rPr>
              <w:t xml:space="preserve"> </w:t>
            </w:r>
          </w:p>
          <w:p w14:paraId="69845829" w14:textId="70BC1F85" w:rsidR="002B24F1" w:rsidRDefault="002B24F1" w:rsidP="0071775A">
            <w:pPr>
              <w:rPr>
                <w:sz w:val="20"/>
                <w:szCs w:val="20"/>
              </w:rPr>
            </w:pPr>
          </w:p>
        </w:tc>
      </w:tr>
      <w:tr w:rsidR="0017636A" w:rsidRPr="0071775A" w14:paraId="11E02C0B" w14:textId="77777777" w:rsidTr="00C74E5D">
        <w:tc>
          <w:tcPr>
            <w:tcW w:w="1474" w:type="dxa"/>
            <w:shd w:val="clear" w:color="auto" w:fill="D9D9D9" w:themeFill="background1" w:themeFillShade="D9"/>
          </w:tcPr>
          <w:p w14:paraId="5F9BF648" w14:textId="32264124" w:rsidR="0017636A" w:rsidRDefault="0017636A" w:rsidP="0071775A">
            <w:pPr>
              <w:rPr>
                <w:sz w:val="20"/>
                <w:szCs w:val="20"/>
              </w:rPr>
            </w:pPr>
            <w:r>
              <w:rPr>
                <w:sz w:val="20"/>
                <w:szCs w:val="20"/>
              </w:rPr>
              <w:t>Red 9</w:t>
            </w:r>
          </w:p>
        </w:tc>
        <w:tc>
          <w:tcPr>
            <w:tcW w:w="2130" w:type="dxa"/>
          </w:tcPr>
          <w:p w14:paraId="7D440B48" w14:textId="21E9F352" w:rsidR="0017636A" w:rsidRDefault="0017636A" w:rsidP="0071775A">
            <w:pPr>
              <w:rPr>
                <w:sz w:val="20"/>
                <w:szCs w:val="20"/>
              </w:rPr>
            </w:pPr>
            <w:r>
              <w:rPr>
                <w:sz w:val="20"/>
                <w:szCs w:val="20"/>
              </w:rPr>
              <w:t>Addition of Hospital “H” to peripartum paragraph</w:t>
            </w:r>
          </w:p>
        </w:tc>
        <w:tc>
          <w:tcPr>
            <w:tcW w:w="2037" w:type="dxa"/>
          </w:tcPr>
          <w:p w14:paraId="3671D546" w14:textId="5C59A2A8" w:rsidR="0017636A" w:rsidRDefault="00C74E5D" w:rsidP="0071775A">
            <w:pPr>
              <w:rPr>
                <w:sz w:val="20"/>
                <w:szCs w:val="20"/>
              </w:rPr>
            </w:pPr>
            <w:r>
              <w:rPr>
                <w:sz w:val="20"/>
                <w:szCs w:val="20"/>
              </w:rPr>
              <w:t>Highlight value of medical consultation in complex patients</w:t>
            </w:r>
          </w:p>
        </w:tc>
        <w:tc>
          <w:tcPr>
            <w:tcW w:w="2108" w:type="dxa"/>
          </w:tcPr>
          <w:p w14:paraId="480FABAE" w14:textId="65D1E671" w:rsidR="0017636A" w:rsidRPr="0071775A" w:rsidRDefault="00C74E5D" w:rsidP="0071775A">
            <w:pPr>
              <w:rPr>
                <w:sz w:val="20"/>
                <w:szCs w:val="20"/>
              </w:rPr>
            </w:pPr>
            <w:r>
              <w:rPr>
                <w:sz w:val="20"/>
                <w:szCs w:val="20"/>
              </w:rPr>
              <w:t>Section Author Review</w:t>
            </w:r>
          </w:p>
        </w:tc>
        <w:tc>
          <w:tcPr>
            <w:tcW w:w="2205" w:type="dxa"/>
          </w:tcPr>
          <w:p w14:paraId="1C3A1678" w14:textId="33A255A4" w:rsidR="0017636A" w:rsidRDefault="00C74E5D" w:rsidP="0071775A">
            <w:pPr>
              <w:rPr>
                <w:sz w:val="20"/>
                <w:szCs w:val="20"/>
              </w:rPr>
            </w:pPr>
            <w:r>
              <w:rPr>
                <w:sz w:val="20"/>
                <w:szCs w:val="20"/>
              </w:rPr>
              <w:t>N</w:t>
            </w:r>
            <w:r w:rsidR="0017636A">
              <w:rPr>
                <w:sz w:val="20"/>
                <w:szCs w:val="20"/>
              </w:rPr>
              <w:t>one</w:t>
            </w:r>
          </w:p>
        </w:tc>
        <w:tc>
          <w:tcPr>
            <w:tcW w:w="1289" w:type="dxa"/>
          </w:tcPr>
          <w:p w14:paraId="7B7CAE6A" w14:textId="69037427" w:rsidR="0017636A" w:rsidRDefault="0017636A" w:rsidP="0071775A">
            <w:pPr>
              <w:rPr>
                <w:sz w:val="20"/>
                <w:szCs w:val="20"/>
              </w:rPr>
            </w:pPr>
            <w:r>
              <w:rPr>
                <w:sz w:val="20"/>
                <w:szCs w:val="20"/>
              </w:rPr>
              <w:t>Small</w:t>
            </w:r>
          </w:p>
        </w:tc>
        <w:tc>
          <w:tcPr>
            <w:tcW w:w="1707" w:type="dxa"/>
          </w:tcPr>
          <w:p w14:paraId="793C1AE1" w14:textId="5551AC79" w:rsidR="0017636A" w:rsidRDefault="0017636A" w:rsidP="0071775A">
            <w:pPr>
              <w:rPr>
                <w:sz w:val="20"/>
                <w:szCs w:val="20"/>
              </w:rPr>
            </w:pPr>
            <w:r>
              <w:rPr>
                <w:sz w:val="20"/>
                <w:szCs w:val="20"/>
              </w:rPr>
              <w:t>Visual aid</w:t>
            </w:r>
          </w:p>
        </w:tc>
      </w:tr>
      <w:tr w:rsidR="005366E3" w:rsidRPr="0071775A" w14:paraId="1EF93F0B" w14:textId="77777777" w:rsidTr="00C74E5D">
        <w:tc>
          <w:tcPr>
            <w:tcW w:w="1474" w:type="dxa"/>
            <w:shd w:val="clear" w:color="auto" w:fill="D9D9D9" w:themeFill="background1" w:themeFillShade="D9"/>
          </w:tcPr>
          <w:p w14:paraId="4087707C" w14:textId="753CE1F5" w:rsidR="005366E3" w:rsidRDefault="005366E3" w:rsidP="0071775A">
            <w:pPr>
              <w:rPr>
                <w:sz w:val="20"/>
                <w:szCs w:val="20"/>
              </w:rPr>
            </w:pPr>
            <w:r>
              <w:rPr>
                <w:sz w:val="20"/>
                <w:szCs w:val="20"/>
              </w:rPr>
              <w:t>Red 17/ #9a</w:t>
            </w:r>
          </w:p>
        </w:tc>
        <w:tc>
          <w:tcPr>
            <w:tcW w:w="2130" w:type="dxa"/>
          </w:tcPr>
          <w:p w14:paraId="361F8BCF" w14:textId="77777777" w:rsidR="005366E3" w:rsidRDefault="005366E3" w:rsidP="0071775A">
            <w:pPr>
              <w:rPr>
                <w:sz w:val="20"/>
                <w:szCs w:val="20"/>
              </w:rPr>
            </w:pPr>
            <w:r>
              <w:rPr>
                <w:sz w:val="20"/>
                <w:szCs w:val="20"/>
              </w:rPr>
              <w:t xml:space="preserve">Modify the </w:t>
            </w:r>
            <w:proofErr w:type="spellStart"/>
            <w:r>
              <w:rPr>
                <w:sz w:val="20"/>
                <w:szCs w:val="20"/>
              </w:rPr>
              <w:t>valsavla</w:t>
            </w:r>
            <w:proofErr w:type="spellEnd"/>
            <w:r>
              <w:rPr>
                <w:sz w:val="20"/>
                <w:szCs w:val="20"/>
              </w:rPr>
              <w:t>?</w:t>
            </w:r>
          </w:p>
          <w:p w14:paraId="26F32029" w14:textId="67A990A9" w:rsidR="005B4311" w:rsidRDefault="005B4311" w:rsidP="0071775A">
            <w:pPr>
              <w:rPr>
                <w:sz w:val="20"/>
                <w:szCs w:val="20"/>
              </w:rPr>
            </w:pPr>
            <w:r>
              <w:rPr>
                <w:sz w:val="20"/>
                <w:szCs w:val="20"/>
              </w:rPr>
              <w:t>“</w:t>
            </w:r>
            <w:r w:rsidRPr="005B4311">
              <w:rPr>
                <w:sz w:val="20"/>
                <w:szCs w:val="20"/>
              </w:rPr>
              <w:t>Place stretcher flat. Position patient seated upright and have patient blow into a 10cc syringe forcefully, attempting to move the plunger for 15 sec. Then, immediately lay the patient supine and raise legs to 45 degrees. Hold legs for 1 min, then return to seated position. Reassess. May repeat once.</w:t>
            </w:r>
            <w:r>
              <w:rPr>
                <w:sz w:val="20"/>
                <w:szCs w:val="20"/>
              </w:rPr>
              <w:t>”</w:t>
            </w:r>
          </w:p>
        </w:tc>
        <w:tc>
          <w:tcPr>
            <w:tcW w:w="2037" w:type="dxa"/>
          </w:tcPr>
          <w:p w14:paraId="582599F0" w14:textId="0821CD8C" w:rsidR="005366E3" w:rsidRDefault="005366E3" w:rsidP="0071775A">
            <w:pPr>
              <w:rPr>
                <w:sz w:val="20"/>
                <w:szCs w:val="20"/>
              </w:rPr>
            </w:pPr>
            <w:r>
              <w:rPr>
                <w:sz w:val="20"/>
                <w:szCs w:val="20"/>
              </w:rPr>
              <w:t>REVERT trial</w:t>
            </w:r>
          </w:p>
        </w:tc>
        <w:tc>
          <w:tcPr>
            <w:tcW w:w="2108" w:type="dxa"/>
          </w:tcPr>
          <w:p w14:paraId="358F6C3F" w14:textId="77777777" w:rsidR="005366E3" w:rsidRPr="0071775A" w:rsidRDefault="005366E3" w:rsidP="0071775A">
            <w:pPr>
              <w:rPr>
                <w:sz w:val="20"/>
                <w:szCs w:val="20"/>
              </w:rPr>
            </w:pPr>
          </w:p>
        </w:tc>
        <w:tc>
          <w:tcPr>
            <w:tcW w:w="2205" w:type="dxa"/>
          </w:tcPr>
          <w:p w14:paraId="5A38817B" w14:textId="0D859264" w:rsidR="005366E3" w:rsidRDefault="005366E3" w:rsidP="0071775A">
            <w:pPr>
              <w:rPr>
                <w:sz w:val="20"/>
                <w:szCs w:val="20"/>
              </w:rPr>
            </w:pPr>
            <w:r>
              <w:rPr>
                <w:sz w:val="20"/>
                <w:szCs w:val="20"/>
              </w:rPr>
              <w:t>Educational</w:t>
            </w:r>
          </w:p>
        </w:tc>
        <w:tc>
          <w:tcPr>
            <w:tcW w:w="1289" w:type="dxa"/>
          </w:tcPr>
          <w:p w14:paraId="44CC284C" w14:textId="44897FFA" w:rsidR="005366E3" w:rsidRDefault="005366E3" w:rsidP="0071775A">
            <w:pPr>
              <w:rPr>
                <w:sz w:val="20"/>
                <w:szCs w:val="20"/>
              </w:rPr>
            </w:pPr>
            <w:r>
              <w:rPr>
                <w:sz w:val="20"/>
                <w:szCs w:val="20"/>
              </w:rPr>
              <w:t>Small</w:t>
            </w:r>
          </w:p>
        </w:tc>
        <w:tc>
          <w:tcPr>
            <w:tcW w:w="1707" w:type="dxa"/>
          </w:tcPr>
          <w:p w14:paraId="6732B290" w14:textId="362360CC" w:rsidR="005366E3" w:rsidRDefault="00BA21D1" w:rsidP="0071775A">
            <w:pPr>
              <w:rPr>
                <w:sz w:val="20"/>
                <w:szCs w:val="20"/>
              </w:rPr>
            </w:pPr>
            <w:r>
              <w:rPr>
                <w:sz w:val="20"/>
                <w:szCs w:val="20"/>
              </w:rPr>
              <w:t xml:space="preserve">Improve treatment of SVT with new modifications of the Valsalva maneuver that are more successful than traditional maneuvers </w:t>
            </w:r>
          </w:p>
        </w:tc>
      </w:tr>
      <w:tr w:rsidR="004045BB" w:rsidRPr="0071775A" w14:paraId="0F2B00DF" w14:textId="77777777" w:rsidTr="00C74E5D">
        <w:tc>
          <w:tcPr>
            <w:tcW w:w="1474" w:type="dxa"/>
            <w:shd w:val="clear" w:color="auto" w:fill="D9D9D9" w:themeFill="background1" w:themeFillShade="D9"/>
          </w:tcPr>
          <w:p w14:paraId="6D1BEF89" w14:textId="268E8C03" w:rsidR="004045BB" w:rsidRDefault="004045BB" w:rsidP="0071775A">
            <w:pPr>
              <w:rPr>
                <w:sz w:val="20"/>
                <w:szCs w:val="20"/>
              </w:rPr>
            </w:pPr>
            <w:r>
              <w:rPr>
                <w:sz w:val="20"/>
                <w:szCs w:val="20"/>
              </w:rPr>
              <w:lastRenderedPageBreak/>
              <w:t>Red 17/ #9b</w:t>
            </w:r>
          </w:p>
        </w:tc>
        <w:tc>
          <w:tcPr>
            <w:tcW w:w="2130" w:type="dxa"/>
          </w:tcPr>
          <w:p w14:paraId="63C15C9E" w14:textId="76DC9D24" w:rsidR="004045BB" w:rsidRDefault="004045BB" w:rsidP="0071775A">
            <w:pPr>
              <w:rPr>
                <w:sz w:val="20"/>
                <w:szCs w:val="20"/>
              </w:rPr>
            </w:pPr>
            <w:r>
              <w:rPr>
                <w:sz w:val="20"/>
                <w:szCs w:val="20"/>
              </w:rPr>
              <w:t>Adenosine: 6mg IV rapid bolus, “may repeat adenosine x1 at 12mg…” change to “may repeat x2 at 12mg IV…”</w:t>
            </w:r>
          </w:p>
        </w:tc>
        <w:tc>
          <w:tcPr>
            <w:tcW w:w="2037" w:type="dxa"/>
          </w:tcPr>
          <w:p w14:paraId="0C0B115D" w14:textId="4548E88E" w:rsidR="004045BB" w:rsidRDefault="004045BB" w:rsidP="0071775A">
            <w:pPr>
              <w:rPr>
                <w:sz w:val="20"/>
                <w:szCs w:val="20"/>
              </w:rPr>
            </w:pPr>
            <w:r>
              <w:rPr>
                <w:sz w:val="20"/>
                <w:szCs w:val="20"/>
              </w:rPr>
              <w:t>ACLS protocols allow for 3 total doses of adenosine at 6mg, 12mg, 12mg. Current protocol only allows for 2 doses.</w:t>
            </w:r>
          </w:p>
        </w:tc>
        <w:tc>
          <w:tcPr>
            <w:tcW w:w="2108" w:type="dxa"/>
          </w:tcPr>
          <w:p w14:paraId="1FA5C8D8" w14:textId="77777777" w:rsidR="004045BB" w:rsidRPr="0071775A" w:rsidRDefault="004045BB" w:rsidP="0071775A">
            <w:pPr>
              <w:rPr>
                <w:sz w:val="20"/>
                <w:szCs w:val="20"/>
              </w:rPr>
            </w:pPr>
          </w:p>
        </w:tc>
        <w:tc>
          <w:tcPr>
            <w:tcW w:w="2205" w:type="dxa"/>
          </w:tcPr>
          <w:p w14:paraId="3616D8D1" w14:textId="3FF71E3B" w:rsidR="004045BB" w:rsidRPr="0071775A" w:rsidRDefault="00C74E5D" w:rsidP="0071775A">
            <w:pPr>
              <w:rPr>
                <w:sz w:val="20"/>
                <w:szCs w:val="20"/>
              </w:rPr>
            </w:pPr>
            <w:r>
              <w:rPr>
                <w:sz w:val="20"/>
                <w:szCs w:val="20"/>
              </w:rPr>
              <w:t>Education</w:t>
            </w:r>
          </w:p>
        </w:tc>
        <w:tc>
          <w:tcPr>
            <w:tcW w:w="1289" w:type="dxa"/>
          </w:tcPr>
          <w:p w14:paraId="2588954E" w14:textId="7BE00E13" w:rsidR="004045BB" w:rsidRDefault="004045BB" w:rsidP="0071775A">
            <w:pPr>
              <w:rPr>
                <w:sz w:val="20"/>
                <w:szCs w:val="20"/>
              </w:rPr>
            </w:pPr>
            <w:r>
              <w:rPr>
                <w:sz w:val="20"/>
                <w:szCs w:val="20"/>
              </w:rPr>
              <w:t>Small</w:t>
            </w:r>
          </w:p>
        </w:tc>
        <w:tc>
          <w:tcPr>
            <w:tcW w:w="1707" w:type="dxa"/>
          </w:tcPr>
          <w:p w14:paraId="03D4A0D7" w14:textId="39A1F72E" w:rsidR="004045BB" w:rsidRDefault="00BA21D1" w:rsidP="0071775A">
            <w:pPr>
              <w:rPr>
                <w:sz w:val="20"/>
                <w:szCs w:val="20"/>
              </w:rPr>
            </w:pPr>
            <w:r>
              <w:rPr>
                <w:sz w:val="20"/>
                <w:szCs w:val="20"/>
              </w:rPr>
              <w:t xml:space="preserve">Align with AHA protocols </w:t>
            </w:r>
          </w:p>
        </w:tc>
      </w:tr>
      <w:tr w:rsidR="00C74E5D" w:rsidRPr="0071775A" w14:paraId="3AEF70C7" w14:textId="77777777" w:rsidTr="00C74E5D">
        <w:tc>
          <w:tcPr>
            <w:tcW w:w="1474" w:type="dxa"/>
            <w:shd w:val="clear" w:color="auto" w:fill="D9D9D9" w:themeFill="background1" w:themeFillShade="D9"/>
          </w:tcPr>
          <w:p w14:paraId="5A85156D" w14:textId="049FCC7B" w:rsidR="00C74E5D" w:rsidRDefault="00C74E5D" w:rsidP="00C74E5D">
            <w:pPr>
              <w:rPr>
                <w:sz w:val="20"/>
                <w:szCs w:val="20"/>
              </w:rPr>
            </w:pPr>
            <w:r>
              <w:rPr>
                <w:sz w:val="20"/>
                <w:szCs w:val="20"/>
              </w:rPr>
              <w:t>Red 18/ Paramedic</w:t>
            </w:r>
          </w:p>
        </w:tc>
        <w:tc>
          <w:tcPr>
            <w:tcW w:w="2130" w:type="dxa"/>
          </w:tcPr>
          <w:p w14:paraId="3E93D708" w14:textId="56F1FB8F" w:rsidR="00C74E5D" w:rsidRDefault="00C74E5D" w:rsidP="00C74E5D">
            <w:pPr>
              <w:rPr>
                <w:sz w:val="20"/>
                <w:szCs w:val="20"/>
              </w:rPr>
            </w:pPr>
            <w:r>
              <w:rPr>
                <w:sz w:val="20"/>
                <w:szCs w:val="20"/>
              </w:rPr>
              <w:t>Insert “</w:t>
            </w:r>
            <w:r w:rsidRPr="000073E7">
              <w:rPr>
                <w:sz w:val="20"/>
                <w:szCs w:val="20"/>
              </w:rPr>
              <w:t xml:space="preserve">8. Check mechanical capture frequently (every 2 minutes) by palpating a pulse, ensuring that it matches the paced rate. </w:t>
            </w:r>
            <w:r>
              <w:rPr>
                <w:sz w:val="20"/>
                <w:szCs w:val="20"/>
              </w:rPr>
              <w:t>“</w:t>
            </w:r>
          </w:p>
        </w:tc>
        <w:tc>
          <w:tcPr>
            <w:tcW w:w="2037" w:type="dxa"/>
          </w:tcPr>
          <w:p w14:paraId="48AD1EFA" w14:textId="277CBD23" w:rsidR="00C74E5D" w:rsidRDefault="00C74E5D" w:rsidP="00C74E5D">
            <w:pPr>
              <w:rPr>
                <w:sz w:val="20"/>
                <w:szCs w:val="20"/>
              </w:rPr>
            </w:pPr>
            <w:r>
              <w:rPr>
                <w:sz w:val="20"/>
                <w:szCs w:val="20"/>
              </w:rPr>
              <w:t>Improve care based on QI experiences</w:t>
            </w:r>
          </w:p>
        </w:tc>
        <w:tc>
          <w:tcPr>
            <w:tcW w:w="2108" w:type="dxa"/>
          </w:tcPr>
          <w:p w14:paraId="348A4B31" w14:textId="556DA1C0" w:rsidR="00C74E5D" w:rsidRPr="0071775A" w:rsidRDefault="00C74E5D" w:rsidP="00C74E5D">
            <w:pPr>
              <w:rPr>
                <w:sz w:val="20"/>
                <w:szCs w:val="20"/>
              </w:rPr>
            </w:pPr>
            <w:r>
              <w:rPr>
                <w:sz w:val="20"/>
                <w:szCs w:val="20"/>
              </w:rPr>
              <w:t>Section author review</w:t>
            </w:r>
          </w:p>
        </w:tc>
        <w:tc>
          <w:tcPr>
            <w:tcW w:w="2205" w:type="dxa"/>
          </w:tcPr>
          <w:p w14:paraId="38735FA2" w14:textId="343D3F73" w:rsidR="00C74E5D" w:rsidRPr="0071775A" w:rsidRDefault="00C74E5D" w:rsidP="00C74E5D">
            <w:pPr>
              <w:rPr>
                <w:sz w:val="20"/>
                <w:szCs w:val="20"/>
              </w:rPr>
            </w:pPr>
            <w:r>
              <w:rPr>
                <w:sz w:val="20"/>
                <w:szCs w:val="20"/>
              </w:rPr>
              <w:t>Educational</w:t>
            </w:r>
          </w:p>
        </w:tc>
        <w:tc>
          <w:tcPr>
            <w:tcW w:w="1289" w:type="dxa"/>
          </w:tcPr>
          <w:p w14:paraId="3D28929C" w14:textId="14A309CF" w:rsidR="00C74E5D" w:rsidRDefault="00C74E5D" w:rsidP="00C74E5D">
            <w:pPr>
              <w:rPr>
                <w:sz w:val="20"/>
                <w:szCs w:val="20"/>
              </w:rPr>
            </w:pPr>
            <w:r>
              <w:rPr>
                <w:sz w:val="20"/>
                <w:szCs w:val="20"/>
              </w:rPr>
              <w:t>Small</w:t>
            </w:r>
          </w:p>
        </w:tc>
        <w:tc>
          <w:tcPr>
            <w:tcW w:w="1707" w:type="dxa"/>
          </w:tcPr>
          <w:p w14:paraId="588D2C75" w14:textId="22333984" w:rsidR="00C74E5D" w:rsidRDefault="00C74E5D" w:rsidP="00C74E5D">
            <w:pPr>
              <w:rPr>
                <w:sz w:val="20"/>
                <w:szCs w:val="20"/>
              </w:rPr>
            </w:pPr>
            <w:r>
              <w:rPr>
                <w:sz w:val="20"/>
                <w:szCs w:val="20"/>
              </w:rPr>
              <w:t xml:space="preserve">Ensure adequate mechanical capture in patients undergoing transcutaneous pacing </w:t>
            </w:r>
          </w:p>
        </w:tc>
      </w:tr>
      <w:tr w:rsidR="00C74E5D" w:rsidRPr="0071775A" w14:paraId="2DBC5C6F" w14:textId="77777777" w:rsidTr="00C74E5D">
        <w:tc>
          <w:tcPr>
            <w:tcW w:w="1474" w:type="dxa"/>
            <w:shd w:val="clear" w:color="auto" w:fill="D9D9D9" w:themeFill="background1" w:themeFillShade="D9"/>
          </w:tcPr>
          <w:p w14:paraId="2FA3EEA8" w14:textId="5BDC6859" w:rsidR="00C74E5D" w:rsidRDefault="00C74E5D" w:rsidP="00C74E5D">
            <w:pPr>
              <w:rPr>
                <w:sz w:val="20"/>
                <w:szCs w:val="20"/>
              </w:rPr>
            </w:pPr>
            <w:r>
              <w:rPr>
                <w:sz w:val="20"/>
                <w:szCs w:val="20"/>
              </w:rPr>
              <w:t>Red 18</w:t>
            </w:r>
          </w:p>
        </w:tc>
        <w:tc>
          <w:tcPr>
            <w:tcW w:w="2130" w:type="dxa"/>
          </w:tcPr>
          <w:p w14:paraId="3F077647" w14:textId="5AAA56E9" w:rsidR="00C74E5D" w:rsidRDefault="00C74E5D" w:rsidP="00C74E5D">
            <w:pPr>
              <w:rPr>
                <w:sz w:val="20"/>
                <w:szCs w:val="20"/>
              </w:rPr>
            </w:pPr>
            <w:r>
              <w:rPr>
                <w:sz w:val="20"/>
                <w:szCs w:val="20"/>
              </w:rPr>
              <w:t xml:space="preserve">Insert: </w:t>
            </w:r>
            <w:r w:rsidRPr="00BA21D1">
              <w:rPr>
                <w:sz w:val="20"/>
                <w:szCs w:val="20"/>
              </w:rPr>
              <w:t>“Post-ROSC bradycardia is a peri-arrest state. For the patient who has achieved ROSC and becomes bradycardic, be very cautious. Typically, these causes do not respond durably to TCP alone. In addition to TCP, consider early initiation of Norepinephrine and refer to the post arrest protocol. Check mechanical capture every 2 minutes and restart CPR if no pulse.”</w:t>
            </w:r>
          </w:p>
        </w:tc>
        <w:tc>
          <w:tcPr>
            <w:tcW w:w="2037" w:type="dxa"/>
          </w:tcPr>
          <w:p w14:paraId="1C515411" w14:textId="6A3FDBD8" w:rsidR="00C74E5D" w:rsidRDefault="00C74E5D" w:rsidP="00C74E5D">
            <w:pPr>
              <w:rPr>
                <w:sz w:val="20"/>
                <w:szCs w:val="20"/>
              </w:rPr>
            </w:pPr>
            <w:r>
              <w:rPr>
                <w:sz w:val="20"/>
                <w:szCs w:val="20"/>
              </w:rPr>
              <w:t>Improve care based on QI experiences</w:t>
            </w:r>
          </w:p>
        </w:tc>
        <w:tc>
          <w:tcPr>
            <w:tcW w:w="2108" w:type="dxa"/>
          </w:tcPr>
          <w:p w14:paraId="7712D495" w14:textId="375F7650" w:rsidR="00C74E5D" w:rsidRPr="0071775A" w:rsidRDefault="00C74E5D" w:rsidP="00C74E5D">
            <w:pPr>
              <w:rPr>
                <w:sz w:val="20"/>
                <w:szCs w:val="20"/>
              </w:rPr>
            </w:pPr>
            <w:r>
              <w:rPr>
                <w:sz w:val="20"/>
                <w:szCs w:val="20"/>
              </w:rPr>
              <w:t>Section author review</w:t>
            </w:r>
          </w:p>
        </w:tc>
        <w:tc>
          <w:tcPr>
            <w:tcW w:w="2205" w:type="dxa"/>
          </w:tcPr>
          <w:p w14:paraId="2872521D" w14:textId="5AFF5B88" w:rsidR="00C74E5D" w:rsidRPr="0071775A" w:rsidRDefault="00C74E5D" w:rsidP="00C74E5D">
            <w:pPr>
              <w:rPr>
                <w:sz w:val="20"/>
                <w:szCs w:val="20"/>
              </w:rPr>
            </w:pPr>
            <w:r>
              <w:rPr>
                <w:sz w:val="20"/>
                <w:szCs w:val="20"/>
              </w:rPr>
              <w:t>Educational</w:t>
            </w:r>
          </w:p>
        </w:tc>
        <w:tc>
          <w:tcPr>
            <w:tcW w:w="1289" w:type="dxa"/>
          </w:tcPr>
          <w:p w14:paraId="44C4F149" w14:textId="787DFE44" w:rsidR="00C74E5D" w:rsidRDefault="00C74E5D" w:rsidP="00C74E5D">
            <w:pPr>
              <w:rPr>
                <w:sz w:val="20"/>
                <w:szCs w:val="20"/>
              </w:rPr>
            </w:pPr>
            <w:r>
              <w:rPr>
                <w:sz w:val="20"/>
                <w:szCs w:val="20"/>
              </w:rPr>
              <w:t>Medium</w:t>
            </w:r>
          </w:p>
        </w:tc>
        <w:tc>
          <w:tcPr>
            <w:tcW w:w="1707" w:type="dxa"/>
          </w:tcPr>
          <w:p w14:paraId="526953B0" w14:textId="7667C925" w:rsidR="00C74E5D" w:rsidRPr="00214935" w:rsidRDefault="00C74E5D" w:rsidP="00C74E5D">
            <w:pPr>
              <w:rPr>
                <w:rFonts w:cstheme="minorHAnsi"/>
                <w:color w:val="FF0000"/>
                <w:sz w:val="20"/>
                <w:szCs w:val="20"/>
              </w:rPr>
            </w:pPr>
            <w:r w:rsidRPr="00BA21D1">
              <w:rPr>
                <w:rFonts w:cstheme="minorHAnsi"/>
                <w:color w:val="000000" w:themeColor="text1"/>
                <w:sz w:val="20"/>
                <w:szCs w:val="20"/>
              </w:rPr>
              <w:t>Address post arrest bradycardia by focusing on importance of pressors (</w:t>
            </w:r>
            <w:proofErr w:type="spellStart"/>
            <w:r w:rsidRPr="00BA21D1">
              <w:rPr>
                <w:rFonts w:cstheme="minorHAnsi"/>
                <w:color w:val="000000" w:themeColor="text1"/>
                <w:sz w:val="20"/>
                <w:szCs w:val="20"/>
              </w:rPr>
              <w:t>NorEPI</w:t>
            </w:r>
            <w:proofErr w:type="spellEnd"/>
            <w:r w:rsidRPr="00BA21D1">
              <w:rPr>
                <w:rFonts w:cstheme="minorHAnsi"/>
                <w:color w:val="000000" w:themeColor="text1"/>
                <w:sz w:val="20"/>
                <w:szCs w:val="20"/>
              </w:rPr>
              <w:t xml:space="preserve"> for the cardiogenic shock post-arrest patient) as TCP does not work well in this population.  Bradycar</w:t>
            </w:r>
            <w:r>
              <w:rPr>
                <w:rFonts w:cstheme="minorHAnsi"/>
                <w:color w:val="000000" w:themeColor="text1"/>
                <w:sz w:val="20"/>
                <w:szCs w:val="20"/>
              </w:rPr>
              <w:t>d</w:t>
            </w:r>
            <w:r w:rsidRPr="00BA21D1">
              <w:rPr>
                <w:rFonts w:cstheme="minorHAnsi"/>
                <w:color w:val="000000" w:themeColor="text1"/>
                <w:sz w:val="20"/>
                <w:szCs w:val="20"/>
              </w:rPr>
              <w:t xml:space="preserve">ia is a peri-arrest state and likely to degrade. </w:t>
            </w:r>
          </w:p>
        </w:tc>
      </w:tr>
      <w:tr w:rsidR="00C74E5D" w:rsidRPr="0071775A" w14:paraId="74C0F6BA" w14:textId="77777777" w:rsidTr="00C74E5D">
        <w:tc>
          <w:tcPr>
            <w:tcW w:w="1474" w:type="dxa"/>
            <w:shd w:val="clear" w:color="auto" w:fill="D9D9D9" w:themeFill="background1" w:themeFillShade="D9"/>
          </w:tcPr>
          <w:p w14:paraId="64A6DDD2" w14:textId="02CF671B" w:rsidR="00C74E5D" w:rsidRDefault="00C74E5D" w:rsidP="00C74E5D">
            <w:pPr>
              <w:rPr>
                <w:sz w:val="20"/>
                <w:szCs w:val="20"/>
              </w:rPr>
            </w:pPr>
            <w:r>
              <w:rPr>
                <w:sz w:val="20"/>
                <w:szCs w:val="20"/>
              </w:rPr>
              <w:t>Red 13</w:t>
            </w:r>
          </w:p>
        </w:tc>
        <w:tc>
          <w:tcPr>
            <w:tcW w:w="2130" w:type="dxa"/>
          </w:tcPr>
          <w:p w14:paraId="7098BECB" w14:textId="6B6C46CD" w:rsidR="00C74E5D" w:rsidRDefault="00C74E5D" w:rsidP="00C74E5D">
            <w:pPr>
              <w:rPr>
                <w:sz w:val="20"/>
                <w:szCs w:val="20"/>
              </w:rPr>
            </w:pPr>
            <w:r>
              <w:rPr>
                <w:sz w:val="20"/>
                <w:szCs w:val="20"/>
              </w:rPr>
              <w:t xml:space="preserve">Insert: </w:t>
            </w:r>
            <w:r w:rsidRPr="00BA21D1">
              <w:rPr>
                <w:sz w:val="20"/>
                <w:szCs w:val="20"/>
              </w:rPr>
              <w:t>“</w:t>
            </w:r>
            <w:r w:rsidRPr="00BA21D1">
              <w:rPr>
                <w:sz w:val="20"/>
                <w:szCs w:val="20"/>
              </w:rPr>
              <w:t xml:space="preserve">In the event that a patient arrests or re-arrests after leaving the scene and resuscitation efforts </w:t>
            </w:r>
            <w:r w:rsidRPr="00BA21D1">
              <w:rPr>
                <w:sz w:val="20"/>
                <w:szCs w:val="20"/>
              </w:rPr>
              <w:lastRenderedPageBreak/>
              <w:t>are unsuccessful, continue non-emergent transfer to the hospital for final steps of patient care. This pathway should also be considered for TOR’s that occur in unsafe or undesirable locations. Please discuss and pre-plan with your local hospitals to ensure that all local systems are involved</w:t>
            </w:r>
            <w:r w:rsidRPr="00BA21D1">
              <w:rPr>
                <w:sz w:val="20"/>
                <w:szCs w:val="20"/>
              </w:rPr>
              <w:t>”</w:t>
            </w:r>
          </w:p>
        </w:tc>
        <w:tc>
          <w:tcPr>
            <w:tcW w:w="2037" w:type="dxa"/>
          </w:tcPr>
          <w:p w14:paraId="2EDC551A" w14:textId="72D14969" w:rsidR="00C74E5D" w:rsidRDefault="00C74E5D" w:rsidP="00C74E5D">
            <w:pPr>
              <w:rPr>
                <w:sz w:val="20"/>
                <w:szCs w:val="20"/>
              </w:rPr>
            </w:pPr>
            <w:r>
              <w:rPr>
                <w:sz w:val="20"/>
                <w:szCs w:val="20"/>
              </w:rPr>
              <w:lastRenderedPageBreak/>
              <w:t>Protocolization of practices we have been supporting for several years</w:t>
            </w:r>
          </w:p>
        </w:tc>
        <w:tc>
          <w:tcPr>
            <w:tcW w:w="2108" w:type="dxa"/>
          </w:tcPr>
          <w:p w14:paraId="55B99AE3" w14:textId="74F14319" w:rsidR="00C74E5D" w:rsidRPr="0071775A" w:rsidRDefault="00C74E5D" w:rsidP="00C74E5D">
            <w:pPr>
              <w:rPr>
                <w:sz w:val="20"/>
                <w:szCs w:val="20"/>
              </w:rPr>
            </w:pPr>
            <w:r>
              <w:rPr>
                <w:sz w:val="20"/>
                <w:szCs w:val="20"/>
              </w:rPr>
              <w:t>Section author review</w:t>
            </w:r>
          </w:p>
        </w:tc>
        <w:tc>
          <w:tcPr>
            <w:tcW w:w="2205" w:type="dxa"/>
          </w:tcPr>
          <w:p w14:paraId="4C77EB81" w14:textId="1226634B" w:rsidR="00C74E5D" w:rsidRDefault="00C74E5D" w:rsidP="00C74E5D">
            <w:pPr>
              <w:rPr>
                <w:sz w:val="20"/>
                <w:szCs w:val="20"/>
              </w:rPr>
            </w:pPr>
            <w:r>
              <w:rPr>
                <w:sz w:val="20"/>
                <w:szCs w:val="20"/>
              </w:rPr>
              <w:t xml:space="preserve">Educational </w:t>
            </w:r>
          </w:p>
        </w:tc>
        <w:tc>
          <w:tcPr>
            <w:tcW w:w="1289" w:type="dxa"/>
          </w:tcPr>
          <w:p w14:paraId="2F928310" w14:textId="6BEF9B5B" w:rsidR="00C74E5D" w:rsidRDefault="00C74E5D" w:rsidP="00C74E5D">
            <w:pPr>
              <w:rPr>
                <w:sz w:val="20"/>
                <w:szCs w:val="20"/>
              </w:rPr>
            </w:pPr>
            <w:r>
              <w:rPr>
                <w:sz w:val="20"/>
                <w:szCs w:val="20"/>
              </w:rPr>
              <w:t>Small</w:t>
            </w:r>
          </w:p>
        </w:tc>
        <w:tc>
          <w:tcPr>
            <w:tcW w:w="1707" w:type="dxa"/>
          </w:tcPr>
          <w:p w14:paraId="22BAD66E" w14:textId="6A29E4DA" w:rsidR="00C74E5D" w:rsidRDefault="00C74E5D" w:rsidP="00C74E5D">
            <w:pPr>
              <w:rPr>
                <w:sz w:val="20"/>
                <w:szCs w:val="20"/>
              </w:rPr>
            </w:pPr>
            <w:r>
              <w:rPr>
                <w:sz w:val="20"/>
                <w:szCs w:val="20"/>
              </w:rPr>
              <w:t xml:space="preserve">Support of family and responding EMS Clinicians during tremendously </w:t>
            </w:r>
            <w:r>
              <w:rPr>
                <w:sz w:val="20"/>
                <w:szCs w:val="20"/>
              </w:rPr>
              <w:lastRenderedPageBreak/>
              <w:t xml:space="preserve">difficult clinical circumstances. </w:t>
            </w:r>
            <w:r>
              <w:rPr>
                <w:sz w:val="20"/>
                <w:szCs w:val="20"/>
              </w:rPr>
              <w:t>Practice consistency across the state based on our board’s best practice recommendation</w:t>
            </w:r>
          </w:p>
        </w:tc>
      </w:tr>
      <w:tr w:rsidR="00C74E5D" w:rsidRPr="0071775A" w14:paraId="4C01A3CE" w14:textId="77777777" w:rsidTr="00C74E5D">
        <w:tc>
          <w:tcPr>
            <w:tcW w:w="1474" w:type="dxa"/>
            <w:shd w:val="clear" w:color="auto" w:fill="D9D9D9" w:themeFill="background1" w:themeFillShade="D9"/>
          </w:tcPr>
          <w:p w14:paraId="360B2262" w14:textId="461F04A6" w:rsidR="00C74E5D" w:rsidRDefault="00C74E5D" w:rsidP="00C74E5D">
            <w:pPr>
              <w:rPr>
                <w:sz w:val="20"/>
                <w:szCs w:val="20"/>
              </w:rPr>
            </w:pPr>
            <w:r>
              <w:rPr>
                <w:sz w:val="20"/>
                <w:szCs w:val="20"/>
              </w:rPr>
              <w:lastRenderedPageBreak/>
              <w:t>Red 20/ PEARL</w:t>
            </w:r>
          </w:p>
        </w:tc>
        <w:tc>
          <w:tcPr>
            <w:tcW w:w="2130" w:type="dxa"/>
          </w:tcPr>
          <w:p w14:paraId="6432CED5" w14:textId="5CCE26D4" w:rsidR="00C74E5D" w:rsidRDefault="00C74E5D" w:rsidP="00C74E5D">
            <w:pPr>
              <w:rPr>
                <w:sz w:val="20"/>
                <w:szCs w:val="20"/>
              </w:rPr>
            </w:pPr>
            <w:r>
              <w:rPr>
                <w:sz w:val="20"/>
                <w:szCs w:val="20"/>
              </w:rPr>
              <w:t xml:space="preserve">Add </w:t>
            </w:r>
            <w:r w:rsidRPr="00B96154">
              <w:rPr>
                <w:sz w:val="20"/>
                <w:szCs w:val="20"/>
              </w:rPr>
              <w:t>"pediatric patients very rarely require vasopressors. If the patient is not responding to IVF or not tolerating IVF call OLMC to discuss”</w:t>
            </w:r>
          </w:p>
        </w:tc>
        <w:tc>
          <w:tcPr>
            <w:tcW w:w="2037" w:type="dxa"/>
          </w:tcPr>
          <w:p w14:paraId="0C35BB4A" w14:textId="085797D7" w:rsidR="00C74E5D" w:rsidRDefault="00C74E5D" w:rsidP="00C74E5D">
            <w:pPr>
              <w:rPr>
                <w:sz w:val="20"/>
                <w:szCs w:val="20"/>
              </w:rPr>
            </w:pPr>
            <w:r>
              <w:rPr>
                <w:sz w:val="20"/>
                <w:szCs w:val="20"/>
              </w:rPr>
              <w:t>Best practice</w:t>
            </w:r>
          </w:p>
        </w:tc>
        <w:tc>
          <w:tcPr>
            <w:tcW w:w="2108" w:type="dxa"/>
          </w:tcPr>
          <w:p w14:paraId="045ECDAB" w14:textId="66C8FA58" w:rsidR="00C74E5D" w:rsidRPr="0071775A" w:rsidRDefault="00C74E5D" w:rsidP="00C74E5D">
            <w:pPr>
              <w:rPr>
                <w:sz w:val="20"/>
                <w:szCs w:val="20"/>
              </w:rPr>
            </w:pPr>
            <w:r>
              <w:rPr>
                <w:sz w:val="20"/>
                <w:szCs w:val="20"/>
              </w:rPr>
              <w:t>Section author review</w:t>
            </w:r>
          </w:p>
        </w:tc>
        <w:tc>
          <w:tcPr>
            <w:tcW w:w="2205" w:type="dxa"/>
          </w:tcPr>
          <w:p w14:paraId="4404CD0C" w14:textId="3D59E429" w:rsidR="00C74E5D" w:rsidRDefault="00C74E5D" w:rsidP="00C74E5D">
            <w:pPr>
              <w:rPr>
                <w:sz w:val="20"/>
                <w:szCs w:val="20"/>
              </w:rPr>
            </w:pPr>
            <w:r>
              <w:rPr>
                <w:sz w:val="20"/>
                <w:szCs w:val="20"/>
              </w:rPr>
              <w:t xml:space="preserve">Educational </w:t>
            </w:r>
          </w:p>
        </w:tc>
        <w:tc>
          <w:tcPr>
            <w:tcW w:w="1289" w:type="dxa"/>
          </w:tcPr>
          <w:p w14:paraId="073B1A7B" w14:textId="1EB25A7F" w:rsidR="00C74E5D" w:rsidRDefault="00C74E5D" w:rsidP="00C74E5D">
            <w:pPr>
              <w:rPr>
                <w:sz w:val="20"/>
                <w:szCs w:val="20"/>
              </w:rPr>
            </w:pPr>
            <w:r>
              <w:rPr>
                <w:sz w:val="20"/>
                <w:szCs w:val="20"/>
              </w:rPr>
              <w:t>Small</w:t>
            </w:r>
          </w:p>
        </w:tc>
        <w:tc>
          <w:tcPr>
            <w:tcW w:w="1707" w:type="dxa"/>
          </w:tcPr>
          <w:p w14:paraId="0173A15A" w14:textId="23F5EB70" w:rsidR="00C74E5D" w:rsidRDefault="00C74E5D" w:rsidP="00C74E5D">
            <w:pPr>
              <w:rPr>
                <w:sz w:val="20"/>
                <w:szCs w:val="20"/>
              </w:rPr>
            </w:pPr>
            <w:r>
              <w:rPr>
                <w:sz w:val="20"/>
                <w:szCs w:val="20"/>
              </w:rPr>
              <w:t xml:space="preserve">Encourage OLMC Consultation in very ill pediatric patients; strategize the care of sick pediatric patients </w:t>
            </w:r>
          </w:p>
        </w:tc>
      </w:tr>
      <w:tr w:rsidR="00C74E5D" w:rsidRPr="0071775A" w14:paraId="0A5A6C37" w14:textId="77777777" w:rsidTr="00C74E5D">
        <w:tc>
          <w:tcPr>
            <w:tcW w:w="1474" w:type="dxa"/>
            <w:shd w:val="clear" w:color="auto" w:fill="D9D9D9" w:themeFill="background1" w:themeFillShade="D9"/>
          </w:tcPr>
          <w:p w14:paraId="26432B1C" w14:textId="766F8C04" w:rsidR="00C74E5D" w:rsidRDefault="00C74E5D" w:rsidP="00C74E5D">
            <w:pPr>
              <w:rPr>
                <w:sz w:val="20"/>
                <w:szCs w:val="20"/>
              </w:rPr>
            </w:pPr>
            <w:r>
              <w:rPr>
                <w:sz w:val="20"/>
                <w:szCs w:val="20"/>
              </w:rPr>
              <w:t>Red 21/ PEARL</w:t>
            </w:r>
          </w:p>
        </w:tc>
        <w:tc>
          <w:tcPr>
            <w:tcW w:w="2130" w:type="dxa"/>
          </w:tcPr>
          <w:p w14:paraId="0C051239" w14:textId="5C8DCCBC" w:rsidR="00C74E5D" w:rsidRDefault="00C74E5D" w:rsidP="00C74E5D">
            <w:r>
              <w:rPr>
                <w:sz w:val="20"/>
                <w:szCs w:val="20"/>
              </w:rPr>
              <w:t>Change- “25% of geriatric syncope…” to “</w:t>
            </w:r>
            <w:r w:rsidRPr="00BA21D1">
              <w:rPr>
                <w:color w:val="000000" w:themeColor="text1"/>
                <w:sz w:val="20"/>
                <w:szCs w:val="20"/>
              </w:rPr>
              <w:t>Up to one third of syncope in the older adult is caused by cardiac disorders.</w:t>
            </w:r>
            <w:r>
              <w:rPr>
                <w:color w:val="000000" w:themeColor="text1"/>
                <w:sz w:val="20"/>
                <w:szCs w:val="20"/>
              </w:rPr>
              <w:t>”</w:t>
            </w:r>
          </w:p>
          <w:p w14:paraId="79D98C49" w14:textId="3998CF74" w:rsidR="00C74E5D" w:rsidRPr="00C0279F" w:rsidRDefault="00C74E5D" w:rsidP="00C74E5D">
            <w:pPr>
              <w:rPr>
                <w:sz w:val="20"/>
                <w:szCs w:val="20"/>
              </w:rPr>
            </w:pPr>
          </w:p>
        </w:tc>
        <w:tc>
          <w:tcPr>
            <w:tcW w:w="2037" w:type="dxa"/>
          </w:tcPr>
          <w:p w14:paraId="29E7D8C9" w14:textId="4B456C04" w:rsidR="00C74E5D" w:rsidRDefault="00C74E5D" w:rsidP="00C74E5D">
            <w:pPr>
              <w:rPr>
                <w:sz w:val="20"/>
                <w:szCs w:val="20"/>
              </w:rPr>
            </w:pPr>
            <w:r>
              <w:rPr>
                <w:sz w:val="20"/>
                <w:szCs w:val="20"/>
              </w:rPr>
              <w:t>Evidence in available literature highlights the risk of cardiac syncope in older patients</w:t>
            </w:r>
          </w:p>
        </w:tc>
        <w:tc>
          <w:tcPr>
            <w:tcW w:w="2108" w:type="dxa"/>
          </w:tcPr>
          <w:p w14:paraId="3E74720F" w14:textId="200AD062" w:rsidR="00C74E5D" w:rsidRPr="0071775A" w:rsidRDefault="00C74E5D" w:rsidP="00C74E5D">
            <w:pPr>
              <w:rPr>
                <w:sz w:val="20"/>
                <w:szCs w:val="20"/>
              </w:rPr>
            </w:pPr>
            <w:r>
              <w:rPr>
                <w:sz w:val="20"/>
                <w:szCs w:val="20"/>
              </w:rPr>
              <w:t>Section author review</w:t>
            </w:r>
          </w:p>
        </w:tc>
        <w:tc>
          <w:tcPr>
            <w:tcW w:w="2205" w:type="dxa"/>
          </w:tcPr>
          <w:p w14:paraId="14487787" w14:textId="2C063D39" w:rsidR="00C74E5D" w:rsidRDefault="00C74E5D" w:rsidP="00C74E5D">
            <w:pPr>
              <w:rPr>
                <w:sz w:val="20"/>
                <w:szCs w:val="20"/>
              </w:rPr>
            </w:pPr>
            <w:r>
              <w:rPr>
                <w:sz w:val="20"/>
                <w:szCs w:val="20"/>
              </w:rPr>
              <w:t xml:space="preserve">Educational </w:t>
            </w:r>
          </w:p>
        </w:tc>
        <w:tc>
          <w:tcPr>
            <w:tcW w:w="1289" w:type="dxa"/>
          </w:tcPr>
          <w:p w14:paraId="3B1E33DC" w14:textId="06676F35" w:rsidR="00C74E5D" w:rsidRDefault="00C74E5D" w:rsidP="00C74E5D">
            <w:pPr>
              <w:rPr>
                <w:sz w:val="20"/>
                <w:szCs w:val="20"/>
              </w:rPr>
            </w:pPr>
            <w:r>
              <w:rPr>
                <w:sz w:val="20"/>
                <w:szCs w:val="20"/>
              </w:rPr>
              <w:t>Small</w:t>
            </w:r>
          </w:p>
        </w:tc>
        <w:tc>
          <w:tcPr>
            <w:tcW w:w="1707" w:type="dxa"/>
          </w:tcPr>
          <w:p w14:paraId="10B85325" w14:textId="7B25CA10" w:rsidR="00C74E5D" w:rsidRDefault="00C74E5D" w:rsidP="00C74E5D">
            <w:pPr>
              <w:rPr>
                <w:sz w:val="20"/>
                <w:szCs w:val="20"/>
              </w:rPr>
            </w:pPr>
            <w:r>
              <w:rPr>
                <w:sz w:val="20"/>
                <w:szCs w:val="20"/>
              </w:rPr>
              <w:t xml:space="preserve">Highlight the potential of cardiac causes of syncope in the </w:t>
            </w:r>
          </w:p>
        </w:tc>
      </w:tr>
      <w:tr w:rsidR="00C74E5D" w:rsidRPr="0071775A" w14:paraId="4AD4EF66" w14:textId="77777777" w:rsidTr="00C74E5D">
        <w:tc>
          <w:tcPr>
            <w:tcW w:w="1474" w:type="dxa"/>
            <w:shd w:val="clear" w:color="auto" w:fill="D9D9D9" w:themeFill="background1" w:themeFillShade="D9"/>
          </w:tcPr>
          <w:p w14:paraId="067D7EED" w14:textId="7FB6AD7D" w:rsidR="00C74E5D" w:rsidRDefault="00C74E5D" w:rsidP="00C74E5D">
            <w:pPr>
              <w:rPr>
                <w:sz w:val="20"/>
                <w:szCs w:val="20"/>
              </w:rPr>
            </w:pPr>
            <w:r>
              <w:rPr>
                <w:sz w:val="20"/>
                <w:szCs w:val="20"/>
              </w:rPr>
              <w:t>Red 21/ PEARL</w:t>
            </w:r>
          </w:p>
        </w:tc>
        <w:tc>
          <w:tcPr>
            <w:tcW w:w="2130" w:type="dxa"/>
          </w:tcPr>
          <w:p w14:paraId="177AF7A8" w14:textId="3D93D6B1" w:rsidR="00C74E5D" w:rsidRDefault="00C74E5D" w:rsidP="00C74E5D">
            <w:pPr>
              <w:rPr>
                <w:sz w:val="20"/>
                <w:szCs w:val="20"/>
              </w:rPr>
            </w:pPr>
            <w:r>
              <w:rPr>
                <w:sz w:val="20"/>
                <w:szCs w:val="20"/>
              </w:rPr>
              <w:t>Add “pulmonary embolism” to “consider other causes including GI bleed, ectopic pregnancy, seizure, stroke, hypoglycemia, shock, toxicologic (</w:t>
            </w:r>
            <w:proofErr w:type="spellStart"/>
            <w:proofErr w:type="gramStart"/>
            <w:r>
              <w:rPr>
                <w:sz w:val="20"/>
                <w:szCs w:val="20"/>
              </w:rPr>
              <w:t>ie</w:t>
            </w:r>
            <w:proofErr w:type="spellEnd"/>
            <w:proofErr w:type="gramEnd"/>
            <w:r>
              <w:rPr>
                <w:sz w:val="20"/>
                <w:szCs w:val="20"/>
              </w:rPr>
              <w:t xml:space="preserve"> alcohol) and medication.”</w:t>
            </w:r>
          </w:p>
        </w:tc>
        <w:tc>
          <w:tcPr>
            <w:tcW w:w="2037" w:type="dxa"/>
          </w:tcPr>
          <w:p w14:paraId="637BAC4A" w14:textId="1A8C03CA" w:rsidR="00C74E5D" w:rsidRDefault="00C74E5D" w:rsidP="00C74E5D">
            <w:pPr>
              <w:rPr>
                <w:sz w:val="20"/>
                <w:szCs w:val="20"/>
              </w:rPr>
            </w:pPr>
            <w:r>
              <w:rPr>
                <w:sz w:val="20"/>
                <w:szCs w:val="20"/>
              </w:rPr>
              <w:t>Additional consideration on list of concerning causes of syncope</w:t>
            </w:r>
          </w:p>
        </w:tc>
        <w:tc>
          <w:tcPr>
            <w:tcW w:w="2108" w:type="dxa"/>
          </w:tcPr>
          <w:p w14:paraId="345E5714" w14:textId="77777777" w:rsidR="00C74E5D" w:rsidRPr="00C74E5D" w:rsidRDefault="00C74E5D" w:rsidP="00C74E5D">
            <w:pPr>
              <w:rPr>
                <w:rFonts w:eastAsia="Times New Roman" w:cs="Times New Roman"/>
                <w:color w:val="000000" w:themeColor="text1"/>
                <w:sz w:val="20"/>
                <w:szCs w:val="20"/>
              </w:rPr>
            </w:pPr>
            <w:r w:rsidRPr="00BA21D1">
              <w:rPr>
                <w:rFonts w:eastAsia="Times New Roman" w:cs="Times New Roman"/>
                <w:color w:val="000000" w:themeColor="text1"/>
                <w:sz w:val="20"/>
                <w:szCs w:val="20"/>
              </w:rPr>
              <w:t xml:space="preserve">European Cardiology Review </w:t>
            </w:r>
          </w:p>
          <w:p w14:paraId="59B355BB" w14:textId="77777777" w:rsidR="00C74E5D" w:rsidRPr="00C74E5D" w:rsidRDefault="00C74E5D" w:rsidP="00C74E5D">
            <w:pPr>
              <w:rPr>
                <w:rFonts w:eastAsia="Times New Roman" w:cs="Times New Roman"/>
                <w:color w:val="000000" w:themeColor="text1"/>
                <w:sz w:val="20"/>
                <w:szCs w:val="20"/>
              </w:rPr>
            </w:pPr>
            <w:r w:rsidRPr="00BA21D1">
              <w:rPr>
                <w:rFonts w:eastAsia="Times New Roman" w:cs="Times New Roman"/>
                <w:color w:val="000000" w:themeColor="text1"/>
                <w:sz w:val="20"/>
                <w:szCs w:val="20"/>
              </w:rPr>
              <w:t xml:space="preserve">2014;9(1):28–36 </w:t>
            </w:r>
            <w:proofErr w:type="spellStart"/>
            <w:proofErr w:type="gramStart"/>
            <w:r w:rsidRPr="00BA21D1">
              <w:rPr>
                <w:rFonts w:eastAsia="Times New Roman" w:cs="Times New Roman"/>
                <w:color w:val="000000" w:themeColor="text1"/>
                <w:sz w:val="20"/>
                <w:szCs w:val="20"/>
              </w:rPr>
              <w:t>DOI:https</w:t>
            </w:r>
            <w:proofErr w:type="spellEnd"/>
            <w:r w:rsidRPr="00BA21D1">
              <w:rPr>
                <w:rFonts w:eastAsia="Times New Roman" w:cs="Times New Roman"/>
                <w:color w:val="000000" w:themeColor="text1"/>
                <w:sz w:val="20"/>
                <w:szCs w:val="20"/>
              </w:rPr>
              <w:t>://doi.org/</w:t>
            </w:r>
            <w:proofErr w:type="gramEnd"/>
          </w:p>
          <w:p w14:paraId="756D5777" w14:textId="7EC153A8" w:rsidR="00C74E5D" w:rsidRPr="00C74E5D" w:rsidRDefault="00C74E5D" w:rsidP="00C74E5D">
            <w:pPr>
              <w:rPr>
                <w:rFonts w:eastAsia="Times New Roman" w:cs="Times New Roman"/>
                <w:color w:val="000000" w:themeColor="text1"/>
                <w:sz w:val="20"/>
                <w:szCs w:val="20"/>
              </w:rPr>
            </w:pPr>
            <w:r w:rsidRPr="00BA21D1">
              <w:rPr>
                <w:rFonts w:eastAsia="Times New Roman" w:cs="Times New Roman"/>
                <w:color w:val="000000" w:themeColor="text1"/>
                <w:sz w:val="20"/>
                <w:szCs w:val="20"/>
              </w:rPr>
              <w:t>10.15420/</w:t>
            </w:r>
          </w:p>
          <w:p w14:paraId="3314B89D" w14:textId="223F675E" w:rsidR="00C74E5D" w:rsidRPr="00BA21D1" w:rsidRDefault="00C74E5D" w:rsidP="00C74E5D">
            <w:pPr>
              <w:rPr>
                <w:rFonts w:eastAsia="Times New Roman" w:cs="Times New Roman"/>
                <w:color w:val="000000" w:themeColor="text1"/>
                <w:sz w:val="20"/>
                <w:szCs w:val="20"/>
              </w:rPr>
            </w:pPr>
            <w:r w:rsidRPr="00BA21D1">
              <w:rPr>
                <w:rFonts w:eastAsia="Times New Roman" w:cs="Times New Roman"/>
                <w:color w:val="000000" w:themeColor="text1"/>
                <w:sz w:val="20"/>
                <w:szCs w:val="20"/>
              </w:rPr>
              <w:t>ecr.2014.9.1.28</w:t>
            </w:r>
          </w:p>
          <w:p w14:paraId="5641EF78" w14:textId="77777777" w:rsidR="00C74E5D" w:rsidRDefault="00C74E5D" w:rsidP="00C74E5D">
            <w:pPr>
              <w:rPr>
                <w:sz w:val="20"/>
                <w:szCs w:val="20"/>
              </w:rPr>
            </w:pPr>
          </w:p>
          <w:p w14:paraId="44D55194" w14:textId="77777777" w:rsidR="00C74E5D" w:rsidRDefault="00C74E5D" w:rsidP="00C74E5D">
            <w:pPr>
              <w:rPr>
                <w:sz w:val="20"/>
                <w:szCs w:val="20"/>
              </w:rPr>
            </w:pPr>
          </w:p>
          <w:p w14:paraId="1A8D7EEF" w14:textId="3A8CC103" w:rsidR="00C74E5D" w:rsidRPr="00BA21D1" w:rsidRDefault="00C74E5D" w:rsidP="00C74E5D">
            <w:pPr>
              <w:ind w:firstLine="720"/>
              <w:rPr>
                <w:sz w:val="20"/>
                <w:szCs w:val="20"/>
              </w:rPr>
            </w:pPr>
          </w:p>
        </w:tc>
        <w:tc>
          <w:tcPr>
            <w:tcW w:w="2205" w:type="dxa"/>
          </w:tcPr>
          <w:p w14:paraId="414B4774" w14:textId="7AA9A32D" w:rsidR="00C74E5D" w:rsidRDefault="00C74E5D" w:rsidP="00C74E5D">
            <w:pPr>
              <w:rPr>
                <w:sz w:val="20"/>
                <w:szCs w:val="20"/>
              </w:rPr>
            </w:pPr>
            <w:r>
              <w:rPr>
                <w:sz w:val="20"/>
                <w:szCs w:val="20"/>
              </w:rPr>
              <w:t xml:space="preserve">Educational </w:t>
            </w:r>
          </w:p>
        </w:tc>
        <w:tc>
          <w:tcPr>
            <w:tcW w:w="1289" w:type="dxa"/>
          </w:tcPr>
          <w:p w14:paraId="00010290" w14:textId="4921E84B" w:rsidR="00C74E5D" w:rsidRDefault="00C74E5D" w:rsidP="00C74E5D">
            <w:pPr>
              <w:rPr>
                <w:sz w:val="20"/>
                <w:szCs w:val="20"/>
              </w:rPr>
            </w:pPr>
            <w:r>
              <w:rPr>
                <w:sz w:val="20"/>
                <w:szCs w:val="20"/>
              </w:rPr>
              <w:t>Small</w:t>
            </w:r>
          </w:p>
        </w:tc>
        <w:tc>
          <w:tcPr>
            <w:tcW w:w="1707" w:type="dxa"/>
          </w:tcPr>
          <w:p w14:paraId="41CC047C" w14:textId="3A266726" w:rsidR="00C74E5D" w:rsidRDefault="00C74E5D" w:rsidP="00C74E5D">
            <w:pPr>
              <w:rPr>
                <w:sz w:val="20"/>
                <w:szCs w:val="20"/>
              </w:rPr>
            </w:pPr>
            <w:r>
              <w:rPr>
                <w:sz w:val="20"/>
                <w:szCs w:val="20"/>
              </w:rPr>
              <w:t xml:space="preserve">Identify PE as a potential cause of syncope  </w:t>
            </w:r>
          </w:p>
        </w:tc>
      </w:tr>
      <w:tr w:rsidR="00C74E5D" w:rsidRPr="0071775A" w14:paraId="7E0D01EB" w14:textId="77777777" w:rsidTr="00C74E5D">
        <w:tc>
          <w:tcPr>
            <w:tcW w:w="1474" w:type="dxa"/>
            <w:shd w:val="clear" w:color="auto" w:fill="D9D9D9" w:themeFill="background1" w:themeFillShade="D9"/>
          </w:tcPr>
          <w:p w14:paraId="1C975C2E" w14:textId="5DE8E2BE" w:rsidR="00C74E5D" w:rsidRDefault="00C74E5D" w:rsidP="00C74E5D">
            <w:pPr>
              <w:rPr>
                <w:sz w:val="20"/>
                <w:szCs w:val="20"/>
              </w:rPr>
            </w:pPr>
            <w:r>
              <w:rPr>
                <w:sz w:val="20"/>
                <w:szCs w:val="20"/>
              </w:rPr>
              <w:lastRenderedPageBreak/>
              <w:t>Red 22</w:t>
            </w:r>
          </w:p>
        </w:tc>
        <w:tc>
          <w:tcPr>
            <w:tcW w:w="2130" w:type="dxa"/>
          </w:tcPr>
          <w:p w14:paraId="75B80C6D" w14:textId="09BEFF35" w:rsidR="00C74E5D" w:rsidRDefault="00C74E5D" w:rsidP="00C74E5D">
            <w:pPr>
              <w:rPr>
                <w:sz w:val="20"/>
                <w:szCs w:val="20"/>
              </w:rPr>
            </w:pPr>
            <w:r>
              <w:rPr>
                <w:sz w:val="20"/>
                <w:szCs w:val="20"/>
              </w:rPr>
              <w:t xml:space="preserve">Add hospital H and statement encouraging </w:t>
            </w:r>
            <w:r>
              <w:rPr>
                <w:sz w:val="20"/>
                <w:szCs w:val="20"/>
              </w:rPr>
              <w:t>early</w:t>
            </w:r>
            <w:r>
              <w:rPr>
                <w:sz w:val="20"/>
                <w:szCs w:val="20"/>
              </w:rPr>
              <w:t xml:space="preserve"> contact with the patient’s VAD team</w:t>
            </w:r>
          </w:p>
        </w:tc>
        <w:tc>
          <w:tcPr>
            <w:tcW w:w="2037" w:type="dxa"/>
          </w:tcPr>
          <w:p w14:paraId="30C1A8E2" w14:textId="51A44FC8" w:rsidR="00C74E5D" w:rsidRDefault="00C74E5D" w:rsidP="00C74E5D">
            <w:pPr>
              <w:rPr>
                <w:sz w:val="20"/>
                <w:szCs w:val="20"/>
              </w:rPr>
            </w:pPr>
            <w:r>
              <w:rPr>
                <w:sz w:val="20"/>
                <w:szCs w:val="20"/>
              </w:rPr>
              <w:t>Provider input</w:t>
            </w:r>
          </w:p>
        </w:tc>
        <w:tc>
          <w:tcPr>
            <w:tcW w:w="2108" w:type="dxa"/>
          </w:tcPr>
          <w:p w14:paraId="1078C68A" w14:textId="07718A42" w:rsidR="00C74E5D" w:rsidRPr="0071775A" w:rsidRDefault="00C74E5D" w:rsidP="00C74E5D">
            <w:pPr>
              <w:rPr>
                <w:sz w:val="20"/>
                <w:szCs w:val="20"/>
              </w:rPr>
            </w:pPr>
            <w:r>
              <w:rPr>
                <w:sz w:val="20"/>
                <w:szCs w:val="20"/>
              </w:rPr>
              <w:t>EMS Clinician Input</w:t>
            </w:r>
          </w:p>
        </w:tc>
        <w:tc>
          <w:tcPr>
            <w:tcW w:w="2205" w:type="dxa"/>
          </w:tcPr>
          <w:p w14:paraId="046546D9" w14:textId="3B704A14" w:rsidR="00C74E5D" w:rsidRDefault="00C74E5D" w:rsidP="00C74E5D">
            <w:pPr>
              <w:rPr>
                <w:sz w:val="20"/>
                <w:szCs w:val="20"/>
              </w:rPr>
            </w:pPr>
            <w:r>
              <w:rPr>
                <w:sz w:val="20"/>
                <w:szCs w:val="20"/>
              </w:rPr>
              <w:t xml:space="preserve">Education </w:t>
            </w:r>
          </w:p>
        </w:tc>
        <w:tc>
          <w:tcPr>
            <w:tcW w:w="1289" w:type="dxa"/>
          </w:tcPr>
          <w:p w14:paraId="3C5B947A" w14:textId="7D2A2F49" w:rsidR="00C74E5D" w:rsidRDefault="00C74E5D" w:rsidP="00C74E5D">
            <w:pPr>
              <w:rPr>
                <w:sz w:val="20"/>
                <w:szCs w:val="20"/>
              </w:rPr>
            </w:pPr>
            <w:proofErr w:type="gramStart"/>
            <w:r>
              <w:rPr>
                <w:sz w:val="20"/>
                <w:szCs w:val="20"/>
              </w:rPr>
              <w:t>Minimal  –</w:t>
            </w:r>
            <w:proofErr w:type="gramEnd"/>
            <w:r>
              <w:rPr>
                <w:sz w:val="20"/>
                <w:szCs w:val="20"/>
              </w:rPr>
              <w:t xml:space="preserve"> visual cue only</w:t>
            </w:r>
          </w:p>
        </w:tc>
        <w:tc>
          <w:tcPr>
            <w:tcW w:w="1707" w:type="dxa"/>
          </w:tcPr>
          <w:p w14:paraId="205BD527" w14:textId="1FF87B57" w:rsidR="00C74E5D" w:rsidRDefault="00C74E5D" w:rsidP="00C74E5D">
            <w:pPr>
              <w:rPr>
                <w:sz w:val="20"/>
                <w:szCs w:val="20"/>
              </w:rPr>
            </w:pPr>
            <w:r>
              <w:rPr>
                <w:sz w:val="20"/>
                <w:szCs w:val="20"/>
              </w:rPr>
              <w:t xml:space="preserve">Add que encouraging early consultation patients with medical complexity. </w:t>
            </w:r>
          </w:p>
        </w:tc>
      </w:tr>
    </w:tbl>
    <w:p w14:paraId="074FE637" w14:textId="6A10F86C" w:rsidR="00F457FB" w:rsidRDefault="00F457FB" w:rsidP="0071775A">
      <w:pPr>
        <w:rPr>
          <w:sz w:val="20"/>
          <w:szCs w:val="20"/>
        </w:rPr>
      </w:pPr>
    </w:p>
    <w:p w14:paraId="2817335C" w14:textId="1D1A0805" w:rsidR="00BA21D1" w:rsidRDefault="00BA21D1" w:rsidP="0071775A">
      <w:pPr>
        <w:rPr>
          <w:sz w:val="20"/>
          <w:szCs w:val="20"/>
        </w:rPr>
      </w:pPr>
    </w:p>
    <w:p w14:paraId="0AB2791E" w14:textId="77777777" w:rsidR="00BA21D1" w:rsidRPr="0071775A" w:rsidRDefault="00BA21D1" w:rsidP="0071775A">
      <w:pPr>
        <w:rPr>
          <w:sz w:val="20"/>
          <w:szCs w:val="20"/>
        </w:rPr>
      </w:pPr>
    </w:p>
    <w:sectPr w:rsidR="00BA21D1" w:rsidRPr="0071775A" w:rsidSect="00ED436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E3848" w14:textId="77777777" w:rsidR="002922A9" w:rsidRDefault="002922A9" w:rsidP="008A6081">
      <w:r>
        <w:separator/>
      </w:r>
    </w:p>
  </w:endnote>
  <w:endnote w:type="continuationSeparator" w:id="0">
    <w:p w14:paraId="41362DF1" w14:textId="77777777" w:rsidR="002922A9" w:rsidRDefault="002922A9" w:rsidP="008A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DFA9" w14:textId="77777777" w:rsidR="00C74E5D" w:rsidRDefault="00C74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9259" w14:textId="77777777" w:rsidR="00C74E5D" w:rsidRDefault="00C74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4F3F" w14:textId="77777777" w:rsidR="00C74E5D" w:rsidRDefault="00C7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8A30" w14:textId="77777777" w:rsidR="002922A9" w:rsidRDefault="002922A9" w:rsidP="008A6081">
      <w:r>
        <w:separator/>
      </w:r>
    </w:p>
  </w:footnote>
  <w:footnote w:type="continuationSeparator" w:id="0">
    <w:p w14:paraId="54BED6EB" w14:textId="77777777" w:rsidR="002922A9" w:rsidRDefault="002922A9" w:rsidP="008A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415D" w14:textId="0C6337D6" w:rsidR="003313D9" w:rsidRDefault="0033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FFBB" w14:textId="5561BECB" w:rsidR="008A6081" w:rsidRPr="008A6081" w:rsidRDefault="00ED436C" w:rsidP="008A6081">
    <w:pPr>
      <w:pStyle w:val="Header"/>
      <w:jc w:val="center"/>
      <w:rPr>
        <w:b/>
        <w:bCs/>
      </w:rPr>
    </w:pPr>
    <w:r>
      <w:rPr>
        <w:b/>
        <w:bCs/>
      </w:rPr>
      <w:t>Red</w:t>
    </w:r>
    <w:r w:rsidR="008A6081" w:rsidRPr="008A6081">
      <w:rPr>
        <w:b/>
        <w:bCs/>
      </w:rPr>
      <w:t xml:space="preserve"> Section Change Document </w:t>
    </w:r>
    <w:r w:rsidR="00DC44D7">
      <w:rPr>
        <w:b/>
        <w:bCs/>
      </w:rPr>
      <w:t>Post</w:t>
    </w:r>
    <w:r w:rsidR="008A6081" w:rsidRPr="008A6081">
      <w:rPr>
        <w:b/>
        <w:bCs/>
      </w:rPr>
      <w:t xml:space="preserve"> MDPB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5FE2" w14:textId="59C8EE1A" w:rsidR="003313D9" w:rsidRDefault="0033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1A84"/>
    <w:multiLevelType w:val="hybridMultilevel"/>
    <w:tmpl w:val="BDD2C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5A"/>
    <w:rsid w:val="000073E7"/>
    <w:rsid w:val="00045565"/>
    <w:rsid w:val="00055CC3"/>
    <w:rsid w:val="000A0BBE"/>
    <w:rsid w:val="000C2CB9"/>
    <w:rsid w:val="000D3984"/>
    <w:rsid w:val="000F3F9B"/>
    <w:rsid w:val="00113279"/>
    <w:rsid w:val="00121AD7"/>
    <w:rsid w:val="001232D5"/>
    <w:rsid w:val="001272F4"/>
    <w:rsid w:val="0017636A"/>
    <w:rsid w:val="00197815"/>
    <w:rsid w:val="001A4A3B"/>
    <w:rsid w:val="001B2175"/>
    <w:rsid w:val="001B7D2C"/>
    <w:rsid w:val="0021048A"/>
    <w:rsid w:val="00214935"/>
    <w:rsid w:val="002169B0"/>
    <w:rsid w:val="00240075"/>
    <w:rsid w:val="00253608"/>
    <w:rsid w:val="002575D4"/>
    <w:rsid w:val="0026221D"/>
    <w:rsid w:val="0026366A"/>
    <w:rsid w:val="002922A9"/>
    <w:rsid w:val="002B24F1"/>
    <w:rsid w:val="003313D9"/>
    <w:rsid w:val="0035185B"/>
    <w:rsid w:val="00386653"/>
    <w:rsid w:val="00391113"/>
    <w:rsid w:val="004045BB"/>
    <w:rsid w:val="0041522F"/>
    <w:rsid w:val="0042646F"/>
    <w:rsid w:val="004A43D4"/>
    <w:rsid w:val="004B3E58"/>
    <w:rsid w:val="005366E3"/>
    <w:rsid w:val="00545CF0"/>
    <w:rsid w:val="005B4311"/>
    <w:rsid w:val="00604E24"/>
    <w:rsid w:val="0064383A"/>
    <w:rsid w:val="00665584"/>
    <w:rsid w:val="006777B6"/>
    <w:rsid w:val="006F40D6"/>
    <w:rsid w:val="0071775A"/>
    <w:rsid w:val="007343F9"/>
    <w:rsid w:val="007E021A"/>
    <w:rsid w:val="008115D8"/>
    <w:rsid w:val="00817ED5"/>
    <w:rsid w:val="0082528E"/>
    <w:rsid w:val="00832410"/>
    <w:rsid w:val="00886097"/>
    <w:rsid w:val="008A6081"/>
    <w:rsid w:val="009B1252"/>
    <w:rsid w:val="00A342C1"/>
    <w:rsid w:val="00AA4E69"/>
    <w:rsid w:val="00AC39EC"/>
    <w:rsid w:val="00B327FE"/>
    <w:rsid w:val="00B559A3"/>
    <w:rsid w:val="00B55EE8"/>
    <w:rsid w:val="00B6004B"/>
    <w:rsid w:val="00B86EEC"/>
    <w:rsid w:val="00B96154"/>
    <w:rsid w:val="00BA21D1"/>
    <w:rsid w:val="00C0279F"/>
    <w:rsid w:val="00C67480"/>
    <w:rsid w:val="00C74E5D"/>
    <w:rsid w:val="00C96D6F"/>
    <w:rsid w:val="00CA5690"/>
    <w:rsid w:val="00CC054A"/>
    <w:rsid w:val="00CF1BFA"/>
    <w:rsid w:val="00CF7966"/>
    <w:rsid w:val="00D232D6"/>
    <w:rsid w:val="00D72DB3"/>
    <w:rsid w:val="00DC44D7"/>
    <w:rsid w:val="00DC60F6"/>
    <w:rsid w:val="00DE7745"/>
    <w:rsid w:val="00E07E1F"/>
    <w:rsid w:val="00E12B19"/>
    <w:rsid w:val="00E1317E"/>
    <w:rsid w:val="00E404F9"/>
    <w:rsid w:val="00E424A2"/>
    <w:rsid w:val="00ED436C"/>
    <w:rsid w:val="00F27227"/>
    <w:rsid w:val="00F33662"/>
    <w:rsid w:val="00F457FB"/>
    <w:rsid w:val="00F64ECA"/>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B5E23"/>
  <w15:chartTrackingRefBased/>
  <w15:docId w15:val="{5C859033-08CC-3945-BA4C-C68739C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081"/>
    <w:pPr>
      <w:tabs>
        <w:tab w:val="center" w:pos="4680"/>
        <w:tab w:val="right" w:pos="9360"/>
      </w:tabs>
    </w:pPr>
  </w:style>
  <w:style w:type="character" w:customStyle="1" w:styleId="HeaderChar">
    <w:name w:val="Header Char"/>
    <w:basedOn w:val="DefaultParagraphFont"/>
    <w:link w:val="Header"/>
    <w:uiPriority w:val="99"/>
    <w:rsid w:val="008A6081"/>
  </w:style>
  <w:style w:type="paragraph" w:styleId="Footer">
    <w:name w:val="footer"/>
    <w:basedOn w:val="Normal"/>
    <w:link w:val="FooterChar"/>
    <w:uiPriority w:val="99"/>
    <w:unhideWhenUsed/>
    <w:rsid w:val="008A6081"/>
    <w:pPr>
      <w:tabs>
        <w:tab w:val="center" w:pos="4680"/>
        <w:tab w:val="right" w:pos="9360"/>
      </w:tabs>
    </w:pPr>
  </w:style>
  <w:style w:type="character" w:customStyle="1" w:styleId="FooterChar">
    <w:name w:val="Footer Char"/>
    <w:basedOn w:val="DefaultParagraphFont"/>
    <w:link w:val="Footer"/>
    <w:uiPriority w:val="99"/>
    <w:rsid w:val="008A6081"/>
  </w:style>
  <w:style w:type="paragraph" w:styleId="BalloonText">
    <w:name w:val="Balloon Text"/>
    <w:basedOn w:val="Normal"/>
    <w:link w:val="BalloonTextChar"/>
    <w:uiPriority w:val="99"/>
    <w:semiHidden/>
    <w:unhideWhenUsed/>
    <w:rsid w:val="002400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075"/>
    <w:rPr>
      <w:rFonts w:ascii="Times New Roman" w:hAnsi="Times New Roman" w:cs="Times New Roman"/>
      <w:sz w:val="18"/>
      <w:szCs w:val="18"/>
    </w:rPr>
  </w:style>
  <w:style w:type="paragraph" w:styleId="NormalWeb">
    <w:name w:val="Normal (Web)"/>
    <w:basedOn w:val="Normal"/>
    <w:uiPriority w:val="99"/>
    <w:semiHidden/>
    <w:unhideWhenUsed/>
    <w:rsid w:val="00665584"/>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C0279F"/>
    <w:pPr>
      <w:ind w:left="720"/>
      <w:contextualSpacing/>
    </w:pPr>
  </w:style>
  <w:style w:type="character" w:styleId="CommentReference">
    <w:name w:val="annotation reference"/>
    <w:basedOn w:val="DefaultParagraphFont"/>
    <w:uiPriority w:val="99"/>
    <w:semiHidden/>
    <w:unhideWhenUsed/>
    <w:rsid w:val="00C67480"/>
    <w:rPr>
      <w:sz w:val="16"/>
      <w:szCs w:val="16"/>
    </w:rPr>
  </w:style>
  <w:style w:type="paragraph" w:styleId="CommentText">
    <w:name w:val="annotation text"/>
    <w:basedOn w:val="Normal"/>
    <w:link w:val="CommentTextChar"/>
    <w:uiPriority w:val="99"/>
    <w:unhideWhenUsed/>
    <w:rsid w:val="00C67480"/>
    <w:rPr>
      <w:sz w:val="20"/>
      <w:szCs w:val="20"/>
    </w:rPr>
  </w:style>
  <w:style w:type="character" w:customStyle="1" w:styleId="CommentTextChar">
    <w:name w:val="Comment Text Char"/>
    <w:basedOn w:val="DefaultParagraphFont"/>
    <w:link w:val="CommentText"/>
    <w:uiPriority w:val="99"/>
    <w:rsid w:val="00C67480"/>
    <w:rPr>
      <w:sz w:val="20"/>
      <w:szCs w:val="20"/>
    </w:rPr>
  </w:style>
  <w:style w:type="paragraph" w:styleId="CommentSubject">
    <w:name w:val="annotation subject"/>
    <w:basedOn w:val="CommentText"/>
    <w:next w:val="CommentText"/>
    <w:link w:val="CommentSubjectChar"/>
    <w:uiPriority w:val="99"/>
    <w:semiHidden/>
    <w:unhideWhenUsed/>
    <w:rsid w:val="00C67480"/>
    <w:rPr>
      <w:b/>
      <w:bCs/>
    </w:rPr>
  </w:style>
  <w:style w:type="character" w:customStyle="1" w:styleId="CommentSubjectChar">
    <w:name w:val="Comment Subject Char"/>
    <w:basedOn w:val="CommentTextChar"/>
    <w:link w:val="CommentSubject"/>
    <w:uiPriority w:val="99"/>
    <w:semiHidden/>
    <w:rsid w:val="00C67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4683">
      <w:bodyDiv w:val="1"/>
      <w:marLeft w:val="0"/>
      <w:marRight w:val="0"/>
      <w:marTop w:val="0"/>
      <w:marBottom w:val="0"/>
      <w:divBdr>
        <w:top w:val="none" w:sz="0" w:space="0" w:color="auto"/>
        <w:left w:val="none" w:sz="0" w:space="0" w:color="auto"/>
        <w:bottom w:val="none" w:sz="0" w:space="0" w:color="auto"/>
        <w:right w:val="none" w:sz="0" w:space="0" w:color="auto"/>
      </w:divBdr>
    </w:div>
    <w:div w:id="811748029">
      <w:bodyDiv w:val="1"/>
      <w:marLeft w:val="0"/>
      <w:marRight w:val="0"/>
      <w:marTop w:val="0"/>
      <w:marBottom w:val="0"/>
      <w:divBdr>
        <w:top w:val="none" w:sz="0" w:space="0" w:color="auto"/>
        <w:left w:val="none" w:sz="0" w:space="0" w:color="auto"/>
        <w:bottom w:val="none" w:sz="0" w:space="0" w:color="auto"/>
        <w:right w:val="none" w:sz="0" w:space="0" w:color="auto"/>
      </w:divBdr>
    </w:div>
    <w:div w:id="931468858">
      <w:bodyDiv w:val="1"/>
      <w:marLeft w:val="0"/>
      <w:marRight w:val="0"/>
      <w:marTop w:val="0"/>
      <w:marBottom w:val="0"/>
      <w:divBdr>
        <w:top w:val="none" w:sz="0" w:space="0" w:color="auto"/>
        <w:left w:val="none" w:sz="0" w:space="0" w:color="auto"/>
        <w:bottom w:val="none" w:sz="0" w:space="0" w:color="auto"/>
        <w:right w:val="none" w:sz="0" w:space="0" w:color="auto"/>
      </w:divBdr>
      <w:divsChild>
        <w:div w:id="830680144">
          <w:marLeft w:val="432"/>
          <w:marRight w:val="0"/>
          <w:marTop w:val="130"/>
          <w:marBottom w:val="0"/>
          <w:divBdr>
            <w:top w:val="none" w:sz="0" w:space="0" w:color="auto"/>
            <w:left w:val="none" w:sz="0" w:space="0" w:color="auto"/>
            <w:bottom w:val="none" w:sz="0" w:space="0" w:color="auto"/>
            <w:right w:val="none" w:sz="0" w:space="0" w:color="auto"/>
          </w:divBdr>
        </w:div>
        <w:div w:id="215237001">
          <w:marLeft w:val="864"/>
          <w:marRight w:val="0"/>
          <w:marTop w:val="106"/>
          <w:marBottom w:val="0"/>
          <w:divBdr>
            <w:top w:val="none" w:sz="0" w:space="0" w:color="auto"/>
            <w:left w:val="none" w:sz="0" w:space="0" w:color="auto"/>
            <w:bottom w:val="none" w:sz="0" w:space="0" w:color="auto"/>
            <w:right w:val="none" w:sz="0" w:space="0" w:color="auto"/>
          </w:divBdr>
        </w:div>
        <w:div w:id="996959707">
          <w:marLeft w:val="864"/>
          <w:marRight w:val="0"/>
          <w:marTop w:val="106"/>
          <w:marBottom w:val="0"/>
          <w:divBdr>
            <w:top w:val="none" w:sz="0" w:space="0" w:color="auto"/>
            <w:left w:val="none" w:sz="0" w:space="0" w:color="auto"/>
            <w:bottom w:val="none" w:sz="0" w:space="0" w:color="auto"/>
            <w:right w:val="none" w:sz="0" w:space="0" w:color="auto"/>
          </w:divBdr>
        </w:div>
      </w:divsChild>
    </w:div>
    <w:div w:id="936598729">
      <w:bodyDiv w:val="1"/>
      <w:marLeft w:val="0"/>
      <w:marRight w:val="0"/>
      <w:marTop w:val="0"/>
      <w:marBottom w:val="0"/>
      <w:divBdr>
        <w:top w:val="none" w:sz="0" w:space="0" w:color="auto"/>
        <w:left w:val="none" w:sz="0" w:space="0" w:color="auto"/>
        <w:bottom w:val="none" w:sz="0" w:space="0" w:color="auto"/>
        <w:right w:val="none" w:sz="0" w:space="0" w:color="auto"/>
      </w:divBdr>
    </w:div>
    <w:div w:id="1181746078">
      <w:bodyDiv w:val="1"/>
      <w:marLeft w:val="0"/>
      <w:marRight w:val="0"/>
      <w:marTop w:val="0"/>
      <w:marBottom w:val="0"/>
      <w:divBdr>
        <w:top w:val="none" w:sz="0" w:space="0" w:color="auto"/>
        <w:left w:val="none" w:sz="0" w:space="0" w:color="auto"/>
        <w:bottom w:val="none" w:sz="0" w:space="0" w:color="auto"/>
        <w:right w:val="none" w:sz="0" w:space="0" w:color="auto"/>
      </w:divBdr>
    </w:div>
    <w:div w:id="1304040936">
      <w:bodyDiv w:val="1"/>
      <w:marLeft w:val="0"/>
      <w:marRight w:val="0"/>
      <w:marTop w:val="0"/>
      <w:marBottom w:val="0"/>
      <w:divBdr>
        <w:top w:val="none" w:sz="0" w:space="0" w:color="auto"/>
        <w:left w:val="none" w:sz="0" w:space="0" w:color="auto"/>
        <w:bottom w:val="none" w:sz="0" w:space="0" w:color="auto"/>
        <w:right w:val="none" w:sz="0" w:space="0" w:color="auto"/>
      </w:divBdr>
    </w:div>
    <w:div w:id="1449086155">
      <w:bodyDiv w:val="1"/>
      <w:marLeft w:val="0"/>
      <w:marRight w:val="0"/>
      <w:marTop w:val="0"/>
      <w:marBottom w:val="0"/>
      <w:divBdr>
        <w:top w:val="none" w:sz="0" w:space="0" w:color="auto"/>
        <w:left w:val="none" w:sz="0" w:space="0" w:color="auto"/>
        <w:bottom w:val="none" w:sz="0" w:space="0" w:color="auto"/>
        <w:right w:val="none" w:sz="0" w:space="0" w:color="auto"/>
      </w:divBdr>
    </w:div>
    <w:div w:id="15097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3230-3AA3-F647-B1E2-8970FA0F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Sholl</dc:creator>
  <cp:keywords/>
  <dc:description/>
  <cp:lastModifiedBy>Matthew Sholl</cp:lastModifiedBy>
  <cp:revision>7</cp:revision>
  <dcterms:created xsi:type="dcterms:W3CDTF">2021-05-26T12:29:00Z</dcterms:created>
  <dcterms:modified xsi:type="dcterms:W3CDTF">2021-05-27T16:31:00Z</dcterms:modified>
</cp:coreProperties>
</file>