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4"/>
        <w:gridCol w:w="2117"/>
        <w:gridCol w:w="2709"/>
        <w:gridCol w:w="1805"/>
        <w:gridCol w:w="2081"/>
        <w:gridCol w:w="1626"/>
        <w:gridCol w:w="1538"/>
      </w:tblGrid>
      <w:tr w:rsidR="0071775A" w:rsidRPr="0071775A" w14:paraId="7F10926B" w14:textId="77777777" w:rsidTr="008F157A">
        <w:tc>
          <w:tcPr>
            <w:tcW w:w="1074" w:type="dxa"/>
          </w:tcPr>
          <w:p w14:paraId="291E29B2" w14:textId="154F4E1B" w:rsidR="0071775A" w:rsidRPr="0071775A" w:rsidRDefault="0071775A" w:rsidP="0071775A">
            <w:pPr>
              <w:jc w:val="center"/>
              <w:rPr>
                <w:sz w:val="20"/>
                <w:szCs w:val="20"/>
              </w:rPr>
            </w:pPr>
            <w:r w:rsidRPr="0071775A">
              <w:rPr>
                <w:sz w:val="20"/>
                <w:szCs w:val="20"/>
                <w:u w:val="single"/>
              </w:rPr>
              <w:t>Location</w:t>
            </w:r>
            <w:r w:rsidRPr="0071775A">
              <w:rPr>
                <w:sz w:val="20"/>
                <w:szCs w:val="20"/>
              </w:rPr>
              <w:t xml:space="preserve"> </w:t>
            </w:r>
            <w:r w:rsidRPr="0071775A">
              <w:rPr>
                <w:sz w:val="16"/>
                <w:szCs w:val="16"/>
              </w:rPr>
              <w:t>Section/Page #</w:t>
            </w:r>
          </w:p>
        </w:tc>
        <w:tc>
          <w:tcPr>
            <w:tcW w:w="2207" w:type="dxa"/>
          </w:tcPr>
          <w:p w14:paraId="05326104" w14:textId="54BF1115" w:rsidR="0071775A" w:rsidRPr="0071775A" w:rsidRDefault="0071775A" w:rsidP="0071775A">
            <w:pPr>
              <w:jc w:val="center"/>
              <w:rPr>
                <w:sz w:val="20"/>
                <w:szCs w:val="20"/>
                <w:u w:val="single"/>
              </w:rPr>
            </w:pPr>
            <w:r w:rsidRPr="0071775A">
              <w:rPr>
                <w:sz w:val="20"/>
                <w:szCs w:val="20"/>
                <w:u w:val="single"/>
              </w:rPr>
              <w:t>Change</w:t>
            </w:r>
          </w:p>
        </w:tc>
        <w:tc>
          <w:tcPr>
            <w:tcW w:w="2789" w:type="dxa"/>
          </w:tcPr>
          <w:p w14:paraId="01F1914C" w14:textId="129E9791" w:rsidR="0071775A" w:rsidRPr="0071775A" w:rsidRDefault="0071775A" w:rsidP="0071775A">
            <w:pPr>
              <w:jc w:val="center"/>
              <w:rPr>
                <w:sz w:val="20"/>
                <w:szCs w:val="20"/>
                <w:u w:val="single"/>
              </w:rPr>
            </w:pPr>
            <w:r w:rsidRPr="0071775A">
              <w:rPr>
                <w:sz w:val="20"/>
                <w:szCs w:val="20"/>
                <w:u w:val="single"/>
              </w:rPr>
              <w:t>Purpose of Change</w:t>
            </w:r>
          </w:p>
          <w:p w14:paraId="78C097A3" w14:textId="692953B7" w:rsidR="0071775A" w:rsidRPr="0071775A" w:rsidRDefault="0071775A" w:rsidP="0071775A">
            <w:pPr>
              <w:jc w:val="center"/>
              <w:rPr>
                <w:sz w:val="20"/>
                <w:szCs w:val="20"/>
              </w:rPr>
            </w:pPr>
            <w:r w:rsidRPr="0071775A">
              <w:rPr>
                <w:sz w:val="16"/>
                <w:szCs w:val="16"/>
              </w:rPr>
              <w:t>(Provider Input, Stakeholder Input, Evolution of Evidence, Best Practice, etc.)</w:t>
            </w:r>
          </w:p>
        </w:tc>
        <w:tc>
          <w:tcPr>
            <w:tcW w:w="1921" w:type="dxa"/>
          </w:tcPr>
          <w:p w14:paraId="068940C8" w14:textId="1582E6A0" w:rsidR="0071775A" w:rsidRPr="0071775A" w:rsidRDefault="0071775A" w:rsidP="0071775A">
            <w:pPr>
              <w:jc w:val="center"/>
              <w:rPr>
                <w:sz w:val="20"/>
                <w:szCs w:val="20"/>
                <w:u w:val="single"/>
              </w:rPr>
            </w:pPr>
            <w:r w:rsidRPr="0071775A">
              <w:rPr>
                <w:sz w:val="20"/>
                <w:szCs w:val="20"/>
                <w:u w:val="single"/>
              </w:rPr>
              <w:t>Evidence for Change</w:t>
            </w:r>
          </w:p>
        </w:tc>
        <w:tc>
          <w:tcPr>
            <w:tcW w:w="2122" w:type="dxa"/>
          </w:tcPr>
          <w:p w14:paraId="14BB889E" w14:textId="717D7C9A" w:rsidR="0071775A" w:rsidRPr="0071775A" w:rsidRDefault="0071775A" w:rsidP="0071775A">
            <w:pPr>
              <w:jc w:val="center"/>
              <w:rPr>
                <w:sz w:val="20"/>
                <w:szCs w:val="20"/>
                <w:u w:val="single"/>
              </w:rPr>
            </w:pPr>
            <w:r w:rsidRPr="0071775A">
              <w:rPr>
                <w:sz w:val="20"/>
                <w:szCs w:val="20"/>
                <w:u w:val="single"/>
              </w:rPr>
              <w:t>Expected Impact</w:t>
            </w:r>
          </w:p>
          <w:p w14:paraId="0F864978" w14:textId="2B5FC955" w:rsidR="0071775A" w:rsidRPr="0071775A" w:rsidRDefault="0071775A" w:rsidP="0071775A">
            <w:pPr>
              <w:jc w:val="center"/>
              <w:rPr>
                <w:sz w:val="20"/>
                <w:szCs w:val="20"/>
              </w:rPr>
            </w:pPr>
            <w:r w:rsidRPr="0071775A">
              <w:rPr>
                <w:sz w:val="16"/>
                <w:szCs w:val="16"/>
              </w:rPr>
              <w:t>(Operational, Educational, Financial, QI, Medical Direction, Communication, etc</w:t>
            </w:r>
            <w:r>
              <w:rPr>
                <w:sz w:val="16"/>
                <w:szCs w:val="16"/>
              </w:rPr>
              <w:t>.</w:t>
            </w:r>
            <w:r w:rsidRPr="0071775A">
              <w:rPr>
                <w:sz w:val="16"/>
                <w:szCs w:val="16"/>
              </w:rPr>
              <w:t>)</w:t>
            </w:r>
          </w:p>
        </w:tc>
        <w:tc>
          <w:tcPr>
            <w:tcW w:w="1289" w:type="dxa"/>
          </w:tcPr>
          <w:p w14:paraId="2DBD40CF" w14:textId="6D52AA59" w:rsidR="0071775A" w:rsidRPr="0071775A" w:rsidRDefault="0071775A" w:rsidP="0071775A">
            <w:pPr>
              <w:jc w:val="center"/>
              <w:rPr>
                <w:sz w:val="20"/>
                <w:szCs w:val="20"/>
              </w:rPr>
            </w:pPr>
            <w:r w:rsidRPr="0071775A">
              <w:rPr>
                <w:sz w:val="20"/>
                <w:szCs w:val="20"/>
                <w:u w:val="single"/>
              </w:rPr>
              <w:t>Size of Change</w:t>
            </w:r>
            <w:r>
              <w:rPr>
                <w:sz w:val="20"/>
                <w:szCs w:val="20"/>
              </w:rPr>
              <w:t xml:space="preserve"> </w:t>
            </w:r>
            <w:r w:rsidRPr="0071775A">
              <w:rPr>
                <w:sz w:val="16"/>
                <w:szCs w:val="16"/>
              </w:rPr>
              <w:t>(Small/Medium/</w:t>
            </w:r>
            <w:r>
              <w:rPr>
                <w:sz w:val="16"/>
                <w:szCs w:val="16"/>
              </w:rPr>
              <w:t xml:space="preserve"> </w:t>
            </w:r>
            <w:r w:rsidRPr="0071775A">
              <w:rPr>
                <w:sz w:val="16"/>
                <w:szCs w:val="16"/>
              </w:rPr>
              <w:t>Large)</w:t>
            </w:r>
          </w:p>
        </w:tc>
        <w:tc>
          <w:tcPr>
            <w:tcW w:w="1548" w:type="dxa"/>
          </w:tcPr>
          <w:p w14:paraId="5D040A6B" w14:textId="353A226E" w:rsidR="0071775A" w:rsidRPr="0071775A" w:rsidRDefault="0071775A" w:rsidP="0071775A">
            <w:pPr>
              <w:jc w:val="center"/>
              <w:rPr>
                <w:sz w:val="20"/>
                <w:szCs w:val="20"/>
                <w:u w:val="single"/>
              </w:rPr>
            </w:pPr>
            <w:r w:rsidRPr="0071775A">
              <w:rPr>
                <w:sz w:val="20"/>
                <w:szCs w:val="20"/>
                <w:u w:val="single"/>
              </w:rPr>
              <w:t>Desired Outcome</w:t>
            </w:r>
          </w:p>
        </w:tc>
      </w:tr>
      <w:tr w:rsidR="008F157A" w:rsidRPr="0071775A" w14:paraId="5D772052" w14:textId="77777777" w:rsidTr="008F157A">
        <w:tc>
          <w:tcPr>
            <w:tcW w:w="1074" w:type="dxa"/>
          </w:tcPr>
          <w:p w14:paraId="39CE1420" w14:textId="480C0DA7" w:rsidR="008F157A" w:rsidRPr="00215B14" w:rsidRDefault="008F157A" w:rsidP="008F157A">
            <w:pPr>
              <w:rPr>
                <w:rFonts w:cstheme="minorHAnsi"/>
                <w:sz w:val="20"/>
                <w:szCs w:val="20"/>
              </w:rPr>
            </w:pPr>
            <w:r w:rsidRPr="00215B14">
              <w:rPr>
                <w:rFonts w:cstheme="minorHAnsi"/>
                <w:sz w:val="20"/>
                <w:szCs w:val="20"/>
              </w:rPr>
              <w:t>Blue 2, 3</w:t>
            </w:r>
          </w:p>
        </w:tc>
        <w:tc>
          <w:tcPr>
            <w:tcW w:w="2207" w:type="dxa"/>
          </w:tcPr>
          <w:p w14:paraId="31E6CFD7" w14:textId="1174ACEB" w:rsidR="008F157A" w:rsidRPr="00215B14" w:rsidRDefault="008F157A" w:rsidP="008F157A">
            <w:pPr>
              <w:rPr>
                <w:rFonts w:cstheme="minorHAnsi"/>
                <w:sz w:val="20"/>
                <w:szCs w:val="20"/>
              </w:rPr>
            </w:pPr>
            <w:r w:rsidRPr="00215B14">
              <w:rPr>
                <w:rFonts w:cstheme="minorHAnsi"/>
                <w:sz w:val="20"/>
                <w:szCs w:val="20"/>
              </w:rPr>
              <w:t>Remove bougie use from ET tubes sized smaller than 6.0 (No change to previous mandate of bougie first pass use for all intubations for ET tubes 6.0 and greater)</w:t>
            </w:r>
          </w:p>
        </w:tc>
        <w:tc>
          <w:tcPr>
            <w:tcW w:w="2789" w:type="dxa"/>
          </w:tcPr>
          <w:p w14:paraId="7EC03821" w14:textId="441A6067" w:rsidR="008F157A" w:rsidRPr="00215B14" w:rsidRDefault="008F157A" w:rsidP="008F157A">
            <w:pPr>
              <w:rPr>
                <w:rFonts w:cstheme="minorHAnsi"/>
                <w:sz w:val="20"/>
                <w:szCs w:val="20"/>
              </w:rPr>
            </w:pPr>
            <w:r w:rsidRPr="00215B14">
              <w:rPr>
                <w:rFonts w:cstheme="minorHAnsi"/>
                <w:sz w:val="20"/>
                <w:szCs w:val="20"/>
              </w:rPr>
              <w:t>Per input from MDPB physicians as well as pediatric intensivists and anesthesiologists, “pediatric” bougies are not helpful in intubation of pediatric patients.  The thinner bougie required for smaller ET tubes is too flexible to provide the same useful assistance obtained from the “adult” thickness bougie.</w:t>
            </w:r>
          </w:p>
        </w:tc>
        <w:tc>
          <w:tcPr>
            <w:tcW w:w="1921" w:type="dxa"/>
          </w:tcPr>
          <w:p w14:paraId="0309DDF4" w14:textId="434FFE59" w:rsidR="008F157A" w:rsidRPr="00215B14" w:rsidRDefault="008F157A" w:rsidP="008F157A">
            <w:pPr>
              <w:rPr>
                <w:rFonts w:cstheme="minorHAnsi"/>
                <w:sz w:val="20"/>
                <w:szCs w:val="20"/>
              </w:rPr>
            </w:pPr>
            <w:r w:rsidRPr="00215B14">
              <w:rPr>
                <w:rFonts w:cstheme="minorHAnsi"/>
                <w:sz w:val="20"/>
                <w:szCs w:val="20"/>
              </w:rPr>
              <w:t>Matches current ED/hospital practice</w:t>
            </w:r>
          </w:p>
        </w:tc>
        <w:tc>
          <w:tcPr>
            <w:tcW w:w="2122" w:type="dxa"/>
          </w:tcPr>
          <w:p w14:paraId="3E4FC399" w14:textId="77777777" w:rsidR="008F157A" w:rsidRPr="00215B14" w:rsidRDefault="008F157A" w:rsidP="008F157A">
            <w:pPr>
              <w:pStyle w:val="ListParagraph"/>
              <w:numPr>
                <w:ilvl w:val="0"/>
                <w:numId w:val="3"/>
              </w:numPr>
              <w:rPr>
                <w:rFonts w:cstheme="minorHAnsi"/>
                <w:sz w:val="20"/>
                <w:szCs w:val="20"/>
              </w:rPr>
            </w:pPr>
            <w:r w:rsidRPr="00215B14">
              <w:rPr>
                <w:rFonts w:cstheme="minorHAnsi"/>
                <w:sz w:val="20"/>
                <w:szCs w:val="20"/>
              </w:rPr>
              <w:t>Operational</w:t>
            </w:r>
          </w:p>
          <w:p w14:paraId="150FAB03" w14:textId="77777777" w:rsidR="008F157A" w:rsidRPr="00215B14" w:rsidRDefault="008F157A" w:rsidP="008F157A">
            <w:pPr>
              <w:pStyle w:val="ListParagraph"/>
              <w:numPr>
                <w:ilvl w:val="0"/>
                <w:numId w:val="3"/>
              </w:numPr>
              <w:rPr>
                <w:rFonts w:cstheme="minorHAnsi"/>
                <w:sz w:val="20"/>
                <w:szCs w:val="20"/>
              </w:rPr>
            </w:pPr>
            <w:r w:rsidRPr="00215B14">
              <w:rPr>
                <w:rFonts w:cstheme="minorHAnsi"/>
                <w:sz w:val="20"/>
                <w:szCs w:val="20"/>
              </w:rPr>
              <w:t>Educational</w:t>
            </w:r>
          </w:p>
          <w:p w14:paraId="1520512F" w14:textId="77777777" w:rsidR="008F157A" w:rsidRPr="00215B14" w:rsidRDefault="008F157A" w:rsidP="008F157A">
            <w:pPr>
              <w:pStyle w:val="ListParagraph"/>
              <w:numPr>
                <w:ilvl w:val="0"/>
                <w:numId w:val="3"/>
              </w:numPr>
              <w:rPr>
                <w:rFonts w:cstheme="minorHAnsi"/>
                <w:sz w:val="20"/>
                <w:szCs w:val="20"/>
              </w:rPr>
            </w:pPr>
            <w:r w:rsidRPr="00215B14">
              <w:rPr>
                <w:rFonts w:cstheme="minorHAnsi"/>
                <w:sz w:val="20"/>
                <w:szCs w:val="20"/>
              </w:rPr>
              <w:t>Financial (positive impact as it removes equipment)</w:t>
            </w:r>
          </w:p>
          <w:p w14:paraId="13D7294E" w14:textId="77777777" w:rsidR="008F157A" w:rsidRPr="00215B14" w:rsidRDefault="008F157A" w:rsidP="008F157A">
            <w:pPr>
              <w:rPr>
                <w:rFonts w:cstheme="minorHAnsi"/>
                <w:sz w:val="20"/>
                <w:szCs w:val="20"/>
              </w:rPr>
            </w:pPr>
          </w:p>
          <w:p w14:paraId="2F363FB4" w14:textId="405855C6" w:rsidR="008F157A" w:rsidRPr="00215B14" w:rsidRDefault="008F157A" w:rsidP="008F157A">
            <w:pPr>
              <w:rPr>
                <w:rFonts w:cstheme="minorHAnsi"/>
                <w:sz w:val="20"/>
                <w:szCs w:val="20"/>
              </w:rPr>
            </w:pPr>
            <w:r w:rsidRPr="00215B14">
              <w:rPr>
                <w:rFonts w:cstheme="minorHAnsi"/>
                <w:sz w:val="20"/>
                <w:szCs w:val="20"/>
              </w:rPr>
              <w:t>All small impact</w:t>
            </w:r>
          </w:p>
        </w:tc>
        <w:tc>
          <w:tcPr>
            <w:tcW w:w="1289" w:type="dxa"/>
            <w:vAlign w:val="center"/>
          </w:tcPr>
          <w:p w14:paraId="4F369DA7" w14:textId="798B055F" w:rsidR="008F157A" w:rsidRPr="00215B14" w:rsidRDefault="008F157A" w:rsidP="008F157A">
            <w:pPr>
              <w:jc w:val="center"/>
              <w:rPr>
                <w:rFonts w:cstheme="minorHAnsi"/>
                <w:sz w:val="20"/>
                <w:szCs w:val="20"/>
              </w:rPr>
            </w:pPr>
            <w:r w:rsidRPr="00215B14">
              <w:rPr>
                <w:rFonts w:cstheme="minorHAnsi"/>
                <w:sz w:val="20"/>
                <w:szCs w:val="20"/>
              </w:rPr>
              <w:t>Small</w:t>
            </w:r>
          </w:p>
        </w:tc>
        <w:tc>
          <w:tcPr>
            <w:tcW w:w="1548" w:type="dxa"/>
          </w:tcPr>
          <w:p w14:paraId="3F208410" w14:textId="6236E357" w:rsidR="008F157A" w:rsidRPr="00215B14" w:rsidRDefault="008F157A" w:rsidP="008F157A">
            <w:pPr>
              <w:rPr>
                <w:rFonts w:cstheme="minorHAnsi"/>
                <w:sz w:val="20"/>
                <w:szCs w:val="20"/>
              </w:rPr>
            </w:pPr>
            <w:r w:rsidRPr="00215B14">
              <w:rPr>
                <w:rFonts w:cstheme="minorHAnsi"/>
                <w:sz w:val="20"/>
                <w:szCs w:val="20"/>
              </w:rPr>
              <w:t xml:space="preserve">Clarification of the use of Bougies in pediatric patients </w:t>
            </w:r>
          </w:p>
        </w:tc>
      </w:tr>
      <w:tr w:rsidR="008F157A" w:rsidRPr="0071775A" w14:paraId="6A09707B" w14:textId="77777777" w:rsidTr="008F157A">
        <w:tc>
          <w:tcPr>
            <w:tcW w:w="1074" w:type="dxa"/>
          </w:tcPr>
          <w:p w14:paraId="3E1FC0B5" w14:textId="42F12FA0" w:rsidR="008F157A" w:rsidRPr="00215B14" w:rsidRDefault="008F157A" w:rsidP="008F157A">
            <w:pPr>
              <w:rPr>
                <w:rFonts w:cstheme="minorHAnsi"/>
                <w:sz w:val="20"/>
                <w:szCs w:val="20"/>
              </w:rPr>
            </w:pPr>
            <w:r w:rsidRPr="00215B14">
              <w:rPr>
                <w:rFonts w:cstheme="minorHAnsi"/>
                <w:sz w:val="20"/>
                <w:szCs w:val="20"/>
              </w:rPr>
              <w:t>Blue 3, 7, 11</w:t>
            </w:r>
          </w:p>
        </w:tc>
        <w:tc>
          <w:tcPr>
            <w:tcW w:w="2207" w:type="dxa"/>
          </w:tcPr>
          <w:p w14:paraId="6330AE34" w14:textId="39BCEFA8" w:rsidR="008F157A" w:rsidRPr="00215B14" w:rsidRDefault="008F157A" w:rsidP="008F157A">
            <w:pPr>
              <w:rPr>
                <w:rFonts w:cstheme="minorHAnsi"/>
                <w:sz w:val="20"/>
                <w:szCs w:val="20"/>
              </w:rPr>
            </w:pPr>
            <w:r w:rsidRPr="00215B14">
              <w:rPr>
                <w:rFonts w:cstheme="minorHAnsi"/>
                <w:sz w:val="20"/>
                <w:szCs w:val="20"/>
              </w:rPr>
              <w:t>Add CPAP to EMT scope of practice</w:t>
            </w:r>
          </w:p>
        </w:tc>
        <w:tc>
          <w:tcPr>
            <w:tcW w:w="2789" w:type="dxa"/>
          </w:tcPr>
          <w:p w14:paraId="2042D467" w14:textId="77777777" w:rsidR="008F157A" w:rsidRPr="00215B14" w:rsidRDefault="008F157A" w:rsidP="008F157A">
            <w:pPr>
              <w:pStyle w:val="ListParagraph"/>
              <w:numPr>
                <w:ilvl w:val="0"/>
                <w:numId w:val="1"/>
              </w:numPr>
              <w:rPr>
                <w:rFonts w:cstheme="minorHAnsi"/>
                <w:sz w:val="20"/>
                <w:szCs w:val="20"/>
              </w:rPr>
            </w:pPr>
            <w:r w:rsidRPr="00215B14">
              <w:rPr>
                <w:rFonts w:cstheme="minorHAnsi"/>
                <w:sz w:val="20"/>
                <w:szCs w:val="20"/>
              </w:rPr>
              <w:t>Improve EMS system impact on patient care</w:t>
            </w:r>
          </w:p>
          <w:p w14:paraId="5D97E18C" w14:textId="3EDB3B20" w:rsidR="008F157A" w:rsidRPr="00215B14" w:rsidRDefault="008F157A" w:rsidP="008F157A">
            <w:pPr>
              <w:rPr>
                <w:rFonts w:cstheme="minorHAnsi"/>
                <w:sz w:val="20"/>
                <w:szCs w:val="20"/>
              </w:rPr>
            </w:pPr>
            <w:r w:rsidRPr="00215B14">
              <w:rPr>
                <w:rFonts w:cstheme="minorHAnsi"/>
                <w:sz w:val="20"/>
                <w:szCs w:val="20"/>
              </w:rPr>
              <w:t xml:space="preserve">Brings Maine in line with National Scope of Practice </w:t>
            </w:r>
          </w:p>
        </w:tc>
        <w:tc>
          <w:tcPr>
            <w:tcW w:w="1921" w:type="dxa"/>
          </w:tcPr>
          <w:p w14:paraId="592A72C1" w14:textId="6EDD74D7" w:rsidR="008F157A" w:rsidRPr="00215B14" w:rsidRDefault="008F157A" w:rsidP="008F157A">
            <w:pPr>
              <w:rPr>
                <w:rFonts w:cstheme="minorHAnsi"/>
                <w:sz w:val="20"/>
                <w:szCs w:val="20"/>
              </w:rPr>
            </w:pPr>
            <w:r w:rsidRPr="00215B14">
              <w:rPr>
                <w:rFonts w:cstheme="minorHAnsi"/>
                <w:sz w:val="20"/>
                <w:szCs w:val="20"/>
              </w:rPr>
              <w:t>Stress of impact outweighed by benefit to patient care.</w:t>
            </w:r>
          </w:p>
        </w:tc>
        <w:tc>
          <w:tcPr>
            <w:tcW w:w="2122" w:type="dxa"/>
          </w:tcPr>
          <w:p w14:paraId="17DF6EDD" w14:textId="77777777" w:rsidR="008F157A" w:rsidRPr="00215B14" w:rsidRDefault="008F157A" w:rsidP="008F157A">
            <w:pPr>
              <w:pStyle w:val="ListParagraph"/>
              <w:numPr>
                <w:ilvl w:val="0"/>
                <w:numId w:val="4"/>
              </w:numPr>
              <w:rPr>
                <w:rFonts w:cstheme="minorHAnsi"/>
                <w:sz w:val="20"/>
                <w:szCs w:val="20"/>
              </w:rPr>
            </w:pPr>
            <w:r w:rsidRPr="00215B14">
              <w:rPr>
                <w:rFonts w:cstheme="minorHAnsi"/>
                <w:sz w:val="20"/>
                <w:szCs w:val="20"/>
              </w:rPr>
              <w:t>Operational</w:t>
            </w:r>
          </w:p>
          <w:p w14:paraId="71ACD745" w14:textId="77777777" w:rsidR="008F157A" w:rsidRPr="00215B14" w:rsidRDefault="008F157A" w:rsidP="008F157A">
            <w:pPr>
              <w:pStyle w:val="ListParagraph"/>
              <w:numPr>
                <w:ilvl w:val="0"/>
                <w:numId w:val="4"/>
              </w:numPr>
              <w:rPr>
                <w:rFonts w:cstheme="minorHAnsi"/>
                <w:sz w:val="20"/>
                <w:szCs w:val="20"/>
              </w:rPr>
            </w:pPr>
            <w:r w:rsidRPr="00215B14">
              <w:rPr>
                <w:rFonts w:cstheme="minorHAnsi"/>
                <w:sz w:val="20"/>
                <w:szCs w:val="20"/>
              </w:rPr>
              <w:t>Educational</w:t>
            </w:r>
          </w:p>
          <w:p w14:paraId="0ECB5ABF" w14:textId="77777777" w:rsidR="008F157A" w:rsidRPr="00215B14" w:rsidRDefault="008F157A" w:rsidP="008F157A">
            <w:pPr>
              <w:pStyle w:val="ListParagraph"/>
              <w:numPr>
                <w:ilvl w:val="0"/>
                <w:numId w:val="4"/>
              </w:numPr>
              <w:rPr>
                <w:rFonts w:cstheme="minorHAnsi"/>
                <w:sz w:val="20"/>
                <w:szCs w:val="20"/>
              </w:rPr>
            </w:pPr>
            <w:r w:rsidRPr="00215B14">
              <w:rPr>
                <w:rFonts w:cstheme="minorHAnsi"/>
                <w:sz w:val="20"/>
                <w:szCs w:val="20"/>
              </w:rPr>
              <w:t>Financial</w:t>
            </w:r>
          </w:p>
          <w:p w14:paraId="2A64FB6C" w14:textId="77777777" w:rsidR="008F157A" w:rsidRPr="00215B14" w:rsidRDefault="008F157A" w:rsidP="008F157A">
            <w:pPr>
              <w:rPr>
                <w:rFonts w:cstheme="minorHAnsi"/>
                <w:sz w:val="20"/>
                <w:szCs w:val="20"/>
              </w:rPr>
            </w:pPr>
          </w:p>
          <w:p w14:paraId="26B49DD7" w14:textId="7F0E3440" w:rsidR="008F157A" w:rsidRPr="00215B14" w:rsidRDefault="008F157A" w:rsidP="008F157A">
            <w:pPr>
              <w:rPr>
                <w:rFonts w:cstheme="minorHAnsi"/>
                <w:sz w:val="20"/>
                <w:szCs w:val="20"/>
              </w:rPr>
            </w:pPr>
            <w:r w:rsidRPr="00215B14">
              <w:rPr>
                <w:rFonts w:cstheme="minorHAnsi"/>
                <w:sz w:val="20"/>
                <w:szCs w:val="20"/>
              </w:rPr>
              <w:t>All significant impact</w:t>
            </w:r>
          </w:p>
        </w:tc>
        <w:tc>
          <w:tcPr>
            <w:tcW w:w="1289" w:type="dxa"/>
            <w:vAlign w:val="center"/>
          </w:tcPr>
          <w:p w14:paraId="7A17FCBF" w14:textId="6995811D" w:rsidR="008F157A" w:rsidRPr="00215B14" w:rsidRDefault="008F157A" w:rsidP="008F157A">
            <w:pPr>
              <w:jc w:val="center"/>
              <w:rPr>
                <w:rFonts w:cstheme="minorHAnsi"/>
                <w:sz w:val="20"/>
                <w:szCs w:val="20"/>
              </w:rPr>
            </w:pPr>
            <w:r w:rsidRPr="00215B14">
              <w:rPr>
                <w:rFonts w:cstheme="minorHAnsi"/>
                <w:sz w:val="20"/>
                <w:szCs w:val="20"/>
              </w:rPr>
              <w:t>Large/Significant</w:t>
            </w:r>
          </w:p>
        </w:tc>
        <w:tc>
          <w:tcPr>
            <w:tcW w:w="1548" w:type="dxa"/>
          </w:tcPr>
          <w:p w14:paraId="3A5BAD05" w14:textId="315C825E" w:rsidR="008F157A" w:rsidRPr="00215B14" w:rsidRDefault="008F157A" w:rsidP="008F157A">
            <w:pPr>
              <w:rPr>
                <w:rFonts w:cstheme="minorHAnsi"/>
                <w:sz w:val="20"/>
                <w:szCs w:val="20"/>
              </w:rPr>
            </w:pPr>
            <w:r w:rsidRPr="00215B14">
              <w:rPr>
                <w:rFonts w:cstheme="minorHAnsi"/>
                <w:sz w:val="20"/>
                <w:szCs w:val="20"/>
              </w:rPr>
              <w:t>Adopt the National Scope of Practice changes from 2018 in an effort to maximize the capabilities of all Maine EMS Scopes of Practice</w:t>
            </w:r>
          </w:p>
        </w:tc>
      </w:tr>
      <w:tr w:rsidR="008F157A" w:rsidRPr="0071775A" w14:paraId="089B97F2" w14:textId="77777777" w:rsidTr="008F157A">
        <w:tc>
          <w:tcPr>
            <w:tcW w:w="1074" w:type="dxa"/>
          </w:tcPr>
          <w:p w14:paraId="072D0C75" w14:textId="7B780DF1" w:rsidR="008F157A" w:rsidRPr="00215B14" w:rsidRDefault="008F157A" w:rsidP="008F157A">
            <w:pPr>
              <w:rPr>
                <w:rFonts w:cstheme="minorHAnsi"/>
                <w:sz w:val="20"/>
                <w:szCs w:val="20"/>
              </w:rPr>
            </w:pPr>
            <w:r w:rsidRPr="00215B14">
              <w:rPr>
                <w:rFonts w:cstheme="minorHAnsi"/>
                <w:sz w:val="20"/>
                <w:szCs w:val="20"/>
              </w:rPr>
              <w:t>Blue 4</w:t>
            </w:r>
          </w:p>
        </w:tc>
        <w:tc>
          <w:tcPr>
            <w:tcW w:w="2207" w:type="dxa"/>
          </w:tcPr>
          <w:p w14:paraId="66439BF3" w14:textId="47BBD627" w:rsidR="008F157A" w:rsidRPr="00215B14" w:rsidRDefault="008F157A" w:rsidP="008F157A">
            <w:pPr>
              <w:rPr>
                <w:rFonts w:cstheme="minorHAnsi"/>
                <w:sz w:val="20"/>
                <w:szCs w:val="20"/>
              </w:rPr>
            </w:pPr>
            <w:r w:rsidRPr="00215B14">
              <w:rPr>
                <w:rFonts w:cstheme="minorHAnsi"/>
                <w:sz w:val="20"/>
                <w:szCs w:val="20"/>
              </w:rPr>
              <w:t>Delete old language (“Depending on the device used, ETCO2 devices may not be applicable to the pediatric patient”)</w:t>
            </w:r>
          </w:p>
        </w:tc>
        <w:tc>
          <w:tcPr>
            <w:tcW w:w="2789" w:type="dxa"/>
          </w:tcPr>
          <w:p w14:paraId="4AC2A300" w14:textId="0C137CE6" w:rsidR="008F157A" w:rsidRPr="00215B14" w:rsidRDefault="008F157A" w:rsidP="008F157A">
            <w:pPr>
              <w:rPr>
                <w:rFonts w:cstheme="minorHAnsi"/>
                <w:sz w:val="20"/>
                <w:szCs w:val="20"/>
              </w:rPr>
            </w:pPr>
            <w:r w:rsidRPr="00215B14">
              <w:rPr>
                <w:rFonts w:cstheme="minorHAnsi"/>
                <w:sz w:val="20"/>
                <w:szCs w:val="20"/>
              </w:rPr>
              <w:t xml:space="preserve">This statement is no longer true and could potentially dissuade EMS Clinicians from using ETCO2 in pediatric cases </w:t>
            </w:r>
          </w:p>
        </w:tc>
        <w:tc>
          <w:tcPr>
            <w:tcW w:w="1921" w:type="dxa"/>
          </w:tcPr>
          <w:p w14:paraId="1455A717" w14:textId="40D841EF" w:rsidR="008F157A" w:rsidRPr="00215B14" w:rsidRDefault="008F157A" w:rsidP="008F157A">
            <w:pPr>
              <w:rPr>
                <w:rFonts w:cstheme="minorHAnsi"/>
                <w:sz w:val="20"/>
                <w:szCs w:val="20"/>
              </w:rPr>
            </w:pPr>
            <w:r w:rsidRPr="00215B14">
              <w:rPr>
                <w:rFonts w:cstheme="minorHAnsi"/>
                <w:sz w:val="20"/>
                <w:szCs w:val="20"/>
              </w:rPr>
              <w:t>Old language no longer applicable to current protocols</w:t>
            </w:r>
          </w:p>
        </w:tc>
        <w:tc>
          <w:tcPr>
            <w:tcW w:w="2122" w:type="dxa"/>
          </w:tcPr>
          <w:p w14:paraId="27F41C28" w14:textId="5EF7692B" w:rsidR="008F157A" w:rsidRPr="00215B14" w:rsidRDefault="008F157A" w:rsidP="008F157A">
            <w:pPr>
              <w:rPr>
                <w:rFonts w:cstheme="minorHAnsi"/>
                <w:sz w:val="20"/>
                <w:szCs w:val="20"/>
              </w:rPr>
            </w:pPr>
            <w:r w:rsidRPr="00215B14">
              <w:rPr>
                <w:rFonts w:cstheme="minorHAnsi"/>
                <w:sz w:val="20"/>
                <w:szCs w:val="20"/>
              </w:rPr>
              <w:t>n/a</w:t>
            </w:r>
          </w:p>
        </w:tc>
        <w:tc>
          <w:tcPr>
            <w:tcW w:w="1289" w:type="dxa"/>
            <w:vAlign w:val="center"/>
          </w:tcPr>
          <w:p w14:paraId="5AE8E63F" w14:textId="6E6D2FC9" w:rsidR="008F157A" w:rsidRPr="00215B14" w:rsidRDefault="008F157A" w:rsidP="008F157A">
            <w:pPr>
              <w:jc w:val="center"/>
              <w:rPr>
                <w:rFonts w:cstheme="minorHAnsi"/>
                <w:sz w:val="20"/>
                <w:szCs w:val="20"/>
              </w:rPr>
            </w:pPr>
            <w:r w:rsidRPr="00215B14">
              <w:rPr>
                <w:rFonts w:cstheme="minorHAnsi"/>
                <w:sz w:val="20"/>
                <w:szCs w:val="20"/>
              </w:rPr>
              <w:t>N/A</w:t>
            </w:r>
          </w:p>
        </w:tc>
        <w:tc>
          <w:tcPr>
            <w:tcW w:w="1548" w:type="dxa"/>
          </w:tcPr>
          <w:p w14:paraId="3251D66B" w14:textId="727D20D8" w:rsidR="008F157A" w:rsidRPr="00215B14" w:rsidRDefault="008F157A" w:rsidP="008F157A">
            <w:pPr>
              <w:rPr>
                <w:rFonts w:cstheme="minorHAnsi"/>
                <w:sz w:val="20"/>
                <w:szCs w:val="20"/>
              </w:rPr>
            </w:pPr>
            <w:r w:rsidRPr="00215B14">
              <w:rPr>
                <w:rFonts w:cstheme="minorHAnsi"/>
                <w:sz w:val="20"/>
                <w:szCs w:val="20"/>
              </w:rPr>
              <w:t xml:space="preserve">Clarification </w:t>
            </w:r>
          </w:p>
        </w:tc>
      </w:tr>
      <w:tr w:rsidR="008F157A" w:rsidRPr="0071775A" w14:paraId="6E556089" w14:textId="77777777" w:rsidTr="008F157A">
        <w:tc>
          <w:tcPr>
            <w:tcW w:w="1074" w:type="dxa"/>
          </w:tcPr>
          <w:p w14:paraId="5420E6EB" w14:textId="62AB3827" w:rsidR="008F157A" w:rsidRPr="00215B14" w:rsidRDefault="008F157A" w:rsidP="008F157A">
            <w:pPr>
              <w:rPr>
                <w:rFonts w:cstheme="minorHAnsi"/>
                <w:sz w:val="20"/>
                <w:szCs w:val="20"/>
              </w:rPr>
            </w:pPr>
            <w:r w:rsidRPr="00215B14">
              <w:rPr>
                <w:rFonts w:cstheme="minorHAnsi"/>
                <w:sz w:val="20"/>
                <w:szCs w:val="20"/>
              </w:rPr>
              <w:t>Blue 5</w:t>
            </w:r>
          </w:p>
        </w:tc>
        <w:tc>
          <w:tcPr>
            <w:tcW w:w="2207" w:type="dxa"/>
          </w:tcPr>
          <w:p w14:paraId="0D47B491" w14:textId="5D961DA3" w:rsidR="008F157A" w:rsidRPr="00215B14" w:rsidRDefault="008F157A" w:rsidP="008F157A">
            <w:pPr>
              <w:rPr>
                <w:rFonts w:cstheme="minorHAnsi"/>
                <w:sz w:val="20"/>
                <w:szCs w:val="20"/>
              </w:rPr>
            </w:pPr>
            <w:r w:rsidRPr="00215B14">
              <w:rPr>
                <w:rFonts w:cstheme="minorHAnsi"/>
                <w:sz w:val="20"/>
                <w:szCs w:val="20"/>
              </w:rPr>
              <w:t>Clarify age to consider surgical cricothyroidotomy</w:t>
            </w:r>
          </w:p>
        </w:tc>
        <w:tc>
          <w:tcPr>
            <w:tcW w:w="2789" w:type="dxa"/>
          </w:tcPr>
          <w:p w14:paraId="12E6E76F" w14:textId="62FBDE83" w:rsidR="008F157A" w:rsidRPr="00215B14" w:rsidRDefault="008F157A" w:rsidP="008F157A">
            <w:pPr>
              <w:rPr>
                <w:rFonts w:cstheme="minorHAnsi"/>
                <w:sz w:val="20"/>
                <w:szCs w:val="20"/>
              </w:rPr>
            </w:pPr>
            <w:r w:rsidRPr="00215B14">
              <w:rPr>
                <w:rFonts w:cstheme="minorHAnsi"/>
                <w:sz w:val="20"/>
                <w:szCs w:val="20"/>
              </w:rPr>
              <w:t>Clarification</w:t>
            </w:r>
          </w:p>
        </w:tc>
        <w:tc>
          <w:tcPr>
            <w:tcW w:w="1921" w:type="dxa"/>
          </w:tcPr>
          <w:p w14:paraId="231041AC" w14:textId="436641F8" w:rsidR="008F157A" w:rsidRPr="00215B14" w:rsidRDefault="008F157A" w:rsidP="008F157A">
            <w:pPr>
              <w:rPr>
                <w:rFonts w:cstheme="minorHAnsi"/>
                <w:sz w:val="20"/>
                <w:szCs w:val="20"/>
              </w:rPr>
            </w:pPr>
            <w:r w:rsidRPr="00215B14">
              <w:rPr>
                <w:rFonts w:cstheme="minorHAnsi"/>
                <w:sz w:val="20"/>
                <w:szCs w:val="20"/>
              </w:rPr>
              <w:t xml:space="preserve">Previous protocol had different ages. Literature review </w:t>
            </w:r>
            <w:r w:rsidRPr="00215B14">
              <w:rPr>
                <w:rFonts w:cstheme="minorHAnsi"/>
                <w:sz w:val="20"/>
                <w:szCs w:val="20"/>
              </w:rPr>
              <w:lastRenderedPageBreak/>
              <w:t>supported less than 8 years old.</w:t>
            </w:r>
          </w:p>
        </w:tc>
        <w:tc>
          <w:tcPr>
            <w:tcW w:w="2122" w:type="dxa"/>
          </w:tcPr>
          <w:p w14:paraId="3F494F1D" w14:textId="548A8271" w:rsidR="008F157A" w:rsidRPr="00215B14" w:rsidRDefault="008F157A" w:rsidP="008F157A">
            <w:pPr>
              <w:rPr>
                <w:rFonts w:cstheme="minorHAnsi"/>
                <w:sz w:val="20"/>
                <w:szCs w:val="20"/>
              </w:rPr>
            </w:pPr>
            <w:r w:rsidRPr="00215B14">
              <w:rPr>
                <w:rFonts w:cstheme="minorHAnsi"/>
                <w:sz w:val="20"/>
                <w:szCs w:val="20"/>
              </w:rPr>
              <w:lastRenderedPageBreak/>
              <w:t>Educational</w:t>
            </w:r>
          </w:p>
        </w:tc>
        <w:tc>
          <w:tcPr>
            <w:tcW w:w="1289" w:type="dxa"/>
            <w:vAlign w:val="center"/>
          </w:tcPr>
          <w:p w14:paraId="7A6CD171" w14:textId="317E1BAF" w:rsidR="008F157A" w:rsidRPr="00215B14" w:rsidRDefault="008F157A" w:rsidP="008F157A">
            <w:pPr>
              <w:jc w:val="center"/>
              <w:rPr>
                <w:rFonts w:cstheme="minorHAnsi"/>
                <w:sz w:val="20"/>
                <w:szCs w:val="20"/>
              </w:rPr>
            </w:pPr>
            <w:r w:rsidRPr="00215B14">
              <w:rPr>
                <w:rFonts w:cstheme="minorHAnsi"/>
                <w:sz w:val="20"/>
                <w:szCs w:val="20"/>
              </w:rPr>
              <w:t>Small</w:t>
            </w:r>
          </w:p>
        </w:tc>
        <w:tc>
          <w:tcPr>
            <w:tcW w:w="1548" w:type="dxa"/>
          </w:tcPr>
          <w:p w14:paraId="48227E55" w14:textId="36361332" w:rsidR="008F157A" w:rsidRPr="00215B14" w:rsidRDefault="008F157A" w:rsidP="008F157A">
            <w:pPr>
              <w:rPr>
                <w:rFonts w:cstheme="minorHAnsi"/>
                <w:sz w:val="20"/>
                <w:szCs w:val="20"/>
              </w:rPr>
            </w:pPr>
            <w:r w:rsidRPr="00215B14">
              <w:rPr>
                <w:rFonts w:cstheme="minorHAnsi"/>
                <w:sz w:val="20"/>
                <w:szCs w:val="20"/>
              </w:rPr>
              <w:t xml:space="preserve">Clarification and Standardization with common </w:t>
            </w:r>
            <w:r w:rsidRPr="00215B14">
              <w:rPr>
                <w:rFonts w:cstheme="minorHAnsi"/>
                <w:sz w:val="20"/>
                <w:szCs w:val="20"/>
              </w:rPr>
              <w:lastRenderedPageBreak/>
              <w:t>Emergency Care Practice</w:t>
            </w:r>
          </w:p>
        </w:tc>
      </w:tr>
      <w:tr w:rsidR="008F157A" w:rsidRPr="0071775A" w14:paraId="3EB8BF86" w14:textId="77777777" w:rsidTr="008F157A">
        <w:tc>
          <w:tcPr>
            <w:tcW w:w="1074" w:type="dxa"/>
          </w:tcPr>
          <w:p w14:paraId="7E7C00D0" w14:textId="739441CC" w:rsidR="008F157A" w:rsidRPr="00215B14" w:rsidRDefault="008F157A" w:rsidP="008F157A">
            <w:pPr>
              <w:rPr>
                <w:rFonts w:cstheme="minorHAnsi"/>
                <w:sz w:val="20"/>
                <w:szCs w:val="20"/>
              </w:rPr>
            </w:pPr>
            <w:r w:rsidRPr="00215B14">
              <w:rPr>
                <w:rFonts w:cstheme="minorHAnsi"/>
                <w:sz w:val="20"/>
                <w:szCs w:val="20"/>
              </w:rPr>
              <w:lastRenderedPageBreak/>
              <w:t>Blue 6</w:t>
            </w:r>
          </w:p>
        </w:tc>
        <w:tc>
          <w:tcPr>
            <w:tcW w:w="2207" w:type="dxa"/>
          </w:tcPr>
          <w:p w14:paraId="763836DA" w14:textId="19AD12C4" w:rsidR="008F157A" w:rsidRPr="00215B14" w:rsidRDefault="008F157A" w:rsidP="008F157A">
            <w:pPr>
              <w:rPr>
                <w:rFonts w:cstheme="minorHAnsi"/>
                <w:sz w:val="20"/>
                <w:szCs w:val="20"/>
              </w:rPr>
            </w:pPr>
            <w:r w:rsidRPr="00215B14">
              <w:rPr>
                <w:rFonts w:cstheme="minorHAnsi"/>
                <w:sz w:val="20"/>
                <w:szCs w:val="20"/>
              </w:rPr>
              <w:t>Clarify pediatric midazolam dosing in Post-Intubation/BIAD Pain Control protocol</w:t>
            </w:r>
          </w:p>
        </w:tc>
        <w:tc>
          <w:tcPr>
            <w:tcW w:w="2789" w:type="dxa"/>
          </w:tcPr>
          <w:p w14:paraId="659D3CCF" w14:textId="1FB5B329" w:rsidR="008F157A" w:rsidRPr="00215B14" w:rsidRDefault="008F157A" w:rsidP="008F157A">
            <w:pPr>
              <w:rPr>
                <w:rFonts w:cstheme="minorHAnsi"/>
                <w:sz w:val="20"/>
                <w:szCs w:val="20"/>
              </w:rPr>
            </w:pPr>
            <w:r w:rsidRPr="00215B14">
              <w:rPr>
                <w:rFonts w:cstheme="minorHAnsi"/>
                <w:sz w:val="20"/>
                <w:szCs w:val="20"/>
              </w:rPr>
              <w:t>Clarification/simplification of dosing</w:t>
            </w:r>
          </w:p>
        </w:tc>
        <w:tc>
          <w:tcPr>
            <w:tcW w:w="1921" w:type="dxa"/>
          </w:tcPr>
          <w:p w14:paraId="5C32B587" w14:textId="44FDA042" w:rsidR="008F157A" w:rsidRPr="00215B14" w:rsidRDefault="008F157A" w:rsidP="008F157A">
            <w:pPr>
              <w:rPr>
                <w:rFonts w:cstheme="minorHAnsi"/>
                <w:sz w:val="20"/>
                <w:szCs w:val="20"/>
              </w:rPr>
            </w:pPr>
            <w:r w:rsidRPr="00215B14">
              <w:rPr>
                <w:rFonts w:cstheme="minorHAnsi"/>
                <w:sz w:val="20"/>
                <w:szCs w:val="20"/>
              </w:rPr>
              <w:t>Language now easier to read.</w:t>
            </w:r>
          </w:p>
        </w:tc>
        <w:tc>
          <w:tcPr>
            <w:tcW w:w="2122" w:type="dxa"/>
          </w:tcPr>
          <w:p w14:paraId="60BB1180" w14:textId="77777777" w:rsidR="008F157A" w:rsidRPr="00215B14" w:rsidRDefault="008F157A" w:rsidP="008F157A">
            <w:pPr>
              <w:pStyle w:val="ListParagraph"/>
              <w:numPr>
                <w:ilvl w:val="0"/>
                <w:numId w:val="4"/>
              </w:numPr>
              <w:rPr>
                <w:rFonts w:cstheme="minorHAnsi"/>
                <w:sz w:val="20"/>
                <w:szCs w:val="20"/>
              </w:rPr>
            </w:pPr>
            <w:r w:rsidRPr="00215B14">
              <w:rPr>
                <w:rFonts w:cstheme="minorHAnsi"/>
                <w:sz w:val="20"/>
                <w:szCs w:val="20"/>
              </w:rPr>
              <w:t>Educational</w:t>
            </w:r>
          </w:p>
          <w:p w14:paraId="206ADE34" w14:textId="77777777" w:rsidR="008F157A" w:rsidRPr="00215B14" w:rsidRDefault="008F157A" w:rsidP="008F157A">
            <w:pPr>
              <w:rPr>
                <w:rFonts w:cstheme="minorHAnsi"/>
                <w:sz w:val="20"/>
                <w:szCs w:val="20"/>
              </w:rPr>
            </w:pPr>
          </w:p>
        </w:tc>
        <w:tc>
          <w:tcPr>
            <w:tcW w:w="1289" w:type="dxa"/>
            <w:vAlign w:val="center"/>
          </w:tcPr>
          <w:p w14:paraId="3EDB226B" w14:textId="38759B65" w:rsidR="008F157A" w:rsidRPr="00215B14" w:rsidRDefault="008F157A" w:rsidP="008F157A">
            <w:pPr>
              <w:jc w:val="center"/>
              <w:rPr>
                <w:rFonts w:cstheme="minorHAnsi"/>
                <w:sz w:val="20"/>
                <w:szCs w:val="20"/>
              </w:rPr>
            </w:pPr>
            <w:r w:rsidRPr="00215B14">
              <w:rPr>
                <w:rFonts w:cstheme="minorHAnsi"/>
                <w:sz w:val="20"/>
                <w:szCs w:val="20"/>
              </w:rPr>
              <w:t>Small</w:t>
            </w:r>
          </w:p>
        </w:tc>
        <w:tc>
          <w:tcPr>
            <w:tcW w:w="1548" w:type="dxa"/>
          </w:tcPr>
          <w:p w14:paraId="77C43F2E" w14:textId="7FFB47C1" w:rsidR="008F157A" w:rsidRPr="00215B14" w:rsidRDefault="008F157A" w:rsidP="008F157A">
            <w:pPr>
              <w:rPr>
                <w:rFonts w:cstheme="minorHAnsi"/>
                <w:sz w:val="20"/>
                <w:szCs w:val="20"/>
              </w:rPr>
            </w:pPr>
            <w:r w:rsidRPr="00215B14">
              <w:rPr>
                <w:rFonts w:cstheme="minorHAnsi"/>
                <w:sz w:val="20"/>
                <w:szCs w:val="20"/>
              </w:rPr>
              <w:t>Clarification based on EMS Clinician input that the 2019 changes were confusing</w:t>
            </w:r>
          </w:p>
        </w:tc>
      </w:tr>
      <w:tr w:rsidR="008F157A" w:rsidRPr="0071775A" w14:paraId="3539E5F7" w14:textId="77777777" w:rsidTr="008F157A">
        <w:tc>
          <w:tcPr>
            <w:tcW w:w="1074" w:type="dxa"/>
          </w:tcPr>
          <w:p w14:paraId="38B17FE0" w14:textId="18A6EA16" w:rsidR="008F157A" w:rsidRPr="00215B14" w:rsidRDefault="008F157A" w:rsidP="008F157A">
            <w:pPr>
              <w:rPr>
                <w:rFonts w:cstheme="minorHAnsi"/>
                <w:sz w:val="20"/>
                <w:szCs w:val="20"/>
              </w:rPr>
            </w:pPr>
            <w:r w:rsidRPr="00215B14">
              <w:rPr>
                <w:rFonts w:cstheme="minorHAnsi"/>
                <w:sz w:val="20"/>
                <w:szCs w:val="20"/>
              </w:rPr>
              <w:t xml:space="preserve"> Blue 7-9</w:t>
            </w:r>
          </w:p>
        </w:tc>
        <w:tc>
          <w:tcPr>
            <w:tcW w:w="2207" w:type="dxa"/>
          </w:tcPr>
          <w:p w14:paraId="0C83933D" w14:textId="566F1EB0" w:rsidR="008F157A" w:rsidRPr="00215B14" w:rsidRDefault="008F157A" w:rsidP="008F157A">
            <w:pPr>
              <w:rPr>
                <w:rFonts w:cstheme="minorHAnsi"/>
                <w:sz w:val="20"/>
                <w:szCs w:val="20"/>
              </w:rPr>
            </w:pPr>
            <w:r w:rsidRPr="00215B14">
              <w:rPr>
                <w:rFonts w:cstheme="minorHAnsi"/>
                <w:sz w:val="20"/>
                <w:szCs w:val="20"/>
              </w:rPr>
              <w:t>Add albuterol, ipratropium to EMT scope of practice</w:t>
            </w:r>
          </w:p>
        </w:tc>
        <w:tc>
          <w:tcPr>
            <w:tcW w:w="2789" w:type="dxa"/>
          </w:tcPr>
          <w:p w14:paraId="7FF937D3" w14:textId="77777777" w:rsidR="008F157A" w:rsidRPr="00215B14" w:rsidRDefault="008F157A" w:rsidP="008F157A">
            <w:pPr>
              <w:pStyle w:val="ListParagraph"/>
              <w:numPr>
                <w:ilvl w:val="0"/>
                <w:numId w:val="2"/>
              </w:numPr>
              <w:rPr>
                <w:rFonts w:cstheme="minorHAnsi"/>
                <w:sz w:val="20"/>
                <w:szCs w:val="20"/>
              </w:rPr>
            </w:pPr>
            <w:r w:rsidRPr="00215B14">
              <w:rPr>
                <w:rFonts w:cstheme="minorHAnsi"/>
                <w:sz w:val="20"/>
                <w:szCs w:val="20"/>
              </w:rPr>
              <w:t>Improve EMS system impact on patient care</w:t>
            </w:r>
          </w:p>
          <w:p w14:paraId="2EB43CFD" w14:textId="16DF9D74" w:rsidR="008F157A" w:rsidRPr="00215B14" w:rsidRDefault="008F157A" w:rsidP="008F157A">
            <w:pPr>
              <w:rPr>
                <w:rFonts w:cstheme="minorHAnsi"/>
                <w:sz w:val="20"/>
                <w:szCs w:val="20"/>
              </w:rPr>
            </w:pPr>
            <w:r w:rsidRPr="00215B14">
              <w:rPr>
                <w:rFonts w:cstheme="minorHAnsi"/>
                <w:sz w:val="20"/>
                <w:szCs w:val="20"/>
              </w:rPr>
              <w:t>Bring Maine in line with National Scope of Practice</w:t>
            </w:r>
          </w:p>
        </w:tc>
        <w:tc>
          <w:tcPr>
            <w:tcW w:w="1921" w:type="dxa"/>
          </w:tcPr>
          <w:p w14:paraId="539487BB" w14:textId="50F9E3A9" w:rsidR="008F157A" w:rsidRPr="00215B14" w:rsidRDefault="008F157A" w:rsidP="008F157A">
            <w:pPr>
              <w:rPr>
                <w:rFonts w:cstheme="minorHAnsi"/>
                <w:sz w:val="20"/>
                <w:szCs w:val="20"/>
              </w:rPr>
            </w:pPr>
            <w:r w:rsidRPr="00215B14">
              <w:rPr>
                <w:rFonts w:cstheme="minorHAnsi"/>
                <w:sz w:val="20"/>
                <w:szCs w:val="20"/>
              </w:rPr>
              <w:t xml:space="preserve">Group felt impact outweighed by positive impact on patient care.  </w:t>
            </w:r>
          </w:p>
        </w:tc>
        <w:tc>
          <w:tcPr>
            <w:tcW w:w="2122" w:type="dxa"/>
          </w:tcPr>
          <w:p w14:paraId="039B3D49" w14:textId="77777777" w:rsidR="008F157A" w:rsidRPr="00215B14" w:rsidRDefault="008F157A" w:rsidP="008F157A">
            <w:pPr>
              <w:pStyle w:val="ListParagraph"/>
              <w:numPr>
                <w:ilvl w:val="0"/>
                <w:numId w:val="5"/>
              </w:numPr>
              <w:rPr>
                <w:rFonts w:cstheme="minorHAnsi"/>
                <w:sz w:val="20"/>
                <w:szCs w:val="20"/>
              </w:rPr>
            </w:pPr>
            <w:r w:rsidRPr="00215B14">
              <w:rPr>
                <w:rFonts w:cstheme="minorHAnsi"/>
                <w:sz w:val="20"/>
                <w:szCs w:val="20"/>
              </w:rPr>
              <w:t>Operational</w:t>
            </w:r>
          </w:p>
          <w:p w14:paraId="758ACE91" w14:textId="77777777" w:rsidR="008F157A" w:rsidRPr="00215B14" w:rsidRDefault="008F157A" w:rsidP="008F157A">
            <w:pPr>
              <w:pStyle w:val="ListParagraph"/>
              <w:numPr>
                <w:ilvl w:val="0"/>
                <w:numId w:val="5"/>
              </w:numPr>
              <w:rPr>
                <w:rFonts w:cstheme="minorHAnsi"/>
                <w:sz w:val="20"/>
                <w:szCs w:val="20"/>
              </w:rPr>
            </w:pPr>
            <w:r w:rsidRPr="00215B14">
              <w:rPr>
                <w:rFonts w:cstheme="minorHAnsi"/>
                <w:sz w:val="20"/>
                <w:szCs w:val="20"/>
              </w:rPr>
              <w:t>Educational</w:t>
            </w:r>
          </w:p>
          <w:p w14:paraId="69238197" w14:textId="77777777" w:rsidR="008F157A" w:rsidRPr="00215B14" w:rsidRDefault="008F157A" w:rsidP="008F157A">
            <w:pPr>
              <w:pStyle w:val="ListParagraph"/>
              <w:numPr>
                <w:ilvl w:val="0"/>
                <w:numId w:val="5"/>
              </w:numPr>
              <w:rPr>
                <w:rFonts w:cstheme="minorHAnsi"/>
                <w:sz w:val="20"/>
                <w:szCs w:val="20"/>
              </w:rPr>
            </w:pPr>
            <w:r w:rsidRPr="00215B14">
              <w:rPr>
                <w:rFonts w:cstheme="minorHAnsi"/>
                <w:sz w:val="20"/>
                <w:szCs w:val="20"/>
              </w:rPr>
              <w:t>Financial</w:t>
            </w:r>
          </w:p>
          <w:p w14:paraId="122F73DF" w14:textId="77777777" w:rsidR="008F157A" w:rsidRPr="00215B14" w:rsidRDefault="008F157A" w:rsidP="008F157A">
            <w:pPr>
              <w:rPr>
                <w:rFonts w:cstheme="minorHAnsi"/>
                <w:sz w:val="20"/>
                <w:szCs w:val="20"/>
              </w:rPr>
            </w:pPr>
          </w:p>
          <w:p w14:paraId="0427F844" w14:textId="417CE8B6" w:rsidR="008F157A" w:rsidRPr="00215B14" w:rsidRDefault="008F157A" w:rsidP="008F157A">
            <w:pPr>
              <w:rPr>
                <w:rFonts w:cstheme="minorHAnsi"/>
                <w:sz w:val="20"/>
                <w:szCs w:val="20"/>
              </w:rPr>
            </w:pPr>
            <w:r w:rsidRPr="00215B14">
              <w:rPr>
                <w:rFonts w:cstheme="minorHAnsi"/>
                <w:sz w:val="20"/>
                <w:szCs w:val="20"/>
              </w:rPr>
              <w:t>All significant impact</w:t>
            </w:r>
          </w:p>
        </w:tc>
        <w:tc>
          <w:tcPr>
            <w:tcW w:w="1289" w:type="dxa"/>
            <w:vAlign w:val="center"/>
          </w:tcPr>
          <w:p w14:paraId="0C6BE854" w14:textId="76EF3887" w:rsidR="008F157A" w:rsidRPr="00215B14" w:rsidRDefault="008F157A" w:rsidP="008F157A">
            <w:pPr>
              <w:jc w:val="center"/>
              <w:rPr>
                <w:rFonts w:cstheme="minorHAnsi"/>
                <w:sz w:val="20"/>
                <w:szCs w:val="20"/>
              </w:rPr>
            </w:pPr>
            <w:r w:rsidRPr="00215B14">
              <w:rPr>
                <w:rFonts w:cstheme="minorHAnsi"/>
                <w:sz w:val="20"/>
                <w:szCs w:val="20"/>
              </w:rPr>
              <w:t>Major/Significant</w:t>
            </w:r>
          </w:p>
        </w:tc>
        <w:tc>
          <w:tcPr>
            <w:tcW w:w="1548" w:type="dxa"/>
          </w:tcPr>
          <w:p w14:paraId="22BC84A8" w14:textId="2BD7C72D" w:rsidR="008F157A" w:rsidRPr="00215B14" w:rsidRDefault="008F157A" w:rsidP="008F157A">
            <w:pPr>
              <w:rPr>
                <w:rFonts w:cstheme="minorHAnsi"/>
                <w:sz w:val="20"/>
                <w:szCs w:val="20"/>
              </w:rPr>
            </w:pPr>
            <w:r w:rsidRPr="00215B14">
              <w:rPr>
                <w:rFonts w:cstheme="minorHAnsi"/>
                <w:sz w:val="20"/>
                <w:szCs w:val="20"/>
              </w:rPr>
              <w:t>Adopt the National Scope of Practice changes from 2018 in an effort to maximize the capabilities of all Maine EMS Scopes of Practice</w:t>
            </w:r>
          </w:p>
        </w:tc>
      </w:tr>
      <w:tr w:rsidR="008F157A" w:rsidRPr="0071775A" w14:paraId="4364971F" w14:textId="77777777" w:rsidTr="008F157A">
        <w:tc>
          <w:tcPr>
            <w:tcW w:w="1074" w:type="dxa"/>
          </w:tcPr>
          <w:p w14:paraId="441CD73A" w14:textId="1BA8321A" w:rsidR="008F157A" w:rsidRPr="00215B14" w:rsidRDefault="008F157A" w:rsidP="008F157A">
            <w:pPr>
              <w:rPr>
                <w:rFonts w:cstheme="minorHAnsi"/>
                <w:sz w:val="20"/>
                <w:szCs w:val="20"/>
              </w:rPr>
            </w:pPr>
            <w:r w:rsidRPr="00215B14">
              <w:rPr>
                <w:rFonts w:cstheme="minorHAnsi"/>
                <w:sz w:val="20"/>
                <w:szCs w:val="20"/>
              </w:rPr>
              <w:t>Blue 8</w:t>
            </w:r>
          </w:p>
        </w:tc>
        <w:tc>
          <w:tcPr>
            <w:tcW w:w="2207" w:type="dxa"/>
          </w:tcPr>
          <w:p w14:paraId="2179AB4E" w14:textId="1E96C373" w:rsidR="008F157A" w:rsidRPr="00215B14" w:rsidRDefault="008F157A" w:rsidP="008F157A">
            <w:pPr>
              <w:rPr>
                <w:rFonts w:cstheme="minorHAnsi"/>
                <w:sz w:val="20"/>
                <w:szCs w:val="20"/>
              </w:rPr>
            </w:pPr>
            <w:r w:rsidRPr="00215B14">
              <w:rPr>
                <w:rFonts w:cstheme="minorHAnsi"/>
                <w:sz w:val="20"/>
                <w:szCs w:val="20"/>
              </w:rPr>
              <w:t>Allow oral route of administration for dexamethasone in bronchospasm</w:t>
            </w:r>
          </w:p>
        </w:tc>
        <w:tc>
          <w:tcPr>
            <w:tcW w:w="2789" w:type="dxa"/>
          </w:tcPr>
          <w:p w14:paraId="53ADA401" w14:textId="18D4C881" w:rsidR="008F157A" w:rsidRPr="00215B14" w:rsidRDefault="008F157A" w:rsidP="008F157A">
            <w:pPr>
              <w:rPr>
                <w:rFonts w:cstheme="minorHAnsi"/>
                <w:sz w:val="20"/>
                <w:szCs w:val="20"/>
              </w:rPr>
            </w:pPr>
            <w:r w:rsidRPr="00215B14">
              <w:rPr>
                <w:rFonts w:cstheme="minorHAnsi"/>
                <w:sz w:val="20"/>
                <w:szCs w:val="20"/>
              </w:rPr>
              <w:t>Patient comfort</w:t>
            </w:r>
          </w:p>
        </w:tc>
        <w:tc>
          <w:tcPr>
            <w:tcW w:w="1921" w:type="dxa"/>
          </w:tcPr>
          <w:p w14:paraId="47799DF1" w14:textId="1D9FA283" w:rsidR="008F157A" w:rsidRPr="00215B14" w:rsidRDefault="008F157A" w:rsidP="008F157A">
            <w:pPr>
              <w:rPr>
                <w:rFonts w:cstheme="minorHAnsi"/>
                <w:sz w:val="20"/>
                <w:szCs w:val="20"/>
              </w:rPr>
            </w:pPr>
            <w:r w:rsidRPr="00215B14">
              <w:rPr>
                <w:rFonts w:cstheme="minorHAnsi"/>
                <w:sz w:val="20"/>
                <w:szCs w:val="20"/>
              </w:rPr>
              <w:t>Reflects ED/hospital care</w:t>
            </w:r>
          </w:p>
        </w:tc>
        <w:tc>
          <w:tcPr>
            <w:tcW w:w="2122" w:type="dxa"/>
          </w:tcPr>
          <w:p w14:paraId="1FAD0FC1" w14:textId="6FF85885" w:rsidR="008F157A" w:rsidRPr="00215B14" w:rsidRDefault="008F157A" w:rsidP="008F157A">
            <w:pPr>
              <w:rPr>
                <w:rFonts w:cstheme="minorHAnsi"/>
                <w:sz w:val="20"/>
                <w:szCs w:val="20"/>
              </w:rPr>
            </w:pPr>
            <w:r w:rsidRPr="00215B14">
              <w:rPr>
                <w:rFonts w:cstheme="minorHAnsi"/>
                <w:sz w:val="20"/>
                <w:szCs w:val="20"/>
              </w:rPr>
              <w:t>Educational</w:t>
            </w:r>
          </w:p>
        </w:tc>
        <w:tc>
          <w:tcPr>
            <w:tcW w:w="1289" w:type="dxa"/>
            <w:vAlign w:val="center"/>
          </w:tcPr>
          <w:p w14:paraId="4D42137D" w14:textId="2AE93BAF" w:rsidR="008F157A" w:rsidRPr="00215B14" w:rsidRDefault="008F157A" w:rsidP="008F157A">
            <w:pPr>
              <w:jc w:val="center"/>
              <w:rPr>
                <w:rFonts w:cstheme="minorHAnsi"/>
                <w:sz w:val="20"/>
                <w:szCs w:val="20"/>
              </w:rPr>
            </w:pPr>
            <w:r w:rsidRPr="00215B14">
              <w:rPr>
                <w:rFonts w:cstheme="minorHAnsi"/>
                <w:sz w:val="20"/>
                <w:szCs w:val="20"/>
              </w:rPr>
              <w:t>Medium</w:t>
            </w:r>
          </w:p>
        </w:tc>
        <w:tc>
          <w:tcPr>
            <w:tcW w:w="1548" w:type="dxa"/>
          </w:tcPr>
          <w:p w14:paraId="7AF27AF9" w14:textId="0E48CA88" w:rsidR="008F157A" w:rsidRPr="00215B14" w:rsidRDefault="008F157A" w:rsidP="008F157A">
            <w:pPr>
              <w:rPr>
                <w:rFonts w:cstheme="minorHAnsi"/>
                <w:sz w:val="20"/>
                <w:szCs w:val="20"/>
              </w:rPr>
            </w:pPr>
            <w:r w:rsidRPr="00215B14">
              <w:rPr>
                <w:rFonts w:cstheme="minorHAnsi"/>
                <w:sz w:val="20"/>
                <w:szCs w:val="20"/>
              </w:rPr>
              <w:t xml:space="preserve">Patient comfort </w:t>
            </w:r>
          </w:p>
        </w:tc>
      </w:tr>
      <w:tr w:rsidR="008F157A" w:rsidRPr="0071775A" w14:paraId="4F4BCBA7" w14:textId="77777777" w:rsidTr="008F157A">
        <w:tc>
          <w:tcPr>
            <w:tcW w:w="1074" w:type="dxa"/>
          </w:tcPr>
          <w:p w14:paraId="73637F0B" w14:textId="361CB968" w:rsidR="008F157A" w:rsidRPr="00215B14" w:rsidRDefault="008F157A" w:rsidP="008F157A">
            <w:pPr>
              <w:rPr>
                <w:rFonts w:cstheme="minorHAnsi"/>
                <w:sz w:val="20"/>
                <w:szCs w:val="20"/>
              </w:rPr>
            </w:pPr>
            <w:r w:rsidRPr="00215B14">
              <w:rPr>
                <w:rFonts w:cstheme="minorHAnsi"/>
                <w:sz w:val="20"/>
                <w:szCs w:val="20"/>
              </w:rPr>
              <w:t>Blue 8</w:t>
            </w:r>
          </w:p>
        </w:tc>
        <w:tc>
          <w:tcPr>
            <w:tcW w:w="2207" w:type="dxa"/>
          </w:tcPr>
          <w:p w14:paraId="4B0DD15D" w14:textId="07019BA2" w:rsidR="008F157A" w:rsidRPr="00215B14" w:rsidRDefault="008F157A" w:rsidP="008F157A">
            <w:pPr>
              <w:rPr>
                <w:rFonts w:cstheme="minorHAnsi"/>
                <w:sz w:val="20"/>
                <w:szCs w:val="20"/>
              </w:rPr>
            </w:pPr>
            <w:r w:rsidRPr="00215B14">
              <w:rPr>
                <w:rFonts w:cstheme="minorHAnsi"/>
                <w:sz w:val="20"/>
                <w:szCs w:val="20"/>
              </w:rPr>
              <w:t>Emphasize advanced airway management over intubation</w:t>
            </w:r>
          </w:p>
        </w:tc>
        <w:tc>
          <w:tcPr>
            <w:tcW w:w="2789" w:type="dxa"/>
          </w:tcPr>
          <w:p w14:paraId="6C25CD1A" w14:textId="63BC48F3" w:rsidR="008F157A" w:rsidRPr="00215B14" w:rsidRDefault="008F157A" w:rsidP="008F157A">
            <w:pPr>
              <w:rPr>
                <w:rFonts w:cstheme="minorHAnsi"/>
                <w:sz w:val="20"/>
                <w:szCs w:val="20"/>
              </w:rPr>
            </w:pPr>
            <w:r w:rsidRPr="00215B14">
              <w:rPr>
                <w:rFonts w:cstheme="minorHAnsi"/>
                <w:sz w:val="20"/>
                <w:szCs w:val="20"/>
              </w:rPr>
              <w:t>Clarification</w:t>
            </w:r>
          </w:p>
        </w:tc>
        <w:tc>
          <w:tcPr>
            <w:tcW w:w="1921" w:type="dxa"/>
          </w:tcPr>
          <w:p w14:paraId="013A4301" w14:textId="102A4672" w:rsidR="008F157A" w:rsidRPr="00215B14" w:rsidRDefault="008F157A" w:rsidP="008F157A">
            <w:pPr>
              <w:rPr>
                <w:rFonts w:cstheme="minorHAnsi"/>
                <w:sz w:val="20"/>
                <w:szCs w:val="20"/>
              </w:rPr>
            </w:pPr>
            <w:r w:rsidRPr="00215B14">
              <w:rPr>
                <w:rFonts w:cstheme="minorHAnsi"/>
                <w:sz w:val="20"/>
                <w:szCs w:val="20"/>
              </w:rPr>
              <w:t xml:space="preserve">Brings old language in line with present advanced airway management guidance. </w:t>
            </w:r>
          </w:p>
        </w:tc>
        <w:tc>
          <w:tcPr>
            <w:tcW w:w="2122" w:type="dxa"/>
          </w:tcPr>
          <w:p w14:paraId="332927D9" w14:textId="2568CE52" w:rsidR="008F157A" w:rsidRPr="00215B14" w:rsidRDefault="008F157A" w:rsidP="008F157A">
            <w:pPr>
              <w:rPr>
                <w:rFonts w:cstheme="minorHAnsi"/>
                <w:sz w:val="20"/>
                <w:szCs w:val="20"/>
              </w:rPr>
            </w:pPr>
            <w:r w:rsidRPr="00215B14">
              <w:rPr>
                <w:rFonts w:cstheme="minorHAnsi"/>
                <w:sz w:val="20"/>
                <w:szCs w:val="20"/>
              </w:rPr>
              <w:t>Educational</w:t>
            </w:r>
          </w:p>
        </w:tc>
        <w:tc>
          <w:tcPr>
            <w:tcW w:w="1289" w:type="dxa"/>
            <w:vAlign w:val="center"/>
          </w:tcPr>
          <w:p w14:paraId="4CEA894C" w14:textId="741FAD62" w:rsidR="008F157A" w:rsidRPr="00215B14" w:rsidRDefault="008F157A" w:rsidP="008F157A">
            <w:pPr>
              <w:jc w:val="center"/>
              <w:rPr>
                <w:rFonts w:cstheme="minorHAnsi"/>
                <w:sz w:val="20"/>
                <w:szCs w:val="20"/>
              </w:rPr>
            </w:pPr>
            <w:r w:rsidRPr="00215B14">
              <w:rPr>
                <w:rFonts w:cstheme="minorHAnsi"/>
                <w:sz w:val="20"/>
                <w:szCs w:val="20"/>
              </w:rPr>
              <w:t>Small</w:t>
            </w:r>
          </w:p>
        </w:tc>
        <w:tc>
          <w:tcPr>
            <w:tcW w:w="1548" w:type="dxa"/>
          </w:tcPr>
          <w:p w14:paraId="5CA2094E" w14:textId="5F3AA114" w:rsidR="008F157A" w:rsidRPr="00215B14" w:rsidRDefault="008F157A" w:rsidP="008F157A">
            <w:pPr>
              <w:rPr>
                <w:rFonts w:cstheme="minorHAnsi"/>
                <w:sz w:val="20"/>
                <w:szCs w:val="20"/>
              </w:rPr>
            </w:pPr>
            <w:r w:rsidRPr="00215B14">
              <w:rPr>
                <w:rFonts w:cstheme="minorHAnsi"/>
                <w:sz w:val="20"/>
                <w:szCs w:val="20"/>
              </w:rPr>
              <w:t xml:space="preserve">Clarification </w:t>
            </w:r>
          </w:p>
        </w:tc>
      </w:tr>
      <w:tr w:rsidR="008F157A" w:rsidRPr="0071775A" w14:paraId="12969229" w14:textId="77777777" w:rsidTr="008F157A">
        <w:tc>
          <w:tcPr>
            <w:tcW w:w="1074" w:type="dxa"/>
          </w:tcPr>
          <w:p w14:paraId="18BB35FC" w14:textId="49478DD5" w:rsidR="008F157A" w:rsidRPr="00215B14" w:rsidRDefault="008F157A" w:rsidP="008F157A">
            <w:pPr>
              <w:rPr>
                <w:rFonts w:cstheme="minorHAnsi"/>
                <w:sz w:val="20"/>
                <w:szCs w:val="20"/>
              </w:rPr>
            </w:pPr>
            <w:r w:rsidRPr="00215B14">
              <w:rPr>
                <w:rFonts w:cstheme="minorHAnsi"/>
                <w:sz w:val="20"/>
                <w:szCs w:val="20"/>
              </w:rPr>
              <w:t>Blue 10</w:t>
            </w:r>
          </w:p>
        </w:tc>
        <w:tc>
          <w:tcPr>
            <w:tcW w:w="2207" w:type="dxa"/>
          </w:tcPr>
          <w:p w14:paraId="6112B0E7" w14:textId="5919125F" w:rsidR="008F157A" w:rsidRPr="00215B14" w:rsidRDefault="008F157A" w:rsidP="008F157A">
            <w:pPr>
              <w:rPr>
                <w:rFonts w:cstheme="minorHAnsi"/>
                <w:sz w:val="20"/>
                <w:szCs w:val="20"/>
              </w:rPr>
            </w:pPr>
            <w:r w:rsidRPr="00215B14">
              <w:rPr>
                <w:rFonts w:cstheme="minorHAnsi"/>
                <w:sz w:val="20"/>
                <w:szCs w:val="20"/>
              </w:rPr>
              <w:t>Clarify when to call OLMC for anxiolytics in CPAP</w:t>
            </w:r>
          </w:p>
        </w:tc>
        <w:tc>
          <w:tcPr>
            <w:tcW w:w="2789" w:type="dxa"/>
          </w:tcPr>
          <w:p w14:paraId="25197C24" w14:textId="31E2B93A" w:rsidR="008F157A" w:rsidRPr="00215B14" w:rsidRDefault="008F157A" w:rsidP="008F157A">
            <w:pPr>
              <w:rPr>
                <w:rFonts w:cstheme="minorHAnsi"/>
                <w:sz w:val="20"/>
                <w:szCs w:val="20"/>
              </w:rPr>
            </w:pPr>
            <w:r w:rsidRPr="00215B14">
              <w:rPr>
                <w:rFonts w:cstheme="minorHAnsi"/>
                <w:sz w:val="20"/>
                <w:szCs w:val="20"/>
              </w:rPr>
              <w:t>Clarification</w:t>
            </w:r>
          </w:p>
        </w:tc>
        <w:tc>
          <w:tcPr>
            <w:tcW w:w="1921" w:type="dxa"/>
          </w:tcPr>
          <w:p w14:paraId="5DBC2BF8" w14:textId="40DD4880" w:rsidR="008F157A" w:rsidRPr="00215B14" w:rsidRDefault="008F157A" w:rsidP="008F157A">
            <w:pPr>
              <w:rPr>
                <w:rFonts w:cstheme="minorHAnsi"/>
                <w:sz w:val="20"/>
                <w:szCs w:val="20"/>
              </w:rPr>
            </w:pPr>
            <w:r w:rsidRPr="00215B14">
              <w:rPr>
                <w:rFonts w:cstheme="minorHAnsi"/>
                <w:sz w:val="20"/>
                <w:szCs w:val="20"/>
              </w:rPr>
              <w:t>OLMC Symbol added to emphasize protocol’s intent.</w:t>
            </w:r>
          </w:p>
        </w:tc>
        <w:tc>
          <w:tcPr>
            <w:tcW w:w="2122" w:type="dxa"/>
          </w:tcPr>
          <w:p w14:paraId="16EFC075" w14:textId="40BFD7C3" w:rsidR="008F157A" w:rsidRPr="00215B14" w:rsidRDefault="008F157A" w:rsidP="008F157A">
            <w:pPr>
              <w:rPr>
                <w:rFonts w:cstheme="minorHAnsi"/>
                <w:sz w:val="20"/>
                <w:szCs w:val="20"/>
              </w:rPr>
            </w:pPr>
            <w:r w:rsidRPr="00215B14">
              <w:rPr>
                <w:rFonts w:cstheme="minorHAnsi"/>
                <w:sz w:val="20"/>
                <w:szCs w:val="20"/>
              </w:rPr>
              <w:t>Education</w:t>
            </w:r>
          </w:p>
        </w:tc>
        <w:tc>
          <w:tcPr>
            <w:tcW w:w="1289" w:type="dxa"/>
            <w:vAlign w:val="center"/>
          </w:tcPr>
          <w:p w14:paraId="06B7098C" w14:textId="14039F1D" w:rsidR="008F157A" w:rsidRPr="00215B14" w:rsidRDefault="008F157A" w:rsidP="008F157A">
            <w:pPr>
              <w:jc w:val="center"/>
              <w:rPr>
                <w:rFonts w:cstheme="minorHAnsi"/>
                <w:sz w:val="20"/>
                <w:szCs w:val="20"/>
              </w:rPr>
            </w:pPr>
            <w:r w:rsidRPr="00215B14">
              <w:rPr>
                <w:rFonts w:cstheme="minorHAnsi"/>
                <w:sz w:val="20"/>
                <w:szCs w:val="20"/>
              </w:rPr>
              <w:t>Small</w:t>
            </w:r>
          </w:p>
        </w:tc>
        <w:tc>
          <w:tcPr>
            <w:tcW w:w="1548" w:type="dxa"/>
          </w:tcPr>
          <w:p w14:paraId="36F5E673" w14:textId="445DA2CE" w:rsidR="008F157A" w:rsidRPr="00215B14" w:rsidRDefault="008F157A" w:rsidP="008F157A">
            <w:pPr>
              <w:rPr>
                <w:rFonts w:cstheme="minorHAnsi"/>
                <w:sz w:val="20"/>
                <w:szCs w:val="20"/>
              </w:rPr>
            </w:pPr>
            <w:r w:rsidRPr="00215B14">
              <w:rPr>
                <w:rFonts w:cstheme="minorHAnsi"/>
                <w:sz w:val="20"/>
                <w:szCs w:val="20"/>
              </w:rPr>
              <w:t xml:space="preserve">Clarification </w:t>
            </w:r>
          </w:p>
        </w:tc>
      </w:tr>
    </w:tbl>
    <w:p w14:paraId="074FE637" w14:textId="77777777" w:rsidR="00F457FB" w:rsidRPr="0071775A" w:rsidRDefault="00F457FB" w:rsidP="0071775A">
      <w:pPr>
        <w:rPr>
          <w:sz w:val="20"/>
          <w:szCs w:val="20"/>
        </w:rPr>
      </w:pPr>
    </w:p>
    <w:sectPr w:rsidR="00F457FB" w:rsidRPr="0071775A" w:rsidSect="004B3E5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DD92" w14:textId="77777777" w:rsidR="009B36C5" w:rsidRDefault="009B36C5" w:rsidP="008A6081">
      <w:r>
        <w:separator/>
      </w:r>
    </w:p>
  </w:endnote>
  <w:endnote w:type="continuationSeparator" w:id="0">
    <w:p w14:paraId="4C4A4E82" w14:textId="77777777" w:rsidR="009B36C5" w:rsidRDefault="009B36C5" w:rsidP="008A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DAD5" w14:textId="77777777" w:rsidR="003313D9" w:rsidRDefault="0033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BB1B" w14:textId="77777777" w:rsidR="003313D9" w:rsidRDefault="00331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50E4" w14:textId="77777777" w:rsidR="003313D9" w:rsidRDefault="0033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A37F3" w14:textId="77777777" w:rsidR="009B36C5" w:rsidRDefault="009B36C5" w:rsidP="008A6081">
      <w:r>
        <w:separator/>
      </w:r>
    </w:p>
  </w:footnote>
  <w:footnote w:type="continuationSeparator" w:id="0">
    <w:p w14:paraId="4582A761" w14:textId="77777777" w:rsidR="009B36C5" w:rsidRDefault="009B36C5" w:rsidP="008A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415D" w14:textId="09D542D6" w:rsidR="003313D9" w:rsidRDefault="00331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FFBB" w14:textId="5571C596" w:rsidR="008A6081" w:rsidRPr="008A6081" w:rsidRDefault="004B3E58" w:rsidP="008A6081">
    <w:pPr>
      <w:pStyle w:val="Header"/>
      <w:jc w:val="center"/>
      <w:rPr>
        <w:b/>
        <w:bCs/>
      </w:rPr>
    </w:pPr>
    <w:r>
      <w:rPr>
        <w:b/>
        <w:bCs/>
      </w:rPr>
      <w:t>Blue</w:t>
    </w:r>
    <w:r w:rsidR="008A6081" w:rsidRPr="008A6081">
      <w:rPr>
        <w:b/>
        <w:bCs/>
      </w:rPr>
      <w:t xml:space="preserve"> Section Change Document </w:t>
    </w:r>
    <w:r w:rsidR="00055CC3">
      <w:rPr>
        <w:b/>
        <w:bCs/>
      </w:rPr>
      <w:t>POST</w:t>
    </w:r>
    <w:r w:rsidR="008A6081" w:rsidRPr="008A6081">
      <w:rPr>
        <w:b/>
        <w:bCs/>
      </w:rPr>
      <w:t xml:space="preserve"> MDPB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5FE2" w14:textId="4F765630" w:rsidR="003313D9" w:rsidRDefault="0033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BAE"/>
    <w:multiLevelType w:val="hybridMultilevel"/>
    <w:tmpl w:val="AE625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900DD"/>
    <w:multiLevelType w:val="hybridMultilevel"/>
    <w:tmpl w:val="1B5CF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26B44"/>
    <w:multiLevelType w:val="hybridMultilevel"/>
    <w:tmpl w:val="CAF0F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B1490"/>
    <w:multiLevelType w:val="hybridMultilevel"/>
    <w:tmpl w:val="17F8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9705A"/>
    <w:multiLevelType w:val="hybridMultilevel"/>
    <w:tmpl w:val="05005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5A"/>
    <w:rsid w:val="00055CC3"/>
    <w:rsid w:val="001A4A3B"/>
    <w:rsid w:val="00215B14"/>
    <w:rsid w:val="003313D9"/>
    <w:rsid w:val="004019CF"/>
    <w:rsid w:val="004A43D4"/>
    <w:rsid w:val="004B3E58"/>
    <w:rsid w:val="006D50A0"/>
    <w:rsid w:val="0071775A"/>
    <w:rsid w:val="007E021A"/>
    <w:rsid w:val="008A6081"/>
    <w:rsid w:val="008F157A"/>
    <w:rsid w:val="009B36C5"/>
    <w:rsid w:val="00B327FE"/>
    <w:rsid w:val="00B54678"/>
    <w:rsid w:val="00B55EE8"/>
    <w:rsid w:val="00BF7E3E"/>
    <w:rsid w:val="00CC054A"/>
    <w:rsid w:val="00D232D6"/>
    <w:rsid w:val="00E12B19"/>
    <w:rsid w:val="00E404F9"/>
    <w:rsid w:val="00F4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B5E23"/>
  <w15:chartTrackingRefBased/>
  <w15:docId w15:val="{5C859033-08CC-3945-BA4C-C68739C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081"/>
    <w:pPr>
      <w:tabs>
        <w:tab w:val="center" w:pos="4680"/>
        <w:tab w:val="right" w:pos="9360"/>
      </w:tabs>
    </w:pPr>
  </w:style>
  <w:style w:type="character" w:customStyle="1" w:styleId="HeaderChar">
    <w:name w:val="Header Char"/>
    <w:basedOn w:val="DefaultParagraphFont"/>
    <w:link w:val="Header"/>
    <w:uiPriority w:val="99"/>
    <w:rsid w:val="008A6081"/>
  </w:style>
  <w:style w:type="paragraph" w:styleId="Footer">
    <w:name w:val="footer"/>
    <w:basedOn w:val="Normal"/>
    <w:link w:val="FooterChar"/>
    <w:uiPriority w:val="99"/>
    <w:unhideWhenUsed/>
    <w:rsid w:val="008A6081"/>
    <w:pPr>
      <w:tabs>
        <w:tab w:val="center" w:pos="4680"/>
        <w:tab w:val="right" w:pos="9360"/>
      </w:tabs>
    </w:pPr>
  </w:style>
  <w:style w:type="character" w:customStyle="1" w:styleId="FooterChar">
    <w:name w:val="Footer Char"/>
    <w:basedOn w:val="DefaultParagraphFont"/>
    <w:link w:val="Footer"/>
    <w:uiPriority w:val="99"/>
    <w:rsid w:val="008A6081"/>
  </w:style>
  <w:style w:type="paragraph" w:styleId="ListParagraph">
    <w:name w:val="List Paragraph"/>
    <w:basedOn w:val="Normal"/>
    <w:uiPriority w:val="34"/>
    <w:qFormat/>
    <w:rsid w:val="008F157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Sholl</dc:creator>
  <cp:keywords/>
  <dc:description/>
  <cp:lastModifiedBy>Matthew Sholl</cp:lastModifiedBy>
  <cp:revision>9</cp:revision>
  <dcterms:created xsi:type="dcterms:W3CDTF">2019-12-19T14:20:00Z</dcterms:created>
  <dcterms:modified xsi:type="dcterms:W3CDTF">2021-02-09T16:51:00Z</dcterms:modified>
</cp:coreProperties>
</file>