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2"/>
        <w:gridCol w:w="1800"/>
        <w:gridCol w:w="1440"/>
        <w:gridCol w:w="1604"/>
        <w:gridCol w:w="1296"/>
        <w:gridCol w:w="1604"/>
      </w:tblGrid>
      <w:tr w:rsidR="001F23CB" w:rsidRPr="0071775A" w14:paraId="7F10926B" w14:textId="77777777" w:rsidTr="00D93033">
        <w:tc>
          <w:tcPr>
            <w:tcW w:w="0" w:type="auto"/>
          </w:tcPr>
          <w:p w14:paraId="291E29B2" w14:textId="154F4E1B" w:rsidR="0071775A" w:rsidRPr="0071775A" w:rsidRDefault="0071775A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20"/>
                <w:szCs w:val="20"/>
                <w:u w:val="single"/>
              </w:rPr>
              <w:t>Location</w:t>
            </w:r>
            <w:r w:rsidRPr="0071775A">
              <w:rPr>
                <w:sz w:val="20"/>
                <w:szCs w:val="20"/>
              </w:rPr>
              <w:t xml:space="preserve"> </w:t>
            </w:r>
            <w:r w:rsidRPr="0071775A">
              <w:rPr>
                <w:sz w:val="16"/>
                <w:szCs w:val="16"/>
              </w:rPr>
              <w:t>Section/Page #</w:t>
            </w:r>
          </w:p>
        </w:tc>
        <w:tc>
          <w:tcPr>
            <w:tcW w:w="5762" w:type="dxa"/>
          </w:tcPr>
          <w:p w14:paraId="05326104" w14:textId="54BF1115" w:rsidR="0071775A" w:rsidRPr="0071775A" w:rsidRDefault="0071775A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Change</w:t>
            </w:r>
          </w:p>
        </w:tc>
        <w:tc>
          <w:tcPr>
            <w:tcW w:w="1800" w:type="dxa"/>
          </w:tcPr>
          <w:p w14:paraId="01F1914C" w14:textId="129E9791" w:rsidR="0071775A" w:rsidRPr="0071775A" w:rsidRDefault="0071775A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Purpose of Change</w:t>
            </w:r>
          </w:p>
          <w:p w14:paraId="78C097A3" w14:textId="692953B7" w:rsidR="0071775A" w:rsidRPr="0071775A" w:rsidRDefault="0071775A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16"/>
                <w:szCs w:val="16"/>
              </w:rPr>
              <w:t>(Provider Input, Stakeholder Input, Evolution of Evidence, Best Practice, etc.)</w:t>
            </w:r>
          </w:p>
        </w:tc>
        <w:tc>
          <w:tcPr>
            <w:tcW w:w="1440" w:type="dxa"/>
          </w:tcPr>
          <w:p w14:paraId="068940C8" w14:textId="1582E6A0" w:rsidR="0071775A" w:rsidRPr="0071775A" w:rsidRDefault="0071775A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Evidence for Change</w:t>
            </w:r>
          </w:p>
        </w:tc>
        <w:tc>
          <w:tcPr>
            <w:tcW w:w="1604" w:type="dxa"/>
          </w:tcPr>
          <w:p w14:paraId="14BB889E" w14:textId="717D7C9A" w:rsidR="0071775A" w:rsidRPr="0071775A" w:rsidRDefault="0071775A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Expected Impact</w:t>
            </w:r>
          </w:p>
          <w:p w14:paraId="0F864978" w14:textId="2B5FC955" w:rsidR="0071775A" w:rsidRPr="0071775A" w:rsidRDefault="0071775A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16"/>
                <w:szCs w:val="16"/>
              </w:rPr>
              <w:t>(Operational, Educational, Financial, QI, Medical Direction, Communication, etc</w:t>
            </w:r>
            <w:r>
              <w:rPr>
                <w:sz w:val="16"/>
                <w:szCs w:val="16"/>
              </w:rPr>
              <w:t>.</w:t>
            </w:r>
            <w:r w:rsidRPr="0071775A">
              <w:rPr>
                <w:sz w:val="16"/>
                <w:szCs w:val="16"/>
              </w:rPr>
              <w:t>)</w:t>
            </w:r>
          </w:p>
        </w:tc>
        <w:tc>
          <w:tcPr>
            <w:tcW w:w="1296" w:type="dxa"/>
          </w:tcPr>
          <w:p w14:paraId="2DBD40CF" w14:textId="6D52AA59" w:rsidR="0071775A" w:rsidRPr="0071775A" w:rsidRDefault="0071775A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20"/>
                <w:szCs w:val="20"/>
                <w:u w:val="single"/>
              </w:rPr>
              <w:t>Size of Change</w:t>
            </w:r>
            <w:r>
              <w:rPr>
                <w:sz w:val="20"/>
                <w:szCs w:val="20"/>
              </w:rPr>
              <w:t xml:space="preserve"> </w:t>
            </w:r>
            <w:r w:rsidRPr="0071775A">
              <w:rPr>
                <w:sz w:val="16"/>
                <w:szCs w:val="16"/>
              </w:rPr>
              <w:t>(Small/Medium/</w:t>
            </w:r>
            <w:r>
              <w:rPr>
                <w:sz w:val="16"/>
                <w:szCs w:val="16"/>
              </w:rPr>
              <w:t xml:space="preserve"> </w:t>
            </w:r>
            <w:r w:rsidRPr="0071775A">
              <w:rPr>
                <w:sz w:val="16"/>
                <w:szCs w:val="16"/>
              </w:rPr>
              <w:t>Large)</w:t>
            </w:r>
          </w:p>
        </w:tc>
        <w:tc>
          <w:tcPr>
            <w:tcW w:w="0" w:type="auto"/>
          </w:tcPr>
          <w:p w14:paraId="5D040A6B" w14:textId="353A226E" w:rsidR="0071775A" w:rsidRPr="0071775A" w:rsidRDefault="0071775A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Desired Outcome</w:t>
            </w:r>
          </w:p>
        </w:tc>
      </w:tr>
      <w:tr w:rsidR="001F23CB" w:rsidRPr="0071775A" w14:paraId="5D772052" w14:textId="77777777" w:rsidTr="00D93033">
        <w:tc>
          <w:tcPr>
            <w:tcW w:w="0" w:type="auto"/>
          </w:tcPr>
          <w:p w14:paraId="39CE1420" w14:textId="3888C439" w:rsidR="0071775A" w:rsidRPr="0071775A" w:rsidRDefault="008F3E4D" w:rsidP="2763A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3</w:t>
            </w:r>
          </w:p>
        </w:tc>
        <w:tc>
          <w:tcPr>
            <w:tcW w:w="5762" w:type="dxa"/>
          </w:tcPr>
          <w:p w14:paraId="31E6CFD7" w14:textId="6F165D62" w:rsidR="0071775A" w:rsidRPr="0071775A" w:rsidRDefault="00BD739E" w:rsidP="2763A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Defibrillation: delete</w:t>
            </w:r>
          </w:p>
        </w:tc>
        <w:tc>
          <w:tcPr>
            <w:tcW w:w="1800" w:type="dxa"/>
          </w:tcPr>
          <w:p w14:paraId="7EC03821" w14:textId="140F2269" w:rsidR="0071775A" w:rsidRPr="0071775A" w:rsidRDefault="004E73E7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Redundant</w:t>
            </w:r>
          </w:p>
        </w:tc>
        <w:tc>
          <w:tcPr>
            <w:tcW w:w="1440" w:type="dxa"/>
          </w:tcPr>
          <w:p w14:paraId="0309DDF4" w14:textId="3DE54932" w:rsidR="0071775A" w:rsidRPr="0071775A" w:rsidRDefault="004E73E7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Utilization of Manual Defibrillators</w:t>
            </w:r>
          </w:p>
        </w:tc>
        <w:tc>
          <w:tcPr>
            <w:tcW w:w="1604" w:type="dxa"/>
          </w:tcPr>
          <w:p w14:paraId="2F363FB4" w14:textId="5559490A" w:rsidR="0071775A" w:rsidRPr="0071775A" w:rsidRDefault="00AE49B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1296" w:type="dxa"/>
          </w:tcPr>
          <w:p w14:paraId="4F369DA7" w14:textId="01342D19" w:rsidR="0071775A" w:rsidRPr="0071775A" w:rsidRDefault="00AE49B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0" w:type="auto"/>
          </w:tcPr>
          <w:p w14:paraId="3F208410" w14:textId="122F9ECE" w:rsidR="0071775A" w:rsidRPr="0071775A" w:rsidRDefault="00AE49B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old language</w:t>
            </w:r>
          </w:p>
        </w:tc>
      </w:tr>
      <w:tr w:rsidR="001F23CB" w:rsidRPr="0071775A" w14:paraId="6A09707B" w14:textId="77777777" w:rsidTr="00D93033">
        <w:tc>
          <w:tcPr>
            <w:tcW w:w="0" w:type="auto"/>
          </w:tcPr>
          <w:p w14:paraId="3E1FC0B5" w14:textId="50A3B0D5" w:rsidR="0071775A" w:rsidRPr="0071775A" w:rsidRDefault="007A22E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4</w:t>
            </w:r>
          </w:p>
        </w:tc>
        <w:tc>
          <w:tcPr>
            <w:tcW w:w="5762" w:type="dxa"/>
          </w:tcPr>
          <w:p w14:paraId="6330AE34" w14:textId="74640174" w:rsidR="0071775A" w:rsidRPr="0071775A" w:rsidRDefault="007A22E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Pacing: delete</w:t>
            </w:r>
          </w:p>
        </w:tc>
        <w:tc>
          <w:tcPr>
            <w:tcW w:w="1800" w:type="dxa"/>
          </w:tcPr>
          <w:p w14:paraId="5D97E18C" w14:textId="60D46034" w:rsidR="0071775A" w:rsidRPr="0071775A" w:rsidRDefault="007A22E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Redundant</w:t>
            </w:r>
          </w:p>
        </w:tc>
        <w:tc>
          <w:tcPr>
            <w:tcW w:w="1440" w:type="dxa"/>
          </w:tcPr>
          <w:p w14:paraId="592A72C1" w14:textId="0C164A82" w:rsidR="0071775A" w:rsidRPr="0071775A" w:rsidRDefault="007A22E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Utilization of Manual Defibrillators</w:t>
            </w:r>
          </w:p>
        </w:tc>
        <w:tc>
          <w:tcPr>
            <w:tcW w:w="1604" w:type="dxa"/>
          </w:tcPr>
          <w:p w14:paraId="26B49DD7" w14:textId="6330398F" w:rsidR="0071775A" w:rsidRPr="0071775A" w:rsidRDefault="00F574F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1296" w:type="dxa"/>
          </w:tcPr>
          <w:p w14:paraId="7A17FCBF" w14:textId="296E0A0D" w:rsidR="0071775A" w:rsidRPr="0071775A" w:rsidRDefault="00F574F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0" w:type="auto"/>
          </w:tcPr>
          <w:p w14:paraId="3A5BAD05" w14:textId="69C8579F" w:rsidR="0071775A" w:rsidRPr="0071775A" w:rsidRDefault="00F574F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old language</w:t>
            </w:r>
          </w:p>
        </w:tc>
      </w:tr>
      <w:tr w:rsidR="001F23CB" w:rsidRPr="0071775A" w14:paraId="089B97F2" w14:textId="77777777" w:rsidTr="00D93033">
        <w:tc>
          <w:tcPr>
            <w:tcW w:w="0" w:type="auto"/>
          </w:tcPr>
          <w:p w14:paraId="072D0C75" w14:textId="3FD2A1CE" w:rsidR="0071775A" w:rsidRPr="0071775A" w:rsidRDefault="00F574F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5</w:t>
            </w:r>
          </w:p>
        </w:tc>
        <w:tc>
          <w:tcPr>
            <w:tcW w:w="5762" w:type="dxa"/>
          </w:tcPr>
          <w:p w14:paraId="66439BF3" w14:textId="0AB878ED" w:rsidR="0071775A" w:rsidRPr="0071775A" w:rsidRDefault="00277EFA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with Brown 2: Paramedics and AEMTs are ex</w:t>
            </w:r>
            <w:r w:rsidR="00F54D4A">
              <w:rPr>
                <w:sz w:val="20"/>
                <w:szCs w:val="20"/>
              </w:rPr>
              <w:t>pected to perform all duties in thei</w:t>
            </w:r>
            <w:r w:rsidR="003D7D79">
              <w:rPr>
                <w:sz w:val="20"/>
                <w:szCs w:val="20"/>
              </w:rPr>
              <w:t xml:space="preserve">r listed scope of practice as well as those of the prior scopes of practice in the </w:t>
            </w:r>
            <w:r w:rsidR="00B4797D">
              <w:rPr>
                <w:sz w:val="20"/>
                <w:szCs w:val="20"/>
              </w:rPr>
              <w:t>appropriate logical order. Treatments/medications should be given in the order specified</w:t>
            </w:r>
            <w:r w:rsidR="001E54D7">
              <w:rPr>
                <w:sz w:val="20"/>
                <w:szCs w:val="20"/>
              </w:rPr>
              <w:t>. However, the MDPB recognizes that often treatments</w:t>
            </w:r>
            <w:r w:rsidR="005F3B98">
              <w:rPr>
                <w:sz w:val="20"/>
                <w:szCs w:val="20"/>
              </w:rPr>
              <w:t xml:space="preserve"> are delivered </w:t>
            </w:r>
            <w:r w:rsidR="00DF4E14">
              <w:rPr>
                <w:sz w:val="20"/>
                <w:szCs w:val="20"/>
              </w:rPr>
              <w:t>simultaneously,</w:t>
            </w:r>
            <w:r w:rsidR="005F3B98">
              <w:rPr>
                <w:sz w:val="20"/>
                <w:szCs w:val="20"/>
              </w:rPr>
              <w:t xml:space="preserve"> and more than one protocol may be used. </w:t>
            </w:r>
            <w:r w:rsidR="00177B70">
              <w:rPr>
                <w:sz w:val="20"/>
                <w:szCs w:val="20"/>
              </w:rPr>
              <w:t>OLMC or Advanced Providers may request treatments</w:t>
            </w:r>
            <w:r w:rsidR="00941536">
              <w:rPr>
                <w:sz w:val="20"/>
                <w:szCs w:val="20"/>
              </w:rPr>
              <w:t>/medications out of sequence for medical reasons.</w:t>
            </w:r>
          </w:p>
        </w:tc>
        <w:tc>
          <w:tcPr>
            <w:tcW w:w="1800" w:type="dxa"/>
          </w:tcPr>
          <w:p w14:paraId="4AC2A300" w14:textId="0D16DA62" w:rsidR="0071775A" w:rsidRPr="0071775A" w:rsidRDefault="00557394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Logical/concise combination of </w:t>
            </w:r>
            <w:r w:rsidR="006A53A0">
              <w:rPr>
                <w:sz w:val="20"/>
                <w:szCs w:val="20"/>
              </w:rPr>
              <w:t>protocols.</w:t>
            </w:r>
          </w:p>
        </w:tc>
        <w:tc>
          <w:tcPr>
            <w:tcW w:w="1440" w:type="dxa"/>
          </w:tcPr>
          <w:p w14:paraId="1455A717" w14:textId="237DBF35" w:rsidR="0071775A" w:rsidRPr="0071775A" w:rsidRDefault="006A53A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 in content</w:t>
            </w:r>
          </w:p>
        </w:tc>
        <w:tc>
          <w:tcPr>
            <w:tcW w:w="1604" w:type="dxa"/>
          </w:tcPr>
          <w:p w14:paraId="27F41C28" w14:textId="758AD155" w:rsidR="0071775A" w:rsidRPr="0071775A" w:rsidRDefault="00727AB6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1296" w:type="dxa"/>
          </w:tcPr>
          <w:p w14:paraId="5AE8E63F" w14:textId="7BEAA8DE" w:rsidR="0071775A" w:rsidRPr="0071775A" w:rsidRDefault="00727AB6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0" w:type="auto"/>
          </w:tcPr>
          <w:p w14:paraId="3251D66B" w14:textId="1C3360ED" w:rsidR="0071775A" w:rsidRPr="0071775A" w:rsidRDefault="00064699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cohesiveness</w:t>
            </w:r>
          </w:p>
        </w:tc>
      </w:tr>
      <w:tr w:rsidR="001F23CB" w:rsidRPr="0071775A" w14:paraId="6E556089" w14:textId="77777777" w:rsidTr="00D93033">
        <w:tc>
          <w:tcPr>
            <w:tcW w:w="0" w:type="auto"/>
          </w:tcPr>
          <w:p w14:paraId="5420E6EB" w14:textId="091B12D7" w:rsidR="0071775A" w:rsidRPr="0071775A" w:rsidRDefault="009C4D66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5</w:t>
            </w:r>
          </w:p>
        </w:tc>
        <w:tc>
          <w:tcPr>
            <w:tcW w:w="5762" w:type="dxa"/>
          </w:tcPr>
          <w:p w14:paraId="0D47B491" w14:textId="415A6C39" w:rsidR="0071775A" w:rsidRPr="0071775A" w:rsidRDefault="009C4D66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transport, </w:t>
            </w:r>
            <w:r w:rsidR="00D621D1">
              <w:rPr>
                <w:sz w:val="20"/>
                <w:szCs w:val="20"/>
              </w:rPr>
              <w:t xml:space="preserve">patients should be secured…for </w:t>
            </w:r>
            <w:r w:rsidR="00D839C8">
              <w:rPr>
                <w:sz w:val="20"/>
                <w:szCs w:val="20"/>
              </w:rPr>
              <w:t>pediatric transport, refer to Pediatric Transport Protocol, Pink 9,10</w:t>
            </w:r>
            <w:r w:rsidR="00EE00FE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2E6E76F" w14:textId="5D68767D" w:rsidR="0071775A" w:rsidRPr="0071775A" w:rsidRDefault="00EE00FE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highlight Pediatric Transport Protocol</w:t>
            </w:r>
          </w:p>
        </w:tc>
        <w:tc>
          <w:tcPr>
            <w:tcW w:w="1440" w:type="dxa"/>
          </w:tcPr>
          <w:p w14:paraId="231041AC" w14:textId="29AE5E2A" w:rsidR="0071775A" w:rsidRPr="0071775A" w:rsidRDefault="008745AF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compliance with EMS-C</w:t>
            </w:r>
          </w:p>
        </w:tc>
        <w:tc>
          <w:tcPr>
            <w:tcW w:w="1604" w:type="dxa"/>
          </w:tcPr>
          <w:p w14:paraId="3F494F1D" w14:textId="4192FD6E" w:rsidR="0071775A" w:rsidRPr="0071775A" w:rsidRDefault="00A56CD1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1296" w:type="dxa"/>
          </w:tcPr>
          <w:p w14:paraId="7A6CD171" w14:textId="23791E8B" w:rsidR="0071775A" w:rsidRPr="0071775A" w:rsidRDefault="00AC7E5D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0" w:type="auto"/>
          </w:tcPr>
          <w:p w14:paraId="48227E55" w14:textId="67572EF8" w:rsidR="0071775A" w:rsidRPr="0071775A" w:rsidRDefault="00AC7E5D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highlight sa</w:t>
            </w:r>
            <w:r w:rsidR="00BF73D9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 xml:space="preserve"> transportation of children</w:t>
            </w:r>
          </w:p>
        </w:tc>
      </w:tr>
      <w:tr w:rsidR="001F23CB" w:rsidRPr="0071775A" w14:paraId="3EB8BF86" w14:textId="77777777" w:rsidTr="00D93033">
        <w:tc>
          <w:tcPr>
            <w:tcW w:w="0" w:type="auto"/>
          </w:tcPr>
          <w:p w14:paraId="7E7C00D0" w14:textId="5794A31C" w:rsidR="00850250" w:rsidRPr="0071775A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1F23CB">
              <w:rPr>
                <w:sz w:val="20"/>
                <w:szCs w:val="20"/>
              </w:rPr>
              <w:t xml:space="preserve"> (added to Grey Section)</w:t>
            </w:r>
          </w:p>
        </w:tc>
        <w:tc>
          <w:tcPr>
            <w:tcW w:w="5762" w:type="dxa"/>
          </w:tcPr>
          <w:p w14:paraId="22162D76" w14:textId="77777777" w:rsidR="0000667F" w:rsidRPr="002A599A" w:rsidRDefault="00850250" w:rsidP="0000667F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Crime Scene: </w:t>
            </w:r>
            <w:r w:rsidR="0000667F" w:rsidRPr="002A599A">
              <w:rPr>
                <w:rFonts w:cstheme="minorHAnsi"/>
                <w:sz w:val="18"/>
                <w:szCs w:val="18"/>
              </w:rPr>
              <w:t xml:space="preserve">DO NOT enter an active shooter scene or a scene in which an unsecured weapon is involved, until the scene is secured by law enforcement, unless trained and authorized to do so (such as in the context of a tactical response team or rescue task force). </w:t>
            </w:r>
            <w:r w:rsidR="0000667F" w:rsidRPr="002A599A">
              <w:rPr>
                <w:rFonts w:eastAsia="Times New Roman" w:cstheme="minorHAnsi"/>
                <w:color w:val="000000"/>
                <w:sz w:val="18"/>
                <w:szCs w:val="18"/>
              </w:rPr>
              <w:t>If encountering a possible crime scene and not previously dispatched, contact law enforcement</w:t>
            </w:r>
            <w:r w:rsidR="0000667F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  <w:p w14:paraId="30C69F08" w14:textId="77777777" w:rsidR="00850250" w:rsidRDefault="00850250" w:rsidP="0071775A">
            <w:pPr>
              <w:rPr>
                <w:sz w:val="20"/>
                <w:szCs w:val="20"/>
              </w:rPr>
            </w:pPr>
          </w:p>
          <w:p w14:paraId="4ECFC7A7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Once a crime scene is deemed safe by law enforcement, initiate patient contact and medical care if necessary.</w:t>
            </w:r>
          </w:p>
          <w:p w14:paraId="2A5E44C4" w14:textId="7D80CAA6" w:rsidR="007A09EE" w:rsidRDefault="007A09EE" w:rsidP="006D0C62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Do not sacrifice patient care to preserve evidence.</w:t>
            </w:r>
          </w:p>
          <w:p w14:paraId="5A52E7D1" w14:textId="302F8717" w:rsidR="00850250" w:rsidRDefault="00850250" w:rsidP="006D0C62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Have all EMS providers use the same path of entry and exit, if feasible.</w:t>
            </w:r>
          </w:p>
          <w:p w14:paraId="39941771" w14:textId="77777777" w:rsidR="00850250" w:rsidRPr="00F239A6" w:rsidRDefault="00850250" w:rsidP="006D0C62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Do not touch or move anything at a crime scene unless it is necessary to do so for patient</w:t>
            </w:r>
            <w:r>
              <w:rPr>
                <w:sz w:val="20"/>
                <w:szCs w:val="20"/>
              </w:rPr>
              <w:t xml:space="preserve"> </w:t>
            </w:r>
            <w:r w:rsidRPr="00F239A6">
              <w:rPr>
                <w:sz w:val="20"/>
                <w:szCs w:val="20"/>
              </w:rPr>
              <w:t>care (notify law enforcement prior to moving so if possible).</w:t>
            </w:r>
          </w:p>
          <w:p w14:paraId="01540DB7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Do not walk through fluids.</w:t>
            </w:r>
          </w:p>
          <w:p w14:paraId="109ED9C9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Observe and document original location of items moved by crew</w:t>
            </w:r>
            <w:r>
              <w:rPr>
                <w:sz w:val="20"/>
                <w:szCs w:val="20"/>
              </w:rPr>
              <w:t xml:space="preserve"> whenever possible</w:t>
            </w:r>
            <w:r w:rsidRPr="00F239A6">
              <w:rPr>
                <w:sz w:val="20"/>
                <w:szCs w:val="20"/>
              </w:rPr>
              <w:t>.</w:t>
            </w:r>
          </w:p>
          <w:p w14:paraId="39159F41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 xml:space="preserve">· </w:t>
            </w:r>
            <w:r>
              <w:rPr>
                <w:sz w:val="20"/>
                <w:szCs w:val="20"/>
              </w:rPr>
              <w:t>Do not sacrifice patient care to preserve clothing, but w</w:t>
            </w:r>
            <w:r w:rsidRPr="00F239A6">
              <w:rPr>
                <w:sz w:val="20"/>
                <w:szCs w:val="20"/>
              </w:rPr>
              <w:t xml:space="preserve">hen </w:t>
            </w:r>
            <w:r>
              <w:rPr>
                <w:sz w:val="20"/>
                <w:szCs w:val="20"/>
              </w:rPr>
              <w:t xml:space="preserve">possible and </w:t>
            </w:r>
            <w:r w:rsidRPr="00F239A6">
              <w:rPr>
                <w:sz w:val="20"/>
                <w:szCs w:val="20"/>
              </w:rPr>
              <w:t>removing patient clothing</w:t>
            </w:r>
            <w:r>
              <w:rPr>
                <w:sz w:val="20"/>
                <w:szCs w:val="20"/>
              </w:rPr>
              <w:t xml:space="preserve"> is required</w:t>
            </w:r>
            <w:r w:rsidRPr="00F239A6">
              <w:rPr>
                <w:sz w:val="20"/>
                <w:szCs w:val="20"/>
              </w:rPr>
              <w:t xml:space="preserve">, leave it </w:t>
            </w:r>
            <w:r>
              <w:rPr>
                <w:sz w:val="20"/>
                <w:szCs w:val="20"/>
              </w:rPr>
              <w:t xml:space="preserve">as </w:t>
            </w:r>
            <w:r w:rsidRPr="00F239A6">
              <w:rPr>
                <w:sz w:val="20"/>
                <w:szCs w:val="20"/>
              </w:rPr>
              <w:t>intact as</w:t>
            </w:r>
            <w:r>
              <w:rPr>
                <w:sz w:val="20"/>
                <w:szCs w:val="20"/>
              </w:rPr>
              <w:t xml:space="preserve"> </w:t>
            </w:r>
            <w:r w:rsidRPr="00F239A6">
              <w:rPr>
                <w:sz w:val="20"/>
                <w:szCs w:val="20"/>
              </w:rPr>
              <w:t>possible</w:t>
            </w:r>
            <w:r>
              <w:rPr>
                <w:sz w:val="20"/>
                <w:szCs w:val="20"/>
              </w:rPr>
              <w:t>. Avoid cutting through holes made by weapons, if possible.</w:t>
            </w:r>
          </w:p>
          <w:p w14:paraId="0D8B5E8A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lastRenderedPageBreak/>
              <w:t>· If you remove any items from the scene, such as impaled objects or medication bottles,</w:t>
            </w:r>
          </w:p>
          <w:p w14:paraId="36B68EBA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 xml:space="preserve">document your actions and advise a law enforcement </w:t>
            </w:r>
            <w:r>
              <w:rPr>
                <w:sz w:val="20"/>
                <w:szCs w:val="20"/>
              </w:rPr>
              <w:t>official (prior to removal, if feasible)</w:t>
            </w:r>
          </w:p>
          <w:p w14:paraId="148E5110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Consider requesting a law enforcement officer to accompany the patient in the ambulance</w:t>
            </w:r>
          </w:p>
          <w:p w14:paraId="32C87DF9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to the hospital.</w:t>
            </w:r>
          </w:p>
          <w:p w14:paraId="509584E9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Document statements made by the patient or bystanders on the EMS patient care report.</w:t>
            </w:r>
            <w:r>
              <w:rPr>
                <w:sz w:val="20"/>
                <w:szCs w:val="20"/>
              </w:rPr>
              <w:t xml:space="preserve">  Report significant information to a law enforcement official prior to leaving the scene, if feasible.</w:t>
            </w:r>
          </w:p>
          <w:p w14:paraId="1318B51D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Comments made by a patient or bystanders should be denoted in quotation marks.</w:t>
            </w:r>
          </w:p>
          <w:p w14:paraId="35E8E48A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Inform staff at the receiving hospital that this is a “crime scene” patient.</w:t>
            </w:r>
          </w:p>
          <w:p w14:paraId="42945527" w14:textId="77777777" w:rsidR="00850250" w:rsidRPr="00F239A6" w:rsidRDefault="00850250" w:rsidP="00F239A6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 xml:space="preserve">· If the patient is obviously dead consistent with </w:t>
            </w:r>
            <w:r>
              <w:rPr>
                <w:sz w:val="20"/>
                <w:szCs w:val="20"/>
              </w:rPr>
              <w:t>Do Not Resuscitate Guidelines (Grey 1)</w:t>
            </w:r>
            <w:r w:rsidRPr="00F239A6">
              <w:rPr>
                <w:sz w:val="20"/>
                <w:szCs w:val="20"/>
              </w:rPr>
              <w:t>, notify law enforcement of decision not to initiate resuscitation/patient care.</w:t>
            </w:r>
          </w:p>
          <w:p w14:paraId="4F939CE6" w14:textId="77777777" w:rsidR="00850250" w:rsidRDefault="00850250" w:rsidP="0071775A">
            <w:pPr>
              <w:rPr>
                <w:sz w:val="20"/>
                <w:szCs w:val="20"/>
              </w:rPr>
            </w:pPr>
            <w:r w:rsidRPr="00F239A6">
              <w:rPr>
                <w:sz w:val="20"/>
                <w:szCs w:val="20"/>
              </w:rPr>
              <w:t>· At motor vehicle incidents, preserve the scene by not driving over debris, not moving debris</w:t>
            </w:r>
            <w:r>
              <w:rPr>
                <w:sz w:val="20"/>
                <w:szCs w:val="20"/>
              </w:rPr>
              <w:t xml:space="preserve"> </w:t>
            </w:r>
            <w:r w:rsidRPr="00F239A6">
              <w:rPr>
                <w:sz w:val="20"/>
                <w:szCs w:val="20"/>
              </w:rPr>
              <w:t>and parking away from tire marks, if feasible</w:t>
            </w:r>
          </w:p>
          <w:p w14:paraId="763836DA" w14:textId="4FD27AD4" w:rsidR="00850250" w:rsidRPr="0071775A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-Prior to leaving a crime scene, if feasible, check the bottom of your shoes for contamination (fluids, objects, etc</w:t>
            </w:r>
            <w:r w:rsidR="00006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 Notify law enforcement for removal of any evidence and possible photographing of your shoes.</w:t>
            </w:r>
          </w:p>
        </w:tc>
        <w:tc>
          <w:tcPr>
            <w:tcW w:w="1800" w:type="dxa"/>
          </w:tcPr>
          <w:p w14:paraId="659D3CCF" w14:textId="6F34991D" w:rsidR="00850250" w:rsidRPr="0071775A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Best practice</w:t>
            </w:r>
          </w:p>
        </w:tc>
        <w:tc>
          <w:tcPr>
            <w:tcW w:w="1440" w:type="dxa"/>
          </w:tcPr>
          <w:p w14:paraId="5C32B587" w14:textId="4FE2CF64" w:rsidR="00850250" w:rsidRPr="0071775A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Violent crime in Maine</w:t>
            </w:r>
          </w:p>
        </w:tc>
        <w:tc>
          <w:tcPr>
            <w:tcW w:w="1604" w:type="dxa"/>
          </w:tcPr>
          <w:p w14:paraId="68AACA92" w14:textId="77777777" w:rsidR="00D93033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</w:t>
            </w:r>
            <w:r w:rsidR="00D93033">
              <w:rPr>
                <w:sz w:val="20"/>
                <w:szCs w:val="20"/>
              </w:rPr>
              <w:t>/</w:t>
            </w:r>
          </w:p>
          <w:p w14:paraId="206ADE34" w14:textId="35B12A26" w:rsidR="00850250" w:rsidRPr="0071775A" w:rsidRDefault="00D93033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1296" w:type="dxa"/>
          </w:tcPr>
          <w:p w14:paraId="3EDB226B" w14:textId="7E8358F5" w:rsidR="00850250" w:rsidRPr="0071775A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14:paraId="77C43F2E" w14:textId="524F5709" w:rsidR="00850250" w:rsidRPr="0071775A" w:rsidRDefault="00850250" w:rsidP="0071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of providers</w:t>
            </w:r>
          </w:p>
        </w:tc>
      </w:tr>
    </w:tbl>
    <w:p w14:paraId="074FE637" w14:textId="77777777" w:rsidR="00F457FB" w:rsidRPr="0071775A" w:rsidRDefault="00F457FB" w:rsidP="0071775A">
      <w:pPr>
        <w:rPr>
          <w:sz w:val="20"/>
          <w:szCs w:val="20"/>
        </w:rPr>
      </w:pPr>
    </w:p>
    <w:sectPr w:rsidR="00F457FB" w:rsidRPr="0071775A" w:rsidSect="00E91D56">
      <w:headerReference w:type="even" r:id="rId6"/>
      <w:headerReference w:type="default" r:id="rId7"/>
      <w:headerReference w:type="first" r:id="rId8"/>
      <w:pgSz w:w="17600" w:h="13600" w:orient="landscape"/>
      <w:pgMar w:top="1440" w:right="1440" w:bottom="1440" w:left="1440" w:header="720" w:footer="720" w:gutter="0"/>
      <w:pgBorders w:offsetFrom="page">
        <w:top w:val="single" w:sz="24" w:space="24" w:color="945200"/>
        <w:left w:val="single" w:sz="24" w:space="24" w:color="945200"/>
        <w:bottom w:val="single" w:sz="24" w:space="24" w:color="945200"/>
        <w:right w:val="single" w:sz="24" w:space="24" w:color="9452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7664" w14:textId="77777777" w:rsidR="002330CC" w:rsidRDefault="002330CC" w:rsidP="00BC3EC7">
      <w:r>
        <w:separator/>
      </w:r>
    </w:p>
  </w:endnote>
  <w:endnote w:type="continuationSeparator" w:id="0">
    <w:p w14:paraId="29BE3CB1" w14:textId="77777777" w:rsidR="002330CC" w:rsidRDefault="002330CC" w:rsidP="00BC3EC7">
      <w:r>
        <w:continuationSeparator/>
      </w:r>
    </w:p>
  </w:endnote>
  <w:endnote w:type="continuationNotice" w:id="1">
    <w:p w14:paraId="4BAE253E" w14:textId="77777777" w:rsidR="002330CC" w:rsidRDefault="00233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7E07" w14:textId="77777777" w:rsidR="002330CC" w:rsidRDefault="002330CC" w:rsidP="00BC3EC7">
      <w:r>
        <w:separator/>
      </w:r>
    </w:p>
  </w:footnote>
  <w:footnote w:type="continuationSeparator" w:id="0">
    <w:p w14:paraId="46A18175" w14:textId="77777777" w:rsidR="002330CC" w:rsidRDefault="002330CC" w:rsidP="00BC3EC7">
      <w:r>
        <w:continuationSeparator/>
      </w:r>
    </w:p>
  </w:footnote>
  <w:footnote w:type="continuationNotice" w:id="1">
    <w:p w14:paraId="68B51064" w14:textId="77777777" w:rsidR="002330CC" w:rsidRDefault="00233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7BB7" w14:textId="04C48643" w:rsidR="00D0025D" w:rsidRDefault="002330CC">
    <w:pPr>
      <w:pStyle w:val="Header"/>
    </w:pPr>
    <w:r>
      <w:rPr>
        <w:noProof/>
      </w:rPr>
      <w:pict w14:anchorId="025F6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792449" o:spid="_x0000_s2051" type="#_x0000_t136" alt="" style="position:absolute;margin-left:0;margin-top:0;width:9in;height:3in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21E4" w14:textId="3B277661" w:rsidR="00BC3EC7" w:rsidRPr="00850250" w:rsidRDefault="002330CC" w:rsidP="00BC3EC7">
    <w:pPr>
      <w:pStyle w:val="Header"/>
      <w:jc w:val="center"/>
      <w:rPr>
        <w:b/>
        <w:bCs/>
      </w:rPr>
    </w:pPr>
    <w:r>
      <w:rPr>
        <w:noProof/>
      </w:rPr>
      <w:pict w14:anchorId="3ACEE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792450" o:spid="_x0000_s2050" type="#_x0000_t136" alt="" style="position:absolute;left:0;text-align:left;margin-left:0;margin-top:0;width:9in;height:3in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850250" w:rsidRPr="00850250">
      <w:rPr>
        <w:b/>
        <w:bCs/>
        <w:noProof/>
      </w:rPr>
      <w:t>Brown</w:t>
    </w:r>
    <w:r w:rsidR="00BC3EC7" w:rsidRPr="00850250">
      <w:rPr>
        <w:b/>
        <w:bCs/>
      </w:rPr>
      <w:t xml:space="preserve"> Section Change Document </w:t>
    </w:r>
    <w:r w:rsidR="00850250">
      <w:rPr>
        <w:b/>
        <w:bCs/>
      </w:rPr>
      <w:t>POST</w:t>
    </w:r>
    <w:r w:rsidR="00BC3EC7" w:rsidRPr="00850250">
      <w:rPr>
        <w:b/>
        <w:bCs/>
      </w:rPr>
      <w:t xml:space="preserve"> MDPB</w:t>
    </w:r>
  </w:p>
  <w:p w14:paraId="0EB8053A" w14:textId="77777777" w:rsidR="00BC3EC7" w:rsidRPr="00850250" w:rsidRDefault="00BC3EC7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EAE0" w14:textId="244A8A46" w:rsidR="00D0025D" w:rsidRDefault="002330CC">
    <w:pPr>
      <w:pStyle w:val="Header"/>
    </w:pPr>
    <w:r>
      <w:rPr>
        <w:noProof/>
      </w:rPr>
      <w:pict w14:anchorId="5AA77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792448" o:spid="_x0000_s2049" type="#_x0000_t136" alt="" style="position:absolute;margin-left:0;margin-top:0;width:9in;height:3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5A"/>
    <w:rsid w:val="0000667F"/>
    <w:rsid w:val="0001118D"/>
    <w:rsid w:val="000113A8"/>
    <w:rsid w:val="000600A5"/>
    <w:rsid w:val="00064699"/>
    <w:rsid w:val="000A4B84"/>
    <w:rsid w:val="000D4B23"/>
    <w:rsid w:val="00134368"/>
    <w:rsid w:val="0015587A"/>
    <w:rsid w:val="00177B70"/>
    <w:rsid w:val="00191881"/>
    <w:rsid w:val="001936A9"/>
    <w:rsid w:val="00197F96"/>
    <w:rsid w:val="001A1B74"/>
    <w:rsid w:val="001E54D7"/>
    <w:rsid w:val="001F23CB"/>
    <w:rsid w:val="00225BF1"/>
    <w:rsid w:val="002330CC"/>
    <w:rsid w:val="00243C68"/>
    <w:rsid w:val="002707D1"/>
    <w:rsid w:val="00277EFA"/>
    <w:rsid w:val="0031767A"/>
    <w:rsid w:val="003357EE"/>
    <w:rsid w:val="00392FF6"/>
    <w:rsid w:val="003A7698"/>
    <w:rsid w:val="003C6CAC"/>
    <w:rsid w:val="003D7D79"/>
    <w:rsid w:val="003E7B6F"/>
    <w:rsid w:val="004769A4"/>
    <w:rsid w:val="0048195C"/>
    <w:rsid w:val="004A13A1"/>
    <w:rsid w:val="004E570B"/>
    <w:rsid w:val="004E73E7"/>
    <w:rsid w:val="004F022B"/>
    <w:rsid w:val="00535034"/>
    <w:rsid w:val="00555071"/>
    <w:rsid w:val="00557394"/>
    <w:rsid w:val="005B4B56"/>
    <w:rsid w:val="005F3B98"/>
    <w:rsid w:val="0061191A"/>
    <w:rsid w:val="006143A0"/>
    <w:rsid w:val="0063612F"/>
    <w:rsid w:val="00682E56"/>
    <w:rsid w:val="006A53A0"/>
    <w:rsid w:val="006A6D41"/>
    <w:rsid w:val="006C1D6A"/>
    <w:rsid w:val="006E6BDF"/>
    <w:rsid w:val="007173C6"/>
    <w:rsid w:val="0071775A"/>
    <w:rsid w:val="00727AB6"/>
    <w:rsid w:val="00742BED"/>
    <w:rsid w:val="007502BB"/>
    <w:rsid w:val="007835FF"/>
    <w:rsid w:val="007A09EE"/>
    <w:rsid w:val="007A22E0"/>
    <w:rsid w:val="007C4464"/>
    <w:rsid w:val="007E021A"/>
    <w:rsid w:val="007F5ED7"/>
    <w:rsid w:val="00801D48"/>
    <w:rsid w:val="00833EA5"/>
    <w:rsid w:val="00834924"/>
    <w:rsid w:val="00850250"/>
    <w:rsid w:val="00854941"/>
    <w:rsid w:val="008566B3"/>
    <w:rsid w:val="00862CDC"/>
    <w:rsid w:val="00872D17"/>
    <w:rsid w:val="008745AF"/>
    <w:rsid w:val="00882E97"/>
    <w:rsid w:val="008C01A4"/>
    <w:rsid w:val="008D59B9"/>
    <w:rsid w:val="008F3E4D"/>
    <w:rsid w:val="009238E8"/>
    <w:rsid w:val="00941536"/>
    <w:rsid w:val="0095708C"/>
    <w:rsid w:val="00960B5A"/>
    <w:rsid w:val="009C4D66"/>
    <w:rsid w:val="00A1174E"/>
    <w:rsid w:val="00A17EAE"/>
    <w:rsid w:val="00A56CD1"/>
    <w:rsid w:val="00A667DB"/>
    <w:rsid w:val="00AC6BB0"/>
    <w:rsid w:val="00AC7E5D"/>
    <w:rsid w:val="00AE49B4"/>
    <w:rsid w:val="00B327FE"/>
    <w:rsid w:val="00B4797D"/>
    <w:rsid w:val="00B55EE8"/>
    <w:rsid w:val="00B62E32"/>
    <w:rsid w:val="00BC3EC7"/>
    <w:rsid w:val="00BD739E"/>
    <w:rsid w:val="00BF73D9"/>
    <w:rsid w:val="00C02250"/>
    <w:rsid w:val="00C45928"/>
    <w:rsid w:val="00CA02A7"/>
    <w:rsid w:val="00CD19C8"/>
    <w:rsid w:val="00CE0FC5"/>
    <w:rsid w:val="00D0025D"/>
    <w:rsid w:val="00D232D6"/>
    <w:rsid w:val="00D5150E"/>
    <w:rsid w:val="00D5399E"/>
    <w:rsid w:val="00D621D1"/>
    <w:rsid w:val="00D752C0"/>
    <w:rsid w:val="00D839C8"/>
    <w:rsid w:val="00D93033"/>
    <w:rsid w:val="00DA5AB7"/>
    <w:rsid w:val="00DF4E14"/>
    <w:rsid w:val="00E12853"/>
    <w:rsid w:val="00E35A8D"/>
    <w:rsid w:val="00E6330E"/>
    <w:rsid w:val="00E7567F"/>
    <w:rsid w:val="00E91D56"/>
    <w:rsid w:val="00EB3555"/>
    <w:rsid w:val="00EE00FE"/>
    <w:rsid w:val="00EE2134"/>
    <w:rsid w:val="00EE6DD5"/>
    <w:rsid w:val="00F239A6"/>
    <w:rsid w:val="00F457FB"/>
    <w:rsid w:val="00F54D4A"/>
    <w:rsid w:val="00F574F4"/>
    <w:rsid w:val="00FA26C1"/>
    <w:rsid w:val="2763A483"/>
    <w:rsid w:val="517CA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BB5E23"/>
  <w15:docId w15:val="{255DBCA7-3D99-284E-B085-820357F9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EC7"/>
  </w:style>
  <w:style w:type="paragraph" w:styleId="Footer">
    <w:name w:val="footer"/>
    <w:basedOn w:val="Normal"/>
    <w:link w:val="FooterChar"/>
    <w:uiPriority w:val="99"/>
    <w:unhideWhenUsed/>
    <w:rsid w:val="00BC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EC7"/>
  </w:style>
  <w:style w:type="character" w:styleId="CommentReference">
    <w:name w:val="annotation reference"/>
    <w:basedOn w:val="DefaultParagraphFont"/>
    <w:uiPriority w:val="99"/>
    <w:semiHidden/>
    <w:unhideWhenUsed/>
    <w:rsid w:val="00DF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Sholl</dc:creator>
  <cp:keywords/>
  <dc:description/>
  <cp:lastModifiedBy>Matthew Sholl</cp:lastModifiedBy>
  <cp:revision>6</cp:revision>
  <cp:lastPrinted>2020-01-14T09:30:00Z</cp:lastPrinted>
  <dcterms:created xsi:type="dcterms:W3CDTF">2020-08-03T13:36:00Z</dcterms:created>
  <dcterms:modified xsi:type="dcterms:W3CDTF">2020-08-03T16:12:00Z</dcterms:modified>
</cp:coreProperties>
</file>