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025D" w14:textId="555A6024" w:rsidR="00B24919" w:rsidRPr="00F42435" w:rsidRDefault="00B24919" w:rsidP="00B24919">
      <w:pPr>
        <w:jc w:val="center"/>
        <w:rPr>
          <w:b/>
          <w:bCs/>
          <w:caps/>
        </w:rPr>
      </w:pPr>
      <w:r w:rsidRPr="00F42435">
        <w:rPr>
          <w:b/>
          <w:bCs/>
          <w:caps/>
        </w:rPr>
        <w:t>Oral Fluid Testing Working Group</w:t>
      </w:r>
    </w:p>
    <w:p w14:paraId="038C2707" w14:textId="29108552" w:rsidR="00B24919" w:rsidRPr="00F42435" w:rsidRDefault="00B24919" w:rsidP="00B24919">
      <w:pPr>
        <w:jc w:val="center"/>
        <w:rPr>
          <w:b/>
          <w:bCs/>
          <w:caps/>
        </w:rPr>
      </w:pPr>
      <w:r w:rsidRPr="00F42435">
        <w:rPr>
          <w:b/>
          <w:bCs/>
          <w:caps/>
        </w:rPr>
        <w:t>Bylaws and Meeting Rules</w:t>
      </w:r>
    </w:p>
    <w:p w14:paraId="25872AB4" w14:textId="77777777" w:rsidR="00B24919" w:rsidRDefault="00B24919" w:rsidP="00B24919"/>
    <w:p w14:paraId="775D9CFC" w14:textId="77777777" w:rsidR="00B24919" w:rsidRDefault="00B24919" w:rsidP="00B24919"/>
    <w:p w14:paraId="775E439D" w14:textId="4D7E0A4A" w:rsidR="00B24919" w:rsidRPr="00B24919" w:rsidRDefault="00B24919" w:rsidP="00B24919">
      <w:pPr>
        <w:jc w:val="center"/>
        <w:rPr>
          <w:b/>
          <w:bCs/>
          <w:caps/>
        </w:rPr>
      </w:pPr>
      <w:r w:rsidRPr="00B24919">
        <w:rPr>
          <w:b/>
          <w:bCs/>
          <w:caps/>
        </w:rPr>
        <w:t>Article I: Name</w:t>
      </w:r>
    </w:p>
    <w:p w14:paraId="5707342A" w14:textId="77777777" w:rsidR="00B24919" w:rsidRDefault="00B24919" w:rsidP="00B24919"/>
    <w:p w14:paraId="7654E281" w14:textId="6AD5091A" w:rsidR="00B24919" w:rsidRDefault="00B24919" w:rsidP="00D21E56">
      <w:pPr>
        <w:jc w:val="both"/>
      </w:pPr>
      <w:r w:rsidRPr="00B24919">
        <w:t xml:space="preserve">This Committee shall be known as the </w:t>
      </w:r>
      <w:r>
        <w:t>Oral Fluid Testing Working Group</w:t>
      </w:r>
      <w:r w:rsidRPr="00B24919">
        <w:t xml:space="preserve"> (the "</w:t>
      </w:r>
      <w:r>
        <w:t>Working Group</w:t>
      </w:r>
      <w:r w:rsidRPr="00B24919">
        <w:t>"). </w:t>
      </w:r>
    </w:p>
    <w:p w14:paraId="50B4851F" w14:textId="77777777" w:rsidR="00B24919" w:rsidRPr="00B24919" w:rsidRDefault="00B24919" w:rsidP="00B24919"/>
    <w:p w14:paraId="31827476" w14:textId="0494E98C" w:rsidR="00B24919" w:rsidRPr="00B24919" w:rsidRDefault="00B24919" w:rsidP="00B24919">
      <w:pPr>
        <w:jc w:val="center"/>
        <w:rPr>
          <w:b/>
          <w:bCs/>
          <w:caps/>
        </w:rPr>
      </w:pPr>
      <w:r w:rsidRPr="00B24919">
        <w:rPr>
          <w:b/>
          <w:bCs/>
          <w:caps/>
        </w:rPr>
        <w:t>Article II: Purpose</w:t>
      </w:r>
      <w:r w:rsidR="00F42435">
        <w:rPr>
          <w:b/>
          <w:bCs/>
          <w:caps/>
        </w:rPr>
        <w:t xml:space="preserve"> And </w:t>
      </w:r>
      <w:r w:rsidRPr="00B24919">
        <w:rPr>
          <w:b/>
          <w:bCs/>
          <w:caps/>
        </w:rPr>
        <w:t>Scope of Work</w:t>
      </w:r>
    </w:p>
    <w:p w14:paraId="3A105B72" w14:textId="77777777" w:rsidR="00B24919" w:rsidRPr="00B24919" w:rsidRDefault="00B24919" w:rsidP="00B24919"/>
    <w:p w14:paraId="74BAA79C" w14:textId="4829D14B" w:rsidR="00B24919" w:rsidRPr="00B24919" w:rsidRDefault="00B24919" w:rsidP="00D21E56">
      <w:pPr>
        <w:jc w:val="both"/>
      </w:pPr>
      <w:r w:rsidRPr="00B24919">
        <w:t>The purpose of th</w:t>
      </w:r>
      <w:r w:rsidR="007C44FE">
        <w:t xml:space="preserve">e Working Group </w:t>
      </w:r>
      <w:r w:rsidRPr="00B24919">
        <w:t xml:space="preserve">is to </w:t>
      </w:r>
      <w:r>
        <w:t>carry out the directives of the legislative resolve “</w:t>
      </w:r>
      <w:r w:rsidRPr="00B24919">
        <w:t>to Convene a Working Group to Study the Use of Oral Fluid Testing in Determining Intoxication of Drivers, Aircraft Operators and Hunters</w:t>
      </w:r>
      <w:r w:rsidR="00572FC2">
        <w:t>” (hereinafter referred to as “the Resolve”).</w:t>
      </w:r>
      <w:r>
        <w:t xml:space="preserve"> </w:t>
      </w:r>
      <w:r>
        <w:rPr>
          <w:i/>
          <w:iCs/>
        </w:rPr>
        <w:t>See</w:t>
      </w:r>
      <w:r>
        <w:t xml:space="preserve"> Resolves 2025, </w:t>
      </w:r>
      <w:proofErr w:type="spellStart"/>
      <w:r>
        <w:t>ch.</w:t>
      </w:r>
      <w:proofErr w:type="spellEnd"/>
      <w:r>
        <w:t xml:space="preserve"> 87.</w:t>
      </w:r>
    </w:p>
    <w:p w14:paraId="09C37D7B" w14:textId="77777777" w:rsidR="00B24919" w:rsidRPr="00B24919" w:rsidRDefault="00B24919" w:rsidP="00D21E56">
      <w:pPr>
        <w:jc w:val="both"/>
      </w:pPr>
    </w:p>
    <w:p w14:paraId="37BCF639" w14:textId="380C8281" w:rsidR="00B24919" w:rsidRDefault="00B24919" w:rsidP="00D21E56">
      <w:pPr>
        <w:jc w:val="both"/>
      </w:pPr>
      <w:r w:rsidRPr="00B24919">
        <w:t>The scope of work for th</w:t>
      </w:r>
      <w:r w:rsidR="007C44FE">
        <w:t xml:space="preserve">e Working Group </w:t>
      </w:r>
      <w:r w:rsidRPr="00B24919">
        <w:t>includes</w:t>
      </w:r>
      <w:r w:rsidR="00572FC2">
        <w:t xml:space="preserve"> investigating the following items and issuing a related report:</w:t>
      </w:r>
    </w:p>
    <w:p w14:paraId="3894D166" w14:textId="77777777" w:rsidR="00572FC2" w:rsidRDefault="00572FC2" w:rsidP="00D21E56">
      <w:pPr>
        <w:jc w:val="both"/>
      </w:pPr>
    </w:p>
    <w:p w14:paraId="44AFCAAD" w14:textId="5707F021" w:rsidR="00572FC2" w:rsidRDefault="00572FC2" w:rsidP="00D21E56">
      <w:pPr>
        <w:jc w:val="both"/>
      </w:pPr>
      <w:r w:rsidRPr="00572FC2">
        <w:t xml:space="preserve">1. The State's need for and intended use of oral fluid testing, including whether oral fluid testing will be used to assist in establishing probable cause or whether it will be used for evidentiary purposes, or </w:t>
      </w:r>
      <w:proofErr w:type="gramStart"/>
      <w:r w:rsidRPr="00572FC2">
        <w:t>both;</w:t>
      </w:r>
      <w:proofErr w:type="gramEnd"/>
    </w:p>
    <w:p w14:paraId="1CCC4D28" w14:textId="77777777" w:rsidR="00572FC2" w:rsidRDefault="00572FC2" w:rsidP="00D21E56">
      <w:pPr>
        <w:jc w:val="both"/>
      </w:pPr>
    </w:p>
    <w:p w14:paraId="26DCAD32" w14:textId="6694165A" w:rsidR="00572FC2" w:rsidRDefault="00572FC2" w:rsidP="00D21E56">
      <w:pPr>
        <w:jc w:val="both"/>
      </w:pPr>
      <w:r w:rsidRPr="00572FC2">
        <w:t xml:space="preserve">2. Legal and regulatory changes required to allow the use of oral fluid testing in the </w:t>
      </w:r>
      <w:proofErr w:type="gramStart"/>
      <w:r w:rsidRPr="00572FC2">
        <w:t>State;</w:t>
      </w:r>
      <w:proofErr w:type="gramEnd"/>
    </w:p>
    <w:p w14:paraId="3454F807" w14:textId="77777777" w:rsidR="00572FC2" w:rsidRDefault="00572FC2" w:rsidP="00D21E56">
      <w:pPr>
        <w:jc w:val="both"/>
      </w:pPr>
    </w:p>
    <w:p w14:paraId="76A09A80" w14:textId="5A2A57E8" w:rsidR="00572FC2" w:rsidRDefault="00572FC2" w:rsidP="00D21E56">
      <w:pPr>
        <w:jc w:val="both"/>
      </w:pPr>
      <w:r w:rsidRPr="00572FC2">
        <w:t xml:space="preserve">3. How the use of oral fluid testing may impact administrative license suspensions, including whether refusal to submit to oral fluid testing should result in an administrative license suspension and whether the results of oral fluid testing can be used as a basis for an administrative license </w:t>
      </w:r>
      <w:proofErr w:type="gramStart"/>
      <w:r w:rsidRPr="00572FC2">
        <w:t>suspension;</w:t>
      </w:r>
      <w:proofErr w:type="gramEnd"/>
    </w:p>
    <w:p w14:paraId="54DF1807" w14:textId="77777777" w:rsidR="00572FC2" w:rsidRDefault="00572FC2" w:rsidP="00D21E56">
      <w:pPr>
        <w:jc w:val="both"/>
      </w:pPr>
    </w:p>
    <w:p w14:paraId="576EF709" w14:textId="257B37A0" w:rsidR="00572FC2" w:rsidRDefault="00572FC2" w:rsidP="00D21E56">
      <w:pPr>
        <w:jc w:val="both"/>
      </w:pPr>
      <w:r w:rsidRPr="00572FC2">
        <w:t>4. The necessary equipment required to implement the use of oral fluid testing, including potential laboratory equipment, and the associated costs and funding sources; and</w:t>
      </w:r>
    </w:p>
    <w:p w14:paraId="41F9A712" w14:textId="77777777" w:rsidR="00572FC2" w:rsidRDefault="00572FC2" w:rsidP="00D21E56">
      <w:pPr>
        <w:jc w:val="both"/>
      </w:pPr>
    </w:p>
    <w:p w14:paraId="5790A44A" w14:textId="0311AE86" w:rsidR="00572FC2" w:rsidRDefault="00572FC2" w:rsidP="00D21E56">
      <w:pPr>
        <w:jc w:val="both"/>
      </w:pPr>
      <w:r w:rsidRPr="00572FC2">
        <w:t>5. Additional training requirements that may be needed to implement the use of oral fluid testing</w:t>
      </w:r>
      <w:r>
        <w:t>.</w:t>
      </w:r>
    </w:p>
    <w:p w14:paraId="6A35CFF7" w14:textId="77777777" w:rsidR="00B24919" w:rsidRPr="00B24919" w:rsidRDefault="00B24919" w:rsidP="00B24919"/>
    <w:p w14:paraId="673EA792" w14:textId="77777777" w:rsidR="00B24919" w:rsidRDefault="00B24919" w:rsidP="00B24919">
      <w:pPr>
        <w:jc w:val="center"/>
        <w:rPr>
          <w:b/>
          <w:bCs/>
          <w:caps/>
        </w:rPr>
      </w:pPr>
      <w:r w:rsidRPr="00B24919">
        <w:rPr>
          <w:b/>
          <w:bCs/>
          <w:caps/>
        </w:rPr>
        <w:t>Article III: Membership</w:t>
      </w:r>
    </w:p>
    <w:p w14:paraId="7CEE1289" w14:textId="77777777" w:rsidR="00572FC2" w:rsidRDefault="00572FC2" w:rsidP="00B24919"/>
    <w:p w14:paraId="69686CEA" w14:textId="77777777" w:rsidR="00F42435" w:rsidRDefault="00572FC2" w:rsidP="00D21E56">
      <w:pPr>
        <w:jc w:val="both"/>
      </w:pPr>
      <w:r>
        <w:t>Section One: Membership</w:t>
      </w:r>
    </w:p>
    <w:p w14:paraId="0B9ACFED" w14:textId="66272EB6" w:rsidR="00572FC2" w:rsidRDefault="00572FC2" w:rsidP="00D21E56">
      <w:pPr>
        <w:jc w:val="both"/>
      </w:pPr>
    </w:p>
    <w:p w14:paraId="69AF7516" w14:textId="6F7C2191" w:rsidR="00B24919" w:rsidRDefault="00B24919" w:rsidP="00D21E56">
      <w:pPr>
        <w:jc w:val="both"/>
      </w:pPr>
      <w:r w:rsidRPr="00B24919">
        <w:t xml:space="preserve">Members of the </w:t>
      </w:r>
      <w:r w:rsidR="00572FC2">
        <w:t>Working Group shall include those members enumerated by the Resolve and additional members appointed by the Director of the Maine Bureau of Highway Safety. Additionally appointed members shall be considered “ex officio” members.</w:t>
      </w:r>
    </w:p>
    <w:p w14:paraId="26398596" w14:textId="77777777" w:rsidR="00572FC2" w:rsidRPr="00B24919" w:rsidRDefault="00572FC2" w:rsidP="00D21E56">
      <w:pPr>
        <w:jc w:val="both"/>
      </w:pPr>
    </w:p>
    <w:p w14:paraId="139BEE1B" w14:textId="77777777" w:rsidR="00572FC2" w:rsidRDefault="00B24919" w:rsidP="00D21E56">
      <w:pPr>
        <w:jc w:val="both"/>
      </w:pPr>
      <w:r w:rsidRPr="00B24919">
        <w:t xml:space="preserve">Section </w:t>
      </w:r>
      <w:r w:rsidR="00572FC2">
        <w:t>2</w:t>
      </w:r>
      <w:r w:rsidRPr="00B24919">
        <w:t>: Term of Appointment</w:t>
      </w:r>
    </w:p>
    <w:p w14:paraId="28779F57" w14:textId="2910B4B0" w:rsidR="00B24919" w:rsidRDefault="00B24919" w:rsidP="00D21E56">
      <w:pPr>
        <w:jc w:val="both"/>
      </w:pPr>
      <w:r w:rsidRPr="00B24919">
        <w:br/>
        <w:t xml:space="preserve">Members shall serve until the final report of the </w:t>
      </w:r>
      <w:r w:rsidR="00572FC2">
        <w:t>Working Group</w:t>
      </w:r>
      <w:r w:rsidRPr="00B24919">
        <w:t xml:space="preserve"> is filed and its work is concluded. </w:t>
      </w:r>
    </w:p>
    <w:p w14:paraId="2857DEAF" w14:textId="77777777" w:rsidR="00572FC2" w:rsidRPr="00B24919" w:rsidRDefault="00572FC2" w:rsidP="00D21E56">
      <w:pPr>
        <w:jc w:val="both"/>
      </w:pPr>
    </w:p>
    <w:p w14:paraId="14BE4A5C" w14:textId="4793FC46" w:rsidR="00572FC2" w:rsidRDefault="00B24919" w:rsidP="00D21E56">
      <w:pPr>
        <w:jc w:val="both"/>
      </w:pPr>
      <w:r w:rsidRPr="00B24919">
        <w:lastRenderedPageBreak/>
        <w:t xml:space="preserve">Section </w:t>
      </w:r>
      <w:r w:rsidR="00572FC2">
        <w:t>3</w:t>
      </w:r>
      <w:r w:rsidRPr="00B24919">
        <w:t>:</w:t>
      </w:r>
      <w:r w:rsidR="00572FC2">
        <w:t xml:space="preserve"> Chair</w:t>
      </w:r>
      <w:r w:rsidR="00D21E56">
        <w:t xml:space="preserve"> and other officers</w:t>
      </w:r>
    </w:p>
    <w:p w14:paraId="10289A29" w14:textId="68B6C031" w:rsidR="00B24919" w:rsidRDefault="00B24919" w:rsidP="00D21E56">
      <w:pPr>
        <w:jc w:val="both"/>
      </w:pPr>
      <w:r w:rsidRPr="00B24919">
        <w:br/>
      </w:r>
      <w:r w:rsidR="00572FC2">
        <w:t>Given the Resolve is directed at the Maine Bureau of Highway Safety, The Director of the Maine Bureau of Highway Safety, or her designee, shall serve as chair of the Working Group.</w:t>
      </w:r>
    </w:p>
    <w:p w14:paraId="62903609" w14:textId="77777777" w:rsidR="00D21E56" w:rsidRDefault="00D21E56" w:rsidP="00D21E56">
      <w:pPr>
        <w:jc w:val="both"/>
      </w:pPr>
    </w:p>
    <w:p w14:paraId="353F1328" w14:textId="4AFA4361" w:rsidR="00D21E56" w:rsidRDefault="00D21E56" w:rsidP="00D21E56">
      <w:pPr>
        <w:jc w:val="both"/>
      </w:pPr>
      <w:r>
        <w:t xml:space="preserve">Additionally, the chair may appoint other officers, including but not limited to a vice-chair, a secretary, and/or a parliamentarian, as </w:t>
      </w:r>
      <w:r w:rsidR="007C44FE">
        <w:t xml:space="preserve">the chair </w:t>
      </w:r>
      <w:r w:rsidR="00184810">
        <w:t>deem</w:t>
      </w:r>
      <w:r w:rsidR="007C44FE">
        <w:t xml:space="preserve">s </w:t>
      </w:r>
      <w:r>
        <w:t>necessary or convenient.</w:t>
      </w:r>
      <w:r w:rsidR="00F42435">
        <w:t xml:space="preserve"> An officer may hold more than one role/title.</w:t>
      </w:r>
    </w:p>
    <w:p w14:paraId="4D616278" w14:textId="77777777" w:rsidR="00572FC2" w:rsidRDefault="00572FC2" w:rsidP="00D21E56">
      <w:pPr>
        <w:jc w:val="both"/>
      </w:pPr>
    </w:p>
    <w:p w14:paraId="4FB8B03C" w14:textId="62035315" w:rsidR="00572FC2" w:rsidRDefault="00572FC2" w:rsidP="00D21E56">
      <w:pPr>
        <w:jc w:val="both"/>
      </w:pPr>
      <w:r>
        <w:t>Section 4: Voting</w:t>
      </w:r>
      <w:r w:rsidR="00D21E56">
        <w:t xml:space="preserve"> Rights</w:t>
      </w:r>
    </w:p>
    <w:p w14:paraId="72A58D54" w14:textId="5F9285B1" w:rsidR="00D21E56" w:rsidRDefault="00D21E56" w:rsidP="00D21E56">
      <w:pPr>
        <w:jc w:val="both"/>
      </w:pPr>
    </w:p>
    <w:p w14:paraId="598CD23C" w14:textId="34973D9F" w:rsidR="00572FC2" w:rsidRDefault="00D21E56" w:rsidP="00D21E56">
      <w:pPr>
        <w:jc w:val="both"/>
      </w:pPr>
      <w:r>
        <w:t xml:space="preserve">All members enumerated in the resolve are entitled to vote on actions requiring a vote. Ex officio members are not entitled to a vote. </w:t>
      </w:r>
    </w:p>
    <w:p w14:paraId="2388282D" w14:textId="77777777" w:rsidR="00572FC2" w:rsidRPr="00B24919" w:rsidRDefault="00572FC2" w:rsidP="00B24919"/>
    <w:p w14:paraId="4C939050" w14:textId="77777777" w:rsidR="00B24919" w:rsidRDefault="00B24919" w:rsidP="00572FC2">
      <w:pPr>
        <w:jc w:val="center"/>
        <w:rPr>
          <w:b/>
          <w:bCs/>
          <w:caps/>
        </w:rPr>
      </w:pPr>
      <w:r w:rsidRPr="00B24919">
        <w:rPr>
          <w:b/>
          <w:bCs/>
          <w:caps/>
        </w:rPr>
        <w:t>Article IV: Meetings</w:t>
      </w:r>
    </w:p>
    <w:p w14:paraId="38A0FCB8" w14:textId="77777777" w:rsidR="00572FC2" w:rsidRPr="00B24919" w:rsidRDefault="00572FC2" w:rsidP="00572FC2">
      <w:pPr>
        <w:jc w:val="center"/>
        <w:rPr>
          <w:b/>
          <w:bCs/>
          <w:caps/>
        </w:rPr>
      </w:pPr>
    </w:p>
    <w:p w14:paraId="626F5E3A" w14:textId="77777777" w:rsidR="00D21E56" w:rsidRDefault="00B24919" w:rsidP="00F42435">
      <w:pPr>
        <w:jc w:val="both"/>
      </w:pPr>
      <w:r w:rsidRPr="00B24919">
        <w:t>Section 1: Frequency</w:t>
      </w:r>
    </w:p>
    <w:p w14:paraId="54142A93" w14:textId="56F00D24" w:rsidR="00B24919" w:rsidRDefault="00B24919" w:rsidP="00F42435">
      <w:pPr>
        <w:jc w:val="both"/>
      </w:pPr>
      <w:r w:rsidRPr="00B24919">
        <w:br/>
        <w:t xml:space="preserve">The </w:t>
      </w:r>
      <w:r w:rsidR="007C44FE">
        <w:t>Working Group</w:t>
      </w:r>
      <w:r w:rsidRPr="00B24919">
        <w:t xml:space="preserve"> shall meet as frequently as necessary to accomplish its task and purpose in a timely manner. The chair shall set the meeting schedule after considering input from </w:t>
      </w:r>
      <w:r w:rsidR="00D21E56">
        <w:t>Working Group</w:t>
      </w:r>
      <w:r w:rsidRPr="00B24919">
        <w:t xml:space="preserve"> members and other relevant participants. </w:t>
      </w:r>
    </w:p>
    <w:p w14:paraId="4C18A0FE" w14:textId="77777777" w:rsidR="00D21E56" w:rsidRPr="00B24919" w:rsidRDefault="00D21E56" w:rsidP="00F42435">
      <w:pPr>
        <w:jc w:val="both"/>
      </w:pPr>
    </w:p>
    <w:p w14:paraId="6D87CA1E" w14:textId="77777777" w:rsidR="00D21E56" w:rsidRDefault="00B24919" w:rsidP="00F42435">
      <w:pPr>
        <w:jc w:val="both"/>
      </w:pPr>
      <w:r w:rsidRPr="00B24919">
        <w:t>Section 2: Notice</w:t>
      </w:r>
    </w:p>
    <w:p w14:paraId="24B222B8" w14:textId="5C20E2F8" w:rsidR="00B24919" w:rsidRDefault="00B24919" w:rsidP="00F42435">
      <w:pPr>
        <w:jc w:val="both"/>
      </w:pPr>
      <w:r w:rsidRPr="00B24919">
        <w:br/>
        <w:t xml:space="preserve">Notice of meetings shall be provided to </w:t>
      </w:r>
      <w:r w:rsidR="00D21E56">
        <w:t>Working Group</w:t>
      </w:r>
      <w:r w:rsidRPr="00B24919">
        <w:t xml:space="preserve"> members at least </w:t>
      </w:r>
      <w:r w:rsidR="00D21E56">
        <w:t>seven (7)</w:t>
      </w:r>
      <w:r w:rsidRPr="00B24919">
        <w:t xml:space="preserve"> days in advance. </w:t>
      </w:r>
    </w:p>
    <w:p w14:paraId="26420B6D" w14:textId="77777777" w:rsidR="00D21E56" w:rsidRPr="00B24919" w:rsidRDefault="00D21E56" w:rsidP="00F42435">
      <w:pPr>
        <w:jc w:val="both"/>
      </w:pPr>
    </w:p>
    <w:p w14:paraId="46F0FB4C" w14:textId="77777777" w:rsidR="00D21E56" w:rsidRDefault="00B24919" w:rsidP="00F42435">
      <w:pPr>
        <w:jc w:val="both"/>
      </w:pPr>
      <w:r w:rsidRPr="00B24919">
        <w:t>Section 3: Quorum</w:t>
      </w:r>
    </w:p>
    <w:p w14:paraId="60EAB419" w14:textId="17B5BA76" w:rsidR="00B24919" w:rsidRDefault="00B24919" w:rsidP="00F42435">
      <w:pPr>
        <w:jc w:val="both"/>
      </w:pPr>
      <w:r w:rsidRPr="00B24919">
        <w:br/>
        <w:t xml:space="preserve">A majority of the </w:t>
      </w:r>
      <w:r w:rsidR="007C44FE">
        <w:t>Working Group</w:t>
      </w:r>
      <w:r w:rsidRPr="00B24919">
        <w:t xml:space="preserve"> members shall constitute a quorum for the transaction of business. </w:t>
      </w:r>
    </w:p>
    <w:p w14:paraId="4C1B6DD4" w14:textId="77777777" w:rsidR="00D21E56" w:rsidRPr="00B24919" w:rsidRDefault="00D21E56" w:rsidP="00F42435">
      <w:pPr>
        <w:jc w:val="both"/>
      </w:pPr>
    </w:p>
    <w:p w14:paraId="6B7EA078" w14:textId="77777777" w:rsidR="00D21E56" w:rsidRDefault="00B24919" w:rsidP="00F42435">
      <w:pPr>
        <w:jc w:val="both"/>
      </w:pPr>
      <w:r w:rsidRPr="00B24919">
        <w:t>Section 4: Decision-Making</w:t>
      </w:r>
    </w:p>
    <w:p w14:paraId="270C1952" w14:textId="7EEF4E80" w:rsidR="00B24919" w:rsidRDefault="00B24919" w:rsidP="00F42435">
      <w:pPr>
        <w:jc w:val="both"/>
      </w:pPr>
      <w:r w:rsidRPr="00B24919">
        <w:br/>
        <w:t xml:space="preserve">The </w:t>
      </w:r>
      <w:r w:rsidR="00D21E56">
        <w:t>Working</w:t>
      </w:r>
      <w:r w:rsidRPr="00B24919">
        <w:t xml:space="preserve"> </w:t>
      </w:r>
      <w:r w:rsidR="007C44FE">
        <w:t xml:space="preserve">Group </w:t>
      </w:r>
      <w:r w:rsidRPr="00B24919">
        <w:t xml:space="preserve">will strive to reach decisions through consensus whenever possible. If full consensus cannot be reached, the </w:t>
      </w:r>
      <w:r w:rsidR="00D21E56">
        <w:t>Working Group may act by</w:t>
      </w:r>
      <w:r w:rsidRPr="00B24919">
        <w:t xml:space="preserve"> a majority vote</w:t>
      </w:r>
      <w:r w:rsidR="00D21E56">
        <w:t xml:space="preserve"> made upon a motion, with </w:t>
      </w:r>
      <w:proofErr w:type="gramStart"/>
      <w:r w:rsidR="00D21E56">
        <w:t>second</w:t>
      </w:r>
      <w:proofErr w:type="gramEnd"/>
      <w:r w:rsidRPr="00B24919">
        <w:t>. </w:t>
      </w:r>
    </w:p>
    <w:p w14:paraId="6EBE93E2" w14:textId="77777777" w:rsidR="00D21E56" w:rsidRPr="00B24919" w:rsidRDefault="00D21E56" w:rsidP="00F42435">
      <w:pPr>
        <w:jc w:val="both"/>
      </w:pPr>
    </w:p>
    <w:p w14:paraId="1A4D08E1" w14:textId="77777777" w:rsidR="00D21E56" w:rsidRDefault="00B24919" w:rsidP="00F42435">
      <w:pPr>
        <w:jc w:val="both"/>
      </w:pPr>
      <w:r w:rsidRPr="00B24919">
        <w:t>Section 5: Transparency and Public Participation</w:t>
      </w:r>
    </w:p>
    <w:p w14:paraId="16342A65" w14:textId="5DD35DA6" w:rsidR="00B24919" w:rsidRDefault="00B24919" w:rsidP="00F42435">
      <w:pPr>
        <w:jc w:val="both"/>
      </w:pPr>
      <w:r w:rsidRPr="00B24919">
        <w:br/>
      </w:r>
      <w:r w:rsidR="00D21E56">
        <w:t>Working Group</w:t>
      </w:r>
      <w:r w:rsidRPr="00B24919">
        <w:t xml:space="preserve"> meetings </w:t>
      </w:r>
      <w:proofErr w:type="gramStart"/>
      <w:r w:rsidRPr="00B24919">
        <w:t>shall</w:t>
      </w:r>
      <w:proofErr w:type="gramEnd"/>
      <w:r w:rsidRPr="00B24919">
        <w:t xml:space="preserve"> be open to the public whenever possible and appropriate, allowing for public participation at specified times or throughout the process as determined by the </w:t>
      </w:r>
      <w:r w:rsidR="00D21E56">
        <w:t>Working Group</w:t>
      </w:r>
      <w:r w:rsidRPr="00B24919">
        <w:t>. Exceptions may be made for compelling safety or legal reasons, including discussions of confidential or sensitive material. </w:t>
      </w:r>
    </w:p>
    <w:p w14:paraId="22A331B3" w14:textId="77777777" w:rsidR="00F42435" w:rsidRDefault="00F42435" w:rsidP="00F42435">
      <w:pPr>
        <w:jc w:val="both"/>
      </w:pPr>
    </w:p>
    <w:p w14:paraId="16B07F5E" w14:textId="77777777" w:rsidR="00F42435" w:rsidRDefault="00F42435" w:rsidP="00F42435">
      <w:pPr>
        <w:jc w:val="both"/>
      </w:pPr>
    </w:p>
    <w:p w14:paraId="49703586" w14:textId="77777777" w:rsidR="00D21E56" w:rsidRDefault="00D21E56" w:rsidP="00F42435">
      <w:pPr>
        <w:jc w:val="both"/>
      </w:pPr>
    </w:p>
    <w:p w14:paraId="62418E88" w14:textId="15712981" w:rsidR="00D21E56" w:rsidRDefault="00D21E56" w:rsidP="00F42435">
      <w:pPr>
        <w:jc w:val="both"/>
      </w:pPr>
      <w:r>
        <w:t>Section 6: Governing Rules of Order</w:t>
      </w:r>
    </w:p>
    <w:p w14:paraId="2EE595F6" w14:textId="77777777" w:rsidR="00D21E56" w:rsidRDefault="00D21E56" w:rsidP="00F42435">
      <w:pPr>
        <w:jc w:val="both"/>
      </w:pPr>
    </w:p>
    <w:p w14:paraId="5607C3AA" w14:textId="619765FC" w:rsidR="00D21E56" w:rsidRDefault="00D21E56" w:rsidP="00F42435">
      <w:pPr>
        <w:jc w:val="both"/>
      </w:pPr>
      <w:r>
        <w:t xml:space="preserve">Strict adherence to rules of order is not required for the working group. However, if a dispute between members or members and nonmembers arises, the Roberts Rules of Order shall govern resolution of that dispute. </w:t>
      </w:r>
      <w:r w:rsidR="00F42435">
        <w:t xml:space="preserve">If one is appointed, the parliamentarian shall be the final authority on interpretation of the Roberts Rules; if one is not appointed, the Chair or her designee shall be said </w:t>
      </w:r>
      <w:proofErr w:type="gramStart"/>
      <w:r w:rsidR="00F42435">
        <w:t>final</w:t>
      </w:r>
      <w:proofErr w:type="gramEnd"/>
      <w:r w:rsidR="00F42435">
        <w:t xml:space="preserve"> authority.</w:t>
      </w:r>
    </w:p>
    <w:p w14:paraId="1CA32928" w14:textId="77777777" w:rsidR="003B4EAA" w:rsidRDefault="003B4EAA" w:rsidP="00F42435">
      <w:pPr>
        <w:jc w:val="both"/>
      </w:pPr>
    </w:p>
    <w:p w14:paraId="404AB1E6" w14:textId="61728B8F" w:rsidR="003B4EAA" w:rsidRDefault="003B4EAA" w:rsidP="00F42435">
      <w:pPr>
        <w:jc w:val="both"/>
      </w:pPr>
      <w:r>
        <w:t>Section 7: Meeting Minutes</w:t>
      </w:r>
    </w:p>
    <w:p w14:paraId="578B8FF9" w14:textId="77777777" w:rsidR="003B4EAA" w:rsidRDefault="003B4EAA" w:rsidP="00F42435">
      <w:pPr>
        <w:jc w:val="both"/>
      </w:pPr>
    </w:p>
    <w:p w14:paraId="67741599" w14:textId="7E0A9E50" w:rsidR="003B4EAA" w:rsidRDefault="003B4EAA" w:rsidP="00F42435">
      <w:pPr>
        <w:jc w:val="both"/>
      </w:pPr>
      <w:r>
        <w:t xml:space="preserve">The Chair or her </w:t>
      </w:r>
      <w:proofErr w:type="gramStart"/>
      <w:r>
        <w:t>designee</w:t>
      </w:r>
      <w:proofErr w:type="gramEnd"/>
      <w:r>
        <w:t xml:space="preserve"> shall be responsible for taking notes and minutes </w:t>
      </w:r>
      <w:proofErr w:type="gramStart"/>
      <w:r>
        <w:t>of</w:t>
      </w:r>
      <w:proofErr w:type="gramEnd"/>
      <w:r>
        <w:t xml:space="preserve"> the meetings of the Working Group. At a minimum, the minutes must contain </w:t>
      </w:r>
      <w:proofErr w:type="gramStart"/>
      <w:r>
        <w:t>any and all</w:t>
      </w:r>
      <w:proofErr w:type="gramEnd"/>
      <w:r>
        <w:t xml:space="preserve"> motions and the resulting vote.</w:t>
      </w:r>
    </w:p>
    <w:p w14:paraId="4DCB1E6F" w14:textId="77777777" w:rsidR="00D21E56" w:rsidRPr="00B24919" w:rsidRDefault="00D21E56" w:rsidP="00B24919"/>
    <w:p w14:paraId="6A4B22BB" w14:textId="77777777" w:rsidR="00B24919" w:rsidRPr="00D21E56" w:rsidRDefault="00B24919" w:rsidP="00D21E56">
      <w:pPr>
        <w:jc w:val="center"/>
        <w:rPr>
          <w:b/>
          <w:bCs/>
          <w:caps/>
        </w:rPr>
      </w:pPr>
      <w:r w:rsidRPr="00B24919">
        <w:rPr>
          <w:b/>
          <w:bCs/>
          <w:caps/>
        </w:rPr>
        <w:t>Article V: Duties of the Chair</w:t>
      </w:r>
    </w:p>
    <w:p w14:paraId="2A8CF94A" w14:textId="77777777" w:rsidR="00D21E56" w:rsidRPr="00B24919" w:rsidRDefault="00D21E56" w:rsidP="00B24919"/>
    <w:p w14:paraId="5F80490E" w14:textId="77777777" w:rsidR="00B24919" w:rsidRDefault="00B24919" w:rsidP="00B24919">
      <w:r w:rsidRPr="00B24919">
        <w:t>The Chair shall be responsible for:</w:t>
      </w:r>
    </w:p>
    <w:p w14:paraId="6608B0C5" w14:textId="77777777" w:rsidR="00F42435" w:rsidRPr="00B24919" w:rsidRDefault="00F42435" w:rsidP="00B24919"/>
    <w:p w14:paraId="54FF7907" w14:textId="40C2FAE8" w:rsidR="00B24919" w:rsidRPr="00B24919" w:rsidRDefault="00B24919" w:rsidP="00F42435">
      <w:pPr>
        <w:numPr>
          <w:ilvl w:val="0"/>
          <w:numId w:val="1"/>
        </w:numPr>
      </w:pPr>
      <w:r w:rsidRPr="00B24919">
        <w:t xml:space="preserve">Convening and presiding over </w:t>
      </w:r>
      <w:r w:rsidR="00F42435">
        <w:t>Working Group</w:t>
      </w:r>
      <w:r w:rsidRPr="00B24919">
        <w:t xml:space="preserve"> meetings.</w:t>
      </w:r>
    </w:p>
    <w:p w14:paraId="67D2F5D4" w14:textId="79027866" w:rsidR="00B24919" w:rsidRPr="00B24919" w:rsidRDefault="00B24919" w:rsidP="00B24919">
      <w:pPr>
        <w:numPr>
          <w:ilvl w:val="0"/>
          <w:numId w:val="1"/>
        </w:numPr>
      </w:pPr>
      <w:r w:rsidRPr="00B24919">
        <w:t xml:space="preserve">Ensuring the </w:t>
      </w:r>
      <w:r w:rsidR="007C44FE">
        <w:t>Working Group</w:t>
      </w:r>
      <w:r w:rsidRPr="00B24919">
        <w:t xml:space="preserve"> completes its assigned task in a timely manner.</w:t>
      </w:r>
    </w:p>
    <w:p w14:paraId="232DC2A0" w14:textId="252623C1" w:rsidR="00B24919" w:rsidRPr="00B24919" w:rsidRDefault="00B24919" w:rsidP="00B24919">
      <w:pPr>
        <w:numPr>
          <w:ilvl w:val="0"/>
          <w:numId w:val="1"/>
        </w:numPr>
      </w:pPr>
      <w:r w:rsidRPr="00B24919">
        <w:t xml:space="preserve">Promoting public participation and transparency in the </w:t>
      </w:r>
      <w:r w:rsidR="00F42435">
        <w:t>process.</w:t>
      </w:r>
    </w:p>
    <w:p w14:paraId="2D902A3A" w14:textId="035006E0" w:rsidR="00B24919" w:rsidRDefault="00B24919" w:rsidP="00B24919">
      <w:pPr>
        <w:numPr>
          <w:ilvl w:val="0"/>
          <w:numId w:val="1"/>
        </w:numPr>
      </w:pPr>
      <w:r w:rsidRPr="00B24919">
        <w:t xml:space="preserve">Reporting on the </w:t>
      </w:r>
      <w:r w:rsidR="007C44FE">
        <w:t>Working Group’s</w:t>
      </w:r>
      <w:r w:rsidRPr="00B24919">
        <w:t xml:space="preserve"> progress to the </w:t>
      </w:r>
      <w:r w:rsidR="00F42435">
        <w:t>legislature</w:t>
      </w:r>
      <w:r w:rsidRPr="00B24919">
        <w:t xml:space="preserve"> as required. </w:t>
      </w:r>
    </w:p>
    <w:p w14:paraId="1E84AA9B" w14:textId="77777777" w:rsidR="00F42435" w:rsidRPr="00B24919" w:rsidRDefault="00F42435" w:rsidP="00F42435">
      <w:pPr>
        <w:ind w:left="720"/>
      </w:pPr>
    </w:p>
    <w:p w14:paraId="0EB0AC18" w14:textId="77777777" w:rsidR="00B24919" w:rsidRPr="00F42435" w:rsidRDefault="00B24919" w:rsidP="00F42435">
      <w:pPr>
        <w:jc w:val="center"/>
        <w:rPr>
          <w:b/>
          <w:bCs/>
          <w:caps/>
        </w:rPr>
      </w:pPr>
      <w:r w:rsidRPr="00B24919">
        <w:rPr>
          <w:b/>
          <w:bCs/>
          <w:caps/>
        </w:rPr>
        <w:t>Article VI: Reporting</w:t>
      </w:r>
    </w:p>
    <w:p w14:paraId="2609F8CB" w14:textId="77777777" w:rsidR="00F42435" w:rsidRPr="00B24919" w:rsidRDefault="00F42435" w:rsidP="00B24919"/>
    <w:p w14:paraId="2AC6D0F6" w14:textId="7BF10C75" w:rsidR="00B24919" w:rsidRDefault="00B24919" w:rsidP="00F42435">
      <w:pPr>
        <w:jc w:val="both"/>
      </w:pPr>
      <w:r w:rsidRPr="00B24919">
        <w:t xml:space="preserve">The </w:t>
      </w:r>
      <w:r w:rsidR="007C44FE">
        <w:t>Working Group</w:t>
      </w:r>
      <w:r w:rsidRPr="00B24919">
        <w:t xml:space="preserve"> shall present a final report of its findings and recommendations to the </w:t>
      </w:r>
      <w:r w:rsidR="00F42435">
        <w:t xml:space="preserve">Joint Standing Committee on Criminal Justice and Public Safety </w:t>
      </w:r>
      <w:r w:rsidRPr="00B24919">
        <w:t xml:space="preserve">by </w:t>
      </w:r>
      <w:r w:rsidR="00F42435">
        <w:rPr>
          <w:b/>
          <w:bCs/>
        </w:rPr>
        <w:t>January 1, 2026</w:t>
      </w:r>
      <w:r w:rsidRPr="00B24919">
        <w:t xml:space="preserve">. </w:t>
      </w:r>
      <w:r w:rsidR="00F42435">
        <w:t>The report will include, at a minimum, the Working Groups analysis and recommendations for those tasks assigned to it as enumerated in Article II: Purpose and Scope of Work.</w:t>
      </w:r>
      <w:r w:rsidR="00532C2E">
        <w:t xml:space="preserve"> The final report will note objections and disagreements by members not in any majority. The final report will also allow for </w:t>
      </w:r>
      <w:r w:rsidR="005318F7">
        <w:t>“minority reports” via appendix or separate paragraph.</w:t>
      </w:r>
    </w:p>
    <w:p w14:paraId="55002896" w14:textId="77777777" w:rsidR="00F42435" w:rsidRPr="00B24919" w:rsidRDefault="00F42435" w:rsidP="00F42435">
      <w:pPr>
        <w:jc w:val="both"/>
      </w:pPr>
    </w:p>
    <w:p w14:paraId="284B48B5" w14:textId="77777777" w:rsidR="00B24919" w:rsidRPr="00F42435" w:rsidRDefault="00B24919" w:rsidP="00F42435">
      <w:pPr>
        <w:jc w:val="center"/>
        <w:rPr>
          <w:b/>
          <w:bCs/>
          <w:caps/>
        </w:rPr>
      </w:pPr>
      <w:r w:rsidRPr="00B24919">
        <w:rPr>
          <w:b/>
          <w:bCs/>
          <w:caps/>
        </w:rPr>
        <w:t>Article VII: Dissolution</w:t>
      </w:r>
    </w:p>
    <w:p w14:paraId="050A338C" w14:textId="77777777" w:rsidR="00F42435" w:rsidRPr="00B24919" w:rsidRDefault="00F42435" w:rsidP="00F42435">
      <w:pPr>
        <w:jc w:val="both"/>
      </w:pPr>
    </w:p>
    <w:p w14:paraId="6B30EC17" w14:textId="29C1379C" w:rsidR="00C13DDF" w:rsidRDefault="00B24919" w:rsidP="00F42435">
      <w:pPr>
        <w:jc w:val="both"/>
      </w:pPr>
      <w:r w:rsidRPr="00B24919">
        <w:t xml:space="preserve">The </w:t>
      </w:r>
      <w:r w:rsidR="007C44FE">
        <w:t>Working Group</w:t>
      </w:r>
      <w:r w:rsidRPr="00B24919">
        <w:t xml:space="preserve"> shall be dissolved upon the </w:t>
      </w:r>
      <w:r w:rsidR="00F42435">
        <w:t>Joint Standing Committee on Criminal Justice and Public Safety’s formal or informal acceptance of its report.</w:t>
      </w:r>
    </w:p>
    <w:sectPr w:rsidR="00C13D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0543" w14:textId="77777777" w:rsidR="00F42435" w:rsidRDefault="00F42435" w:rsidP="00F42435">
      <w:r>
        <w:separator/>
      </w:r>
    </w:p>
  </w:endnote>
  <w:endnote w:type="continuationSeparator" w:id="0">
    <w:p w14:paraId="6EDD945F" w14:textId="77777777" w:rsidR="00F42435" w:rsidRDefault="00F42435" w:rsidP="00F4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219624"/>
      <w:docPartObj>
        <w:docPartGallery w:val="Page Numbers (Bottom of Page)"/>
        <w:docPartUnique/>
      </w:docPartObj>
    </w:sdtPr>
    <w:sdtEndPr/>
    <w:sdtContent>
      <w:sdt>
        <w:sdtPr>
          <w:id w:val="1728636285"/>
          <w:docPartObj>
            <w:docPartGallery w:val="Page Numbers (Top of Page)"/>
            <w:docPartUnique/>
          </w:docPartObj>
        </w:sdtPr>
        <w:sdtEndPr/>
        <w:sdtContent>
          <w:p w14:paraId="3DDB0839" w14:textId="05E44883" w:rsidR="00F42435" w:rsidRDefault="00F4243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2E09A7D" w14:textId="77777777" w:rsidR="00F42435" w:rsidRDefault="00F42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CEC55" w14:textId="77777777" w:rsidR="00F42435" w:rsidRDefault="00F42435" w:rsidP="00F42435">
      <w:r>
        <w:separator/>
      </w:r>
    </w:p>
  </w:footnote>
  <w:footnote w:type="continuationSeparator" w:id="0">
    <w:p w14:paraId="63D8CA8A" w14:textId="77777777" w:rsidR="00F42435" w:rsidRDefault="00F42435" w:rsidP="00F42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E540E"/>
    <w:multiLevelType w:val="multilevel"/>
    <w:tmpl w:val="A5C8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59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19"/>
    <w:rsid w:val="0006130A"/>
    <w:rsid w:val="00184810"/>
    <w:rsid w:val="003B4EAA"/>
    <w:rsid w:val="005318F7"/>
    <w:rsid w:val="00532C2E"/>
    <w:rsid w:val="00572FC2"/>
    <w:rsid w:val="007C44FE"/>
    <w:rsid w:val="00963AAF"/>
    <w:rsid w:val="00A71A0B"/>
    <w:rsid w:val="00B24919"/>
    <w:rsid w:val="00C13DDF"/>
    <w:rsid w:val="00D21E56"/>
    <w:rsid w:val="00D4340C"/>
    <w:rsid w:val="00F42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8057"/>
  <w15:chartTrackingRefBased/>
  <w15:docId w15:val="{3D45A43F-3E70-43DA-BA9B-47FA5174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91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91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491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491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491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491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491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91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91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491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49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49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49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49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49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91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9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49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4919"/>
    <w:rPr>
      <w:i/>
      <w:iCs/>
      <w:color w:val="404040" w:themeColor="text1" w:themeTint="BF"/>
    </w:rPr>
  </w:style>
  <w:style w:type="paragraph" w:styleId="ListParagraph">
    <w:name w:val="List Paragraph"/>
    <w:basedOn w:val="Normal"/>
    <w:uiPriority w:val="34"/>
    <w:qFormat/>
    <w:rsid w:val="00B24919"/>
    <w:pPr>
      <w:ind w:left="720"/>
      <w:contextualSpacing/>
    </w:pPr>
  </w:style>
  <w:style w:type="character" w:styleId="IntenseEmphasis">
    <w:name w:val="Intense Emphasis"/>
    <w:basedOn w:val="DefaultParagraphFont"/>
    <w:uiPriority w:val="21"/>
    <w:qFormat/>
    <w:rsid w:val="00B24919"/>
    <w:rPr>
      <w:i/>
      <w:iCs/>
      <w:color w:val="0F4761" w:themeColor="accent1" w:themeShade="BF"/>
    </w:rPr>
  </w:style>
  <w:style w:type="paragraph" w:styleId="IntenseQuote">
    <w:name w:val="Intense Quote"/>
    <w:basedOn w:val="Normal"/>
    <w:next w:val="Normal"/>
    <w:link w:val="IntenseQuoteChar"/>
    <w:uiPriority w:val="30"/>
    <w:qFormat/>
    <w:rsid w:val="00B24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919"/>
    <w:rPr>
      <w:i/>
      <w:iCs/>
      <w:color w:val="0F4761" w:themeColor="accent1" w:themeShade="BF"/>
    </w:rPr>
  </w:style>
  <w:style w:type="character" w:styleId="IntenseReference">
    <w:name w:val="Intense Reference"/>
    <w:basedOn w:val="DefaultParagraphFont"/>
    <w:uiPriority w:val="32"/>
    <w:qFormat/>
    <w:rsid w:val="00B24919"/>
    <w:rPr>
      <w:b/>
      <w:bCs/>
      <w:smallCaps/>
      <w:color w:val="0F4761" w:themeColor="accent1" w:themeShade="BF"/>
      <w:spacing w:val="5"/>
    </w:rPr>
  </w:style>
  <w:style w:type="paragraph" w:styleId="Header">
    <w:name w:val="header"/>
    <w:basedOn w:val="Normal"/>
    <w:link w:val="HeaderChar"/>
    <w:uiPriority w:val="99"/>
    <w:unhideWhenUsed/>
    <w:rsid w:val="00F42435"/>
    <w:pPr>
      <w:tabs>
        <w:tab w:val="center" w:pos="4680"/>
        <w:tab w:val="right" w:pos="9360"/>
      </w:tabs>
    </w:pPr>
  </w:style>
  <w:style w:type="character" w:customStyle="1" w:styleId="HeaderChar">
    <w:name w:val="Header Char"/>
    <w:basedOn w:val="DefaultParagraphFont"/>
    <w:link w:val="Header"/>
    <w:uiPriority w:val="99"/>
    <w:rsid w:val="00F42435"/>
  </w:style>
  <w:style w:type="paragraph" w:styleId="Footer">
    <w:name w:val="footer"/>
    <w:basedOn w:val="Normal"/>
    <w:link w:val="FooterChar"/>
    <w:uiPriority w:val="99"/>
    <w:unhideWhenUsed/>
    <w:rsid w:val="00F42435"/>
    <w:pPr>
      <w:tabs>
        <w:tab w:val="center" w:pos="4680"/>
        <w:tab w:val="right" w:pos="9360"/>
      </w:tabs>
    </w:pPr>
  </w:style>
  <w:style w:type="character" w:customStyle="1" w:styleId="FooterChar">
    <w:name w:val="Footer Char"/>
    <w:basedOn w:val="DefaultParagraphFont"/>
    <w:link w:val="Footer"/>
    <w:uiPriority w:val="99"/>
    <w:rsid w:val="00F42435"/>
  </w:style>
  <w:style w:type="paragraph" w:styleId="Revision">
    <w:name w:val="Revision"/>
    <w:hidden/>
    <w:uiPriority w:val="99"/>
    <w:semiHidden/>
    <w:rsid w:val="0018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7026">
      <w:bodyDiv w:val="1"/>
      <w:marLeft w:val="0"/>
      <w:marRight w:val="0"/>
      <w:marTop w:val="0"/>
      <w:marBottom w:val="0"/>
      <w:divBdr>
        <w:top w:val="none" w:sz="0" w:space="0" w:color="auto"/>
        <w:left w:val="none" w:sz="0" w:space="0" w:color="auto"/>
        <w:bottom w:val="none" w:sz="0" w:space="0" w:color="auto"/>
        <w:right w:val="none" w:sz="0" w:space="0" w:color="auto"/>
      </w:divBdr>
      <w:divsChild>
        <w:div w:id="1133791934">
          <w:marLeft w:val="0"/>
          <w:marRight w:val="0"/>
          <w:marTop w:val="150"/>
          <w:marBottom w:val="300"/>
          <w:divBdr>
            <w:top w:val="none" w:sz="0" w:space="0" w:color="auto"/>
            <w:left w:val="none" w:sz="0" w:space="0" w:color="auto"/>
            <w:bottom w:val="none" w:sz="0" w:space="0" w:color="auto"/>
            <w:right w:val="none" w:sz="0" w:space="0" w:color="auto"/>
          </w:divBdr>
        </w:div>
        <w:div w:id="1938176623">
          <w:marLeft w:val="0"/>
          <w:marRight w:val="0"/>
          <w:marTop w:val="150"/>
          <w:marBottom w:val="300"/>
          <w:divBdr>
            <w:top w:val="none" w:sz="0" w:space="0" w:color="auto"/>
            <w:left w:val="none" w:sz="0" w:space="0" w:color="auto"/>
            <w:bottom w:val="none" w:sz="0" w:space="0" w:color="auto"/>
            <w:right w:val="none" w:sz="0" w:space="0" w:color="auto"/>
          </w:divBdr>
        </w:div>
        <w:div w:id="1503350497">
          <w:marLeft w:val="0"/>
          <w:marRight w:val="0"/>
          <w:marTop w:val="150"/>
          <w:marBottom w:val="300"/>
          <w:divBdr>
            <w:top w:val="none" w:sz="0" w:space="0" w:color="auto"/>
            <w:left w:val="none" w:sz="0" w:space="0" w:color="auto"/>
            <w:bottom w:val="none" w:sz="0" w:space="0" w:color="auto"/>
            <w:right w:val="none" w:sz="0" w:space="0" w:color="auto"/>
          </w:divBdr>
        </w:div>
        <w:div w:id="580137877">
          <w:marLeft w:val="0"/>
          <w:marRight w:val="0"/>
          <w:marTop w:val="150"/>
          <w:marBottom w:val="300"/>
          <w:divBdr>
            <w:top w:val="none" w:sz="0" w:space="0" w:color="auto"/>
            <w:left w:val="none" w:sz="0" w:space="0" w:color="auto"/>
            <w:bottom w:val="none" w:sz="0" w:space="0" w:color="auto"/>
            <w:right w:val="none" w:sz="0" w:space="0" w:color="auto"/>
          </w:divBdr>
        </w:div>
        <w:div w:id="2105615153">
          <w:marLeft w:val="0"/>
          <w:marRight w:val="0"/>
          <w:marTop w:val="150"/>
          <w:marBottom w:val="300"/>
          <w:divBdr>
            <w:top w:val="none" w:sz="0" w:space="0" w:color="auto"/>
            <w:left w:val="none" w:sz="0" w:space="0" w:color="auto"/>
            <w:bottom w:val="none" w:sz="0" w:space="0" w:color="auto"/>
            <w:right w:val="none" w:sz="0" w:space="0" w:color="auto"/>
          </w:divBdr>
        </w:div>
        <w:div w:id="560481172">
          <w:marLeft w:val="0"/>
          <w:marRight w:val="0"/>
          <w:marTop w:val="150"/>
          <w:marBottom w:val="300"/>
          <w:divBdr>
            <w:top w:val="none" w:sz="0" w:space="0" w:color="auto"/>
            <w:left w:val="none" w:sz="0" w:space="0" w:color="auto"/>
            <w:bottom w:val="none" w:sz="0" w:space="0" w:color="auto"/>
            <w:right w:val="none" w:sz="0" w:space="0" w:color="auto"/>
          </w:divBdr>
        </w:div>
        <w:div w:id="364137362">
          <w:marLeft w:val="0"/>
          <w:marRight w:val="0"/>
          <w:marTop w:val="150"/>
          <w:marBottom w:val="300"/>
          <w:divBdr>
            <w:top w:val="none" w:sz="0" w:space="0" w:color="auto"/>
            <w:left w:val="none" w:sz="0" w:space="0" w:color="auto"/>
            <w:bottom w:val="none" w:sz="0" w:space="0" w:color="auto"/>
            <w:right w:val="none" w:sz="0" w:space="0" w:color="auto"/>
          </w:divBdr>
        </w:div>
        <w:div w:id="1293245638">
          <w:marLeft w:val="0"/>
          <w:marRight w:val="0"/>
          <w:marTop w:val="150"/>
          <w:marBottom w:val="300"/>
          <w:divBdr>
            <w:top w:val="none" w:sz="0" w:space="0" w:color="auto"/>
            <w:left w:val="none" w:sz="0" w:space="0" w:color="auto"/>
            <w:bottom w:val="none" w:sz="0" w:space="0" w:color="auto"/>
            <w:right w:val="none" w:sz="0" w:space="0" w:color="auto"/>
          </w:divBdr>
        </w:div>
        <w:div w:id="919365361">
          <w:marLeft w:val="0"/>
          <w:marRight w:val="0"/>
          <w:marTop w:val="150"/>
          <w:marBottom w:val="300"/>
          <w:divBdr>
            <w:top w:val="none" w:sz="0" w:space="0" w:color="auto"/>
            <w:left w:val="none" w:sz="0" w:space="0" w:color="auto"/>
            <w:bottom w:val="none" w:sz="0" w:space="0" w:color="auto"/>
            <w:right w:val="none" w:sz="0" w:space="0" w:color="auto"/>
          </w:divBdr>
        </w:div>
        <w:div w:id="1065761318">
          <w:marLeft w:val="0"/>
          <w:marRight w:val="0"/>
          <w:marTop w:val="150"/>
          <w:marBottom w:val="300"/>
          <w:divBdr>
            <w:top w:val="none" w:sz="0" w:space="0" w:color="auto"/>
            <w:left w:val="none" w:sz="0" w:space="0" w:color="auto"/>
            <w:bottom w:val="none" w:sz="0" w:space="0" w:color="auto"/>
            <w:right w:val="none" w:sz="0" w:space="0" w:color="auto"/>
          </w:divBdr>
        </w:div>
        <w:div w:id="1490320909">
          <w:marLeft w:val="0"/>
          <w:marRight w:val="0"/>
          <w:marTop w:val="150"/>
          <w:marBottom w:val="300"/>
          <w:divBdr>
            <w:top w:val="none" w:sz="0" w:space="0" w:color="auto"/>
            <w:left w:val="none" w:sz="0" w:space="0" w:color="auto"/>
            <w:bottom w:val="none" w:sz="0" w:space="0" w:color="auto"/>
            <w:right w:val="none" w:sz="0" w:space="0" w:color="auto"/>
          </w:divBdr>
        </w:div>
        <w:div w:id="1640111011">
          <w:marLeft w:val="0"/>
          <w:marRight w:val="0"/>
          <w:marTop w:val="150"/>
          <w:marBottom w:val="300"/>
          <w:divBdr>
            <w:top w:val="none" w:sz="0" w:space="0" w:color="auto"/>
            <w:left w:val="none" w:sz="0" w:space="0" w:color="auto"/>
            <w:bottom w:val="none" w:sz="0" w:space="0" w:color="auto"/>
            <w:right w:val="none" w:sz="0" w:space="0" w:color="auto"/>
          </w:divBdr>
        </w:div>
        <w:div w:id="1039626137">
          <w:marLeft w:val="0"/>
          <w:marRight w:val="0"/>
          <w:marTop w:val="150"/>
          <w:marBottom w:val="300"/>
          <w:divBdr>
            <w:top w:val="none" w:sz="0" w:space="0" w:color="auto"/>
            <w:left w:val="none" w:sz="0" w:space="0" w:color="auto"/>
            <w:bottom w:val="none" w:sz="0" w:space="0" w:color="auto"/>
            <w:right w:val="none" w:sz="0" w:space="0" w:color="auto"/>
          </w:divBdr>
        </w:div>
        <w:div w:id="1677688579">
          <w:marLeft w:val="0"/>
          <w:marRight w:val="0"/>
          <w:marTop w:val="150"/>
          <w:marBottom w:val="300"/>
          <w:divBdr>
            <w:top w:val="none" w:sz="0" w:space="0" w:color="auto"/>
            <w:left w:val="none" w:sz="0" w:space="0" w:color="auto"/>
            <w:bottom w:val="none" w:sz="0" w:space="0" w:color="auto"/>
            <w:right w:val="none" w:sz="0" w:space="0" w:color="auto"/>
          </w:divBdr>
        </w:div>
        <w:div w:id="1267035923">
          <w:marLeft w:val="0"/>
          <w:marRight w:val="0"/>
          <w:marTop w:val="150"/>
          <w:marBottom w:val="300"/>
          <w:divBdr>
            <w:top w:val="none" w:sz="0" w:space="0" w:color="auto"/>
            <w:left w:val="none" w:sz="0" w:space="0" w:color="auto"/>
            <w:bottom w:val="none" w:sz="0" w:space="0" w:color="auto"/>
            <w:right w:val="none" w:sz="0" w:space="0" w:color="auto"/>
          </w:divBdr>
        </w:div>
        <w:div w:id="1737707743">
          <w:marLeft w:val="0"/>
          <w:marRight w:val="0"/>
          <w:marTop w:val="150"/>
          <w:marBottom w:val="300"/>
          <w:divBdr>
            <w:top w:val="none" w:sz="0" w:space="0" w:color="auto"/>
            <w:left w:val="none" w:sz="0" w:space="0" w:color="auto"/>
            <w:bottom w:val="none" w:sz="0" w:space="0" w:color="auto"/>
            <w:right w:val="none" w:sz="0" w:space="0" w:color="auto"/>
          </w:divBdr>
        </w:div>
        <w:div w:id="317615673">
          <w:marLeft w:val="0"/>
          <w:marRight w:val="0"/>
          <w:marTop w:val="150"/>
          <w:marBottom w:val="300"/>
          <w:divBdr>
            <w:top w:val="none" w:sz="0" w:space="0" w:color="auto"/>
            <w:left w:val="none" w:sz="0" w:space="0" w:color="auto"/>
            <w:bottom w:val="none" w:sz="0" w:space="0" w:color="auto"/>
            <w:right w:val="none" w:sz="0" w:space="0" w:color="auto"/>
          </w:divBdr>
        </w:div>
        <w:div w:id="532883078">
          <w:marLeft w:val="0"/>
          <w:marRight w:val="0"/>
          <w:marTop w:val="150"/>
          <w:marBottom w:val="300"/>
          <w:divBdr>
            <w:top w:val="none" w:sz="0" w:space="0" w:color="auto"/>
            <w:left w:val="none" w:sz="0" w:space="0" w:color="auto"/>
            <w:bottom w:val="none" w:sz="0" w:space="0" w:color="auto"/>
            <w:right w:val="none" w:sz="0" w:space="0" w:color="auto"/>
          </w:divBdr>
        </w:div>
        <w:div w:id="51583949">
          <w:marLeft w:val="0"/>
          <w:marRight w:val="0"/>
          <w:marTop w:val="150"/>
          <w:marBottom w:val="300"/>
          <w:divBdr>
            <w:top w:val="none" w:sz="0" w:space="0" w:color="auto"/>
            <w:left w:val="none" w:sz="0" w:space="0" w:color="auto"/>
            <w:bottom w:val="none" w:sz="0" w:space="0" w:color="auto"/>
            <w:right w:val="none" w:sz="0" w:space="0" w:color="auto"/>
          </w:divBdr>
        </w:div>
        <w:div w:id="1274047165">
          <w:marLeft w:val="0"/>
          <w:marRight w:val="0"/>
          <w:marTop w:val="150"/>
          <w:marBottom w:val="300"/>
          <w:divBdr>
            <w:top w:val="none" w:sz="0" w:space="0" w:color="auto"/>
            <w:left w:val="none" w:sz="0" w:space="0" w:color="auto"/>
            <w:bottom w:val="none" w:sz="0" w:space="0" w:color="auto"/>
            <w:right w:val="none" w:sz="0" w:space="0" w:color="auto"/>
          </w:divBdr>
        </w:div>
        <w:div w:id="2042245723">
          <w:marLeft w:val="0"/>
          <w:marRight w:val="0"/>
          <w:marTop w:val="150"/>
          <w:marBottom w:val="300"/>
          <w:divBdr>
            <w:top w:val="none" w:sz="0" w:space="0" w:color="auto"/>
            <w:left w:val="none" w:sz="0" w:space="0" w:color="auto"/>
            <w:bottom w:val="none" w:sz="0" w:space="0" w:color="auto"/>
            <w:right w:val="none" w:sz="0" w:space="0" w:color="auto"/>
          </w:divBdr>
        </w:div>
        <w:div w:id="1848591572">
          <w:marLeft w:val="0"/>
          <w:marRight w:val="0"/>
          <w:marTop w:val="150"/>
          <w:marBottom w:val="300"/>
          <w:divBdr>
            <w:top w:val="none" w:sz="0" w:space="0" w:color="auto"/>
            <w:left w:val="none" w:sz="0" w:space="0" w:color="auto"/>
            <w:bottom w:val="none" w:sz="0" w:space="0" w:color="auto"/>
            <w:right w:val="none" w:sz="0" w:space="0" w:color="auto"/>
          </w:divBdr>
        </w:div>
        <w:div w:id="567545073">
          <w:marLeft w:val="0"/>
          <w:marRight w:val="0"/>
          <w:marTop w:val="150"/>
          <w:marBottom w:val="300"/>
          <w:divBdr>
            <w:top w:val="none" w:sz="0" w:space="0" w:color="auto"/>
            <w:left w:val="none" w:sz="0" w:space="0" w:color="auto"/>
            <w:bottom w:val="none" w:sz="0" w:space="0" w:color="auto"/>
            <w:right w:val="none" w:sz="0" w:space="0" w:color="auto"/>
          </w:divBdr>
        </w:div>
      </w:divsChild>
    </w:div>
    <w:div w:id="1296259221">
      <w:bodyDiv w:val="1"/>
      <w:marLeft w:val="0"/>
      <w:marRight w:val="0"/>
      <w:marTop w:val="0"/>
      <w:marBottom w:val="0"/>
      <w:divBdr>
        <w:top w:val="none" w:sz="0" w:space="0" w:color="auto"/>
        <w:left w:val="none" w:sz="0" w:space="0" w:color="auto"/>
        <w:bottom w:val="none" w:sz="0" w:space="0" w:color="auto"/>
        <w:right w:val="none" w:sz="0" w:space="0" w:color="auto"/>
      </w:divBdr>
      <w:divsChild>
        <w:div w:id="996304079">
          <w:marLeft w:val="0"/>
          <w:marRight w:val="0"/>
          <w:marTop w:val="150"/>
          <w:marBottom w:val="300"/>
          <w:divBdr>
            <w:top w:val="none" w:sz="0" w:space="0" w:color="auto"/>
            <w:left w:val="none" w:sz="0" w:space="0" w:color="auto"/>
            <w:bottom w:val="none" w:sz="0" w:space="0" w:color="auto"/>
            <w:right w:val="none" w:sz="0" w:space="0" w:color="auto"/>
          </w:divBdr>
        </w:div>
        <w:div w:id="123886988">
          <w:marLeft w:val="0"/>
          <w:marRight w:val="0"/>
          <w:marTop w:val="150"/>
          <w:marBottom w:val="300"/>
          <w:divBdr>
            <w:top w:val="none" w:sz="0" w:space="0" w:color="auto"/>
            <w:left w:val="none" w:sz="0" w:space="0" w:color="auto"/>
            <w:bottom w:val="none" w:sz="0" w:space="0" w:color="auto"/>
            <w:right w:val="none" w:sz="0" w:space="0" w:color="auto"/>
          </w:divBdr>
        </w:div>
        <w:div w:id="1725905694">
          <w:marLeft w:val="0"/>
          <w:marRight w:val="0"/>
          <w:marTop w:val="150"/>
          <w:marBottom w:val="300"/>
          <w:divBdr>
            <w:top w:val="none" w:sz="0" w:space="0" w:color="auto"/>
            <w:left w:val="none" w:sz="0" w:space="0" w:color="auto"/>
            <w:bottom w:val="none" w:sz="0" w:space="0" w:color="auto"/>
            <w:right w:val="none" w:sz="0" w:space="0" w:color="auto"/>
          </w:divBdr>
        </w:div>
        <w:div w:id="87242778">
          <w:marLeft w:val="0"/>
          <w:marRight w:val="0"/>
          <w:marTop w:val="150"/>
          <w:marBottom w:val="300"/>
          <w:divBdr>
            <w:top w:val="none" w:sz="0" w:space="0" w:color="auto"/>
            <w:left w:val="none" w:sz="0" w:space="0" w:color="auto"/>
            <w:bottom w:val="none" w:sz="0" w:space="0" w:color="auto"/>
            <w:right w:val="none" w:sz="0" w:space="0" w:color="auto"/>
          </w:divBdr>
        </w:div>
        <w:div w:id="1590965345">
          <w:marLeft w:val="0"/>
          <w:marRight w:val="0"/>
          <w:marTop w:val="150"/>
          <w:marBottom w:val="300"/>
          <w:divBdr>
            <w:top w:val="none" w:sz="0" w:space="0" w:color="auto"/>
            <w:left w:val="none" w:sz="0" w:space="0" w:color="auto"/>
            <w:bottom w:val="none" w:sz="0" w:space="0" w:color="auto"/>
            <w:right w:val="none" w:sz="0" w:space="0" w:color="auto"/>
          </w:divBdr>
        </w:div>
        <w:div w:id="20521137">
          <w:marLeft w:val="0"/>
          <w:marRight w:val="0"/>
          <w:marTop w:val="150"/>
          <w:marBottom w:val="300"/>
          <w:divBdr>
            <w:top w:val="none" w:sz="0" w:space="0" w:color="auto"/>
            <w:left w:val="none" w:sz="0" w:space="0" w:color="auto"/>
            <w:bottom w:val="none" w:sz="0" w:space="0" w:color="auto"/>
            <w:right w:val="none" w:sz="0" w:space="0" w:color="auto"/>
          </w:divBdr>
        </w:div>
        <w:div w:id="753168668">
          <w:marLeft w:val="0"/>
          <w:marRight w:val="0"/>
          <w:marTop w:val="150"/>
          <w:marBottom w:val="300"/>
          <w:divBdr>
            <w:top w:val="none" w:sz="0" w:space="0" w:color="auto"/>
            <w:left w:val="none" w:sz="0" w:space="0" w:color="auto"/>
            <w:bottom w:val="none" w:sz="0" w:space="0" w:color="auto"/>
            <w:right w:val="none" w:sz="0" w:space="0" w:color="auto"/>
          </w:divBdr>
        </w:div>
        <w:div w:id="1463033779">
          <w:marLeft w:val="0"/>
          <w:marRight w:val="0"/>
          <w:marTop w:val="150"/>
          <w:marBottom w:val="300"/>
          <w:divBdr>
            <w:top w:val="none" w:sz="0" w:space="0" w:color="auto"/>
            <w:left w:val="none" w:sz="0" w:space="0" w:color="auto"/>
            <w:bottom w:val="none" w:sz="0" w:space="0" w:color="auto"/>
            <w:right w:val="none" w:sz="0" w:space="0" w:color="auto"/>
          </w:divBdr>
        </w:div>
        <w:div w:id="733938748">
          <w:marLeft w:val="0"/>
          <w:marRight w:val="0"/>
          <w:marTop w:val="150"/>
          <w:marBottom w:val="300"/>
          <w:divBdr>
            <w:top w:val="none" w:sz="0" w:space="0" w:color="auto"/>
            <w:left w:val="none" w:sz="0" w:space="0" w:color="auto"/>
            <w:bottom w:val="none" w:sz="0" w:space="0" w:color="auto"/>
            <w:right w:val="none" w:sz="0" w:space="0" w:color="auto"/>
          </w:divBdr>
        </w:div>
        <w:div w:id="1749040540">
          <w:marLeft w:val="0"/>
          <w:marRight w:val="0"/>
          <w:marTop w:val="150"/>
          <w:marBottom w:val="300"/>
          <w:divBdr>
            <w:top w:val="none" w:sz="0" w:space="0" w:color="auto"/>
            <w:left w:val="none" w:sz="0" w:space="0" w:color="auto"/>
            <w:bottom w:val="none" w:sz="0" w:space="0" w:color="auto"/>
            <w:right w:val="none" w:sz="0" w:space="0" w:color="auto"/>
          </w:divBdr>
        </w:div>
        <w:div w:id="332731313">
          <w:marLeft w:val="0"/>
          <w:marRight w:val="0"/>
          <w:marTop w:val="150"/>
          <w:marBottom w:val="300"/>
          <w:divBdr>
            <w:top w:val="none" w:sz="0" w:space="0" w:color="auto"/>
            <w:left w:val="none" w:sz="0" w:space="0" w:color="auto"/>
            <w:bottom w:val="none" w:sz="0" w:space="0" w:color="auto"/>
            <w:right w:val="none" w:sz="0" w:space="0" w:color="auto"/>
          </w:divBdr>
        </w:div>
        <w:div w:id="120925191">
          <w:marLeft w:val="0"/>
          <w:marRight w:val="0"/>
          <w:marTop w:val="150"/>
          <w:marBottom w:val="300"/>
          <w:divBdr>
            <w:top w:val="none" w:sz="0" w:space="0" w:color="auto"/>
            <w:left w:val="none" w:sz="0" w:space="0" w:color="auto"/>
            <w:bottom w:val="none" w:sz="0" w:space="0" w:color="auto"/>
            <w:right w:val="none" w:sz="0" w:space="0" w:color="auto"/>
          </w:divBdr>
        </w:div>
        <w:div w:id="611402080">
          <w:marLeft w:val="0"/>
          <w:marRight w:val="0"/>
          <w:marTop w:val="150"/>
          <w:marBottom w:val="300"/>
          <w:divBdr>
            <w:top w:val="none" w:sz="0" w:space="0" w:color="auto"/>
            <w:left w:val="none" w:sz="0" w:space="0" w:color="auto"/>
            <w:bottom w:val="none" w:sz="0" w:space="0" w:color="auto"/>
            <w:right w:val="none" w:sz="0" w:space="0" w:color="auto"/>
          </w:divBdr>
        </w:div>
        <w:div w:id="361592048">
          <w:marLeft w:val="0"/>
          <w:marRight w:val="0"/>
          <w:marTop w:val="150"/>
          <w:marBottom w:val="300"/>
          <w:divBdr>
            <w:top w:val="none" w:sz="0" w:space="0" w:color="auto"/>
            <w:left w:val="none" w:sz="0" w:space="0" w:color="auto"/>
            <w:bottom w:val="none" w:sz="0" w:space="0" w:color="auto"/>
            <w:right w:val="none" w:sz="0" w:space="0" w:color="auto"/>
          </w:divBdr>
        </w:div>
        <w:div w:id="1323578813">
          <w:marLeft w:val="0"/>
          <w:marRight w:val="0"/>
          <w:marTop w:val="150"/>
          <w:marBottom w:val="300"/>
          <w:divBdr>
            <w:top w:val="none" w:sz="0" w:space="0" w:color="auto"/>
            <w:left w:val="none" w:sz="0" w:space="0" w:color="auto"/>
            <w:bottom w:val="none" w:sz="0" w:space="0" w:color="auto"/>
            <w:right w:val="none" w:sz="0" w:space="0" w:color="auto"/>
          </w:divBdr>
        </w:div>
        <w:div w:id="505704566">
          <w:marLeft w:val="0"/>
          <w:marRight w:val="0"/>
          <w:marTop w:val="150"/>
          <w:marBottom w:val="300"/>
          <w:divBdr>
            <w:top w:val="none" w:sz="0" w:space="0" w:color="auto"/>
            <w:left w:val="none" w:sz="0" w:space="0" w:color="auto"/>
            <w:bottom w:val="none" w:sz="0" w:space="0" w:color="auto"/>
            <w:right w:val="none" w:sz="0" w:space="0" w:color="auto"/>
          </w:divBdr>
        </w:div>
        <w:div w:id="184441409">
          <w:marLeft w:val="0"/>
          <w:marRight w:val="0"/>
          <w:marTop w:val="150"/>
          <w:marBottom w:val="300"/>
          <w:divBdr>
            <w:top w:val="none" w:sz="0" w:space="0" w:color="auto"/>
            <w:left w:val="none" w:sz="0" w:space="0" w:color="auto"/>
            <w:bottom w:val="none" w:sz="0" w:space="0" w:color="auto"/>
            <w:right w:val="none" w:sz="0" w:space="0" w:color="auto"/>
          </w:divBdr>
        </w:div>
        <w:div w:id="230777808">
          <w:marLeft w:val="0"/>
          <w:marRight w:val="0"/>
          <w:marTop w:val="150"/>
          <w:marBottom w:val="300"/>
          <w:divBdr>
            <w:top w:val="none" w:sz="0" w:space="0" w:color="auto"/>
            <w:left w:val="none" w:sz="0" w:space="0" w:color="auto"/>
            <w:bottom w:val="none" w:sz="0" w:space="0" w:color="auto"/>
            <w:right w:val="none" w:sz="0" w:space="0" w:color="auto"/>
          </w:divBdr>
        </w:div>
        <w:div w:id="951128659">
          <w:marLeft w:val="0"/>
          <w:marRight w:val="0"/>
          <w:marTop w:val="150"/>
          <w:marBottom w:val="300"/>
          <w:divBdr>
            <w:top w:val="none" w:sz="0" w:space="0" w:color="auto"/>
            <w:left w:val="none" w:sz="0" w:space="0" w:color="auto"/>
            <w:bottom w:val="none" w:sz="0" w:space="0" w:color="auto"/>
            <w:right w:val="none" w:sz="0" w:space="0" w:color="auto"/>
          </w:divBdr>
        </w:div>
        <w:div w:id="1138916971">
          <w:marLeft w:val="0"/>
          <w:marRight w:val="0"/>
          <w:marTop w:val="150"/>
          <w:marBottom w:val="300"/>
          <w:divBdr>
            <w:top w:val="none" w:sz="0" w:space="0" w:color="auto"/>
            <w:left w:val="none" w:sz="0" w:space="0" w:color="auto"/>
            <w:bottom w:val="none" w:sz="0" w:space="0" w:color="auto"/>
            <w:right w:val="none" w:sz="0" w:space="0" w:color="auto"/>
          </w:divBdr>
        </w:div>
        <w:div w:id="71515990">
          <w:marLeft w:val="0"/>
          <w:marRight w:val="0"/>
          <w:marTop w:val="150"/>
          <w:marBottom w:val="300"/>
          <w:divBdr>
            <w:top w:val="none" w:sz="0" w:space="0" w:color="auto"/>
            <w:left w:val="none" w:sz="0" w:space="0" w:color="auto"/>
            <w:bottom w:val="none" w:sz="0" w:space="0" w:color="auto"/>
            <w:right w:val="none" w:sz="0" w:space="0" w:color="auto"/>
          </w:divBdr>
        </w:div>
        <w:div w:id="1885947165">
          <w:marLeft w:val="0"/>
          <w:marRight w:val="0"/>
          <w:marTop w:val="150"/>
          <w:marBottom w:val="300"/>
          <w:divBdr>
            <w:top w:val="none" w:sz="0" w:space="0" w:color="auto"/>
            <w:left w:val="none" w:sz="0" w:space="0" w:color="auto"/>
            <w:bottom w:val="none" w:sz="0" w:space="0" w:color="auto"/>
            <w:right w:val="none" w:sz="0" w:space="0" w:color="auto"/>
          </w:divBdr>
        </w:div>
        <w:div w:id="2127968902">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Saucier</dc:creator>
  <cp:keywords/>
  <dc:description/>
  <cp:lastModifiedBy>Joshua Saucier</cp:lastModifiedBy>
  <cp:revision>2</cp:revision>
  <dcterms:created xsi:type="dcterms:W3CDTF">2025-07-24T14:02:00Z</dcterms:created>
  <dcterms:modified xsi:type="dcterms:W3CDTF">2025-07-24T14:02:00Z</dcterms:modified>
</cp:coreProperties>
</file>