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3F00A2AD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0C758A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46CDE76C" w:rsidR="00C52059" w:rsidRPr="00F66F03" w:rsidRDefault="000C758A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Union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0408AAF1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116D4A8A" w:rsidR="00144C7E" w:rsidRDefault="000C758A" w:rsidP="000C758A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 w:rsidRPr="000C758A">
            <w:rPr>
              <w:b/>
              <w:bCs/>
              <w:sz w:val="32"/>
              <w:szCs w:val="32"/>
            </w:rPr>
            <w:t xml:space="preserve">​​To discuss the installation of a new traffic signal to replace the existing flashing beacon at the intersection of Route 17 / Route 131 (Heald Highway), Route 235 (Town House Road) and </w:t>
          </w:r>
          <w:proofErr w:type="spellStart"/>
          <w:r w:rsidRPr="000C758A">
            <w:rPr>
              <w:b/>
              <w:bCs/>
              <w:sz w:val="32"/>
              <w:szCs w:val="32"/>
            </w:rPr>
            <w:t>Sennebec</w:t>
          </w:r>
          <w:proofErr w:type="spellEnd"/>
          <w:r w:rsidRPr="000C758A">
            <w:rPr>
              <w:b/>
              <w:bCs/>
              <w:sz w:val="32"/>
              <w:szCs w:val="32"/>
            </w:rPr>
            <w:t xml:space="preserve"> Road.​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21E35D54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0C758A">
            <w:rPr>
              <w:bCs/>
            </w:rPr>
            <w:t xml:space="preserve">January 19, </w:t>
          </w:r>
          <w:proofErr w:type="gramStart"/>
          <w:r w:rsidR="000C758A">
            <w:rPr>
              <w:bCs/>
            </w:rPr>
            <w:t>2026</w:t>
          </w:r>
          <w:proofErr w:type="gramEnd"/>
          <w:r w:rsidR="000C758A">
            <w:rPr>
              <w:bCs/>
            </w:rPr>
            <w:t xml:space="preserve"> to February 5, 2026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1FAA0470" w14:textId="77777777" w:rsidR="0000519E" w:rsidRDefault="0000519E" w:rsidP="00A73402">
      <w:pPr>
        <w:spacing w:line="192" w:lineRule="auto"/>
        <w:ind w:left="2160" w:firstLine="720"/>
      </w:pPr>
    </w:p>
    <w:p w14:paraId="5878F6AE" w14:textId="340D959C" w:rsidR="00366F5D" w:rsidRPr="00594762" w:rsidRDefault="006D38E2" w:rsidP="006D38E2">
      <w:pPr>
        <w:spacing w:line="192" w:lineRule="auto"/>
        <w:ind w:left="2160"/>
      </w:pPr>
      <w:r>
        <w:t xml:space="preserve">     </w:t>
      </w:r>
      <w:r w:rsidR="000C758A">
        <w:t>Daniel Loring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1AEAF5F5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0C758A">
        <w:t>(207) 624-3451</w:t>
      </w:r>
      <w:r w:rsidR="00122A59" w:rsidRPr="00B372FB">
        <w:t xml:space="preserve"> </w:t>
      </w:r>
    </w:p>
    <w:p w14:paraId="16FDE0C0" w14:textId="7D7D6240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0C758A">
        <w:t>Daniel.m.loring@maine.gov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77777777" w:rsidR="00765FC6" w:rsidRDefault="00765FC6" w:rsidP="00765FC6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294EDC21" wp14:editId="00699BDD">
            <wp:simplePos x="0" y="0"/>
            <wp:positionH relativeFrom="margin">
              <wp:posOffset>-120650</wp:posOffset>
            </wp:positionH>
            <wp:positionV relativeFrom="paragraph">
              <wp:posOffset>60325</wp:posOffset>
            </wp:positionV>
            <wp:extent cx="1060450" cy="1060450"/>
            <wp:effectExtent l="0" t="0" r="6350" b="6350"/>
            <wp:wrapSquare wrapText="bothSides"/>
            <wp:docPr id="152851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F6A76" w14:textId="77777777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4" w:history="1">
        <w:r w:rsidRPr="00F04F68">
          <w:rPr>
            <w:rStyle w:val="Hyperlink"/>
            <w:bCs/>
          </w:rPr>
          <w:t>bit.ly/background-</w:t>
        </w:r>
        <w:proofErr w:type="spellStart"/>
        <w:r w:rsidRPr="00F04F68">
          <w:rPr>
            <w:rStyle w:val="Hyperlink"/>
            <w:bCs/>
          </w:rPr>
          <w:t>publicinvolvement</w:t>
        </w:r>
        <w:proofErr w:type="spellEnd"/>
      </w:hyperlink>
      <w:r>
        <w:rPr>
          <w:bCs/>
        </w:rPr>
        <w:t xml:space="preserve">. You can access that page using the QR Code to the left.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3D1F7875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="000C758A">
        <w:rPr>
          <w:b/>
          <w:color w:val="5B9BD5" w:themeColor="accent5"/>
        </w:rPr>
        <w:t>028428.00</w:t>
      </w:r>
      <w:r w:rsidR="000C758A">
        <w:rPr>
          <w:b/>
          <w:color w:val="5B9BD5" w:themeColor="accent5"/>
        </w:rPr>
        <w:tab/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C758A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F05DB"/>
    <w:rsid w:val="004F2339"/>
    <w:rsid w:val="004F47C9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17EB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6D5855"/>
    <w:rsid w:val="00752924"/>
    <w:rsid w:val="007D19C6"/>
    <w:rsid w:val="008142D0"/>
    <w:rsid w:val="00D117EB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88F9474D7944BC5A458FC2B147B7E7D">
    <w:name w:val="288F9474D7944BC5A458FC2B147B7E7D"/>
  </w:style>
  <w:style w:type="paragraph" w:customStyle="1" w:styleId="F888A6A443EA46D3A82AB8AA2EC9441B">
    <w:name w:val="F888A6A443EA46D3A82AB8AA2EC9441B"/>
  </w:style>
  <w:style w:type="paragraph" w:customStyle="1" w:styleId="BC38E205032D4A3085C4E8D99FF596CE">
    <w:name w:val="BC38E205032D4A3085C4E8D99FF596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Vye, Tasha</cp:lastModifiedBy>
  <cp:revision>2</cp:revision>
  <cp:lastPrinted>2024-08-22T17:21:00Z</cp:lastPrinted>
  <dcterms:created xsi:type="dcterms:W3CDTF">2025-12-23T16:45:00Z</dcterms:created>
  <dcterms:modified xsi:type="dcterms:W3CDTF">2025-12-23T16:45:00Z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