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3FCF" w:rsidRPr="00FB3FCF" w:rsidRDefault="00FB3FCF" w:rsidP="00FB3FCF">
      <w:pPr>
        <w:rPr>
          <w:u w:val="single"/>
        </w:rPr>
      </w:pPr>
      <w:r w:rsidRPr="00FB3FCF">
        <w:rPr>
          <w:u w:val="single"/>
        </w:rPr>
        <w:t>ABUTMENT NOTES</w:t>
      </w:r>
    </w:p>
    <w:p w:rsidR="00FB3FCF" w:rsidRDefault="00FB3FCF" w:rsidP="00FB3FCF"/>
    <w:p w:rsidR="00FB3FCF" w:rsidRDefault="00FB3FCF" w:rsidP="00FB3FCF">
      <w:r>
        <w:t xml:space="preserve">1.  The maximum factored applied footing pressure is XX </w:t>
      </w:r>
      <w:proofErr w:type="spellStart"/>
      <w:r>
        <w:t>ksf</w:t>
      </w:r>
      <w:proofErr w:type="spellEnd"/>
      <w:r>
        <w:t xml:space="preserve"> at the ________</w:t>
      </w:r>
    </w:p>
    <w:p w:rsidR="00FB3FCF" w:rsidRDefault="00FB3FCF" w:rsidP="00FB3FCF">
      <w:r>
        <w:t>Limit State.</w:t>
      </w:r>
    </w:p>
    <w:p w:rsidR="00FB3FCF" w:rsidRDefault="00FB3FCF" w:rsidP="00FB3FCF"/>
    <w:p w:rsidR="00FB3FCF" w:rsidRDefault="00FB3FCF" w:rsidP="00FB3FCF">
      <w:r>
        <w:t>2.  Structural Earth Excavation required more than 12 inches below the bottom of</w:t>
      </w:r>
    </w:p>
    <w:p w:rsidR="00FB3FCF" w:rsidRDefault="00FB3FCF" w:rsidP="00FB3FCF">
      <w:r>
        <w:t>the structure will be paid for in accordance with Standard Specifications</w:t>
      </w:r>
    </w:p>
    <w:p w:rsidR="00FB3FCF" w:rsidRDefault="00FB3FCF" w:rsidP="00FB3FCF">
      <w:r>
        <w:t xml:space="preserve">Section 206, Structural Excavation. </w:t>
      </w:r>
    </w:p>
    <w:p w:rsidR="00FB3FCF" w:rsidRDefault="00FB3FCF" w:rsidP="00FB3FCF"/>
    <w:p w:rsidR="00FB3FCF" w:rsidRDefault="00FB3FCF" w:rsidP="00FB3FCF">
      <w:r>
        <w:t>3.  Abutments, wingwalls, and their footings shall be backfilled with Granular</w:t>
      </w:r>
    </w:p>
    <w:p w:rsidR="00FB3FCF" w:rsidRDefault="00FB3FCF" w:rsidP="00FB3FCF">
      <w:r>
        <w:t>Borrow. Pay limits will be the structural excavation limits in cut areas and a</w:t>
      </w:r>
    </w:p>
    <w:p w:rsidR="00FB3FCF" w:rsidRDefault="00FB3FCF" w:rsidP="00FB3FCF">
      <w:r>
        <w:t>vertical plane located 10 feet behind the walls in fill areas.</w:t>
      </w:r>
    </w:p>
    <w:p w:rsidR="00FB3FCF" w:rsidRDefault="00FB3FCF" w:rsidP="00FB3FCF"/>
    <w:p w:rsidR="00FB3FCF" w:rsidRDefault="00FB3FCF" w:rsidP="00FB3FCF">
      <w:r>
        <w:t>4.  Reinforcing steel shall have a minimum concrete cover of 2 inches in the</w:t>
      </w:r>
    </w:p>
    <w:p w:rsidR="00FB3FCF" w:rsidRDefault="00FB3FCF" w:rsidP="00FB3FCF">
      <w:r>
        <w:t>walls and 3 inches in the footings unless otherwise noted.</w:t>
      </w:r>
    </w:p>
    <w:p w:rsidR="00FB3FCF" w:rsidRDefault="00FB3FCF" w:rsidP="00FB3FCF"/>
    <w:p w:rsidR="00FB3FCF" w:rsidRDefault="00FB3FCF" w:rsidP="00FB3FCF">
      <w:r>
        <w:t>5.  Place drains with a 4-inch diameter in the breastwall and wingwalls at 10</w:t>
      </w:r>
    </w:p>
    <w:p w:rsidR="00FB3FCF" w:rsidRDefault="00FB3FCF" w:rsidP="00FB3FCF">
      <w:r>
        <w:t>feet maximum spacing. The exact location will be determined by the Resident.</w:t>
      </w:r>
    </w:p>
    <w:p w:rsidR="00FB3FCF" w:rsidRDefault="00FB3FCF" w:rsidP="00FB3FCF"/>
    <w:p w:rsidR="00FB3FCF" w:rsidRDefault="00FB3FCF" w:rsidP="00FB3FCF">
      <w:r>
        <w:t xml:space="preserve">6.  Cover joints where </w:t>
      </w:r>
      <w:proofErr w:type="spellStart"/>
      <w:r>
        <w:t>waterstops</w:t>
      </w:r>
      <w:proofErr w:type="spellEnd"/>
      <w:r>
        <w:t xml:space="preserve"> are not required in accordance with Standard</w:t>
      </w:r>
    </w:p>
    <w:p w:rsidR="00FB3FCF" w:rsidRDefault="00FB3FCF" w:rsidP="00FB3FCF">
      <w:r>
        <w:t>Details Section 502.</w:t>
      </w:r>
    </w:p>
    <w:p w:rsidR="00FB3FCF" w:rsidRDefault="00FB3FCF" w:rsidP="00FB3FCF"/>
    <w:p w:rsidR="00FB3FCF" w:rsidRPr="00FB3FCF" w:rsidRDefault="00FB3FCF" w:rsidP="00FB3FCF">
      <w:pPr>
        <w:rPr>
          <w:i/>
          <w:iCs/>
        </w:rPr>
      </w:pPr>
      <w:r w:rsidRPr="00FB3FCF">
        <w:rPr>
          <w:i/>
          <w:iCs/>
        </w:rPr>
        <w:t>~ The following note is used with precast superstructures ~</w:t>
      </w:r>
    </w:p>
    <w:p w:rsidR="00FB3FCF" w:rsidRDefault="00FB3FCF" w:rsidP="00FB3FCF"/>
    <w:p w:rsidR="00FB3FCF" w:rsidRDefault="00FB3FCF" w:rsidP="00FB3FCF">
      <w:r>
        <w:t>7.  Place the parapet portions of the wingwalls after erection of the precast</w:t>
      </w:r>
    </w:p>
    <w:p w:rsidR="00FB3FCF" w:rsidRDefault="00FB3FCF" w:rsidP="00FB3FCF">
      <w:r>
        <w:t>units.</w:t>
      </w:r>
    </w:p>
    <w:p w:rsidR="00FB3FCF" w:rsidRDefault="00FB3FCF" w:rsidP="00FB3FCF"/>
    <w:p w:rsidR="00FB3FCF" w:rsidRPr="00FB3FCF" w:rsidRDefault="00FB3FCF" w:rsidP="00FB3FCF">
      <w:pPr>
        <w:rPr>
          <w:i/>
          <w:iCs/>
        </w:rPr>
      </w:pPr>
      <w:r w:rsidRPr="00FB3FCF">
        <w:rPr>
          <w:i/>
          <w:iCs/>
        </w:rPr>
        <w:t>~</w:t>
      </w:r>
      <w:r>
        <w:rPr>
          <w:i/>
          <w:iCs/>
        </w:rPr>
        <w:t xml:space="preserve"> </w:t>
      </w:r>
      <w:r w:rsidRPr="00FB3FCF">
        <w:rPr>
          <w:i/>
          <w:iCs/>
        </w:rPr>
        <w:t>Use the following note for pile-supported integral abutment bridges</w:t>
      </w:r>
      <w:r>
        <w:rPr>
          <w:i/>
          <w:iCs/>
        </w:rPr>
        <w:t xml:space="preserve"> </w:t>
      </w:r>
      <w:r w:rsidRPr="00FB3FCF">
        <w:rPr>
          <w:i/>
          <w:iCs/>
        </w:rPr>
        <w:t>~</w:t>
      </w:r>
    </w:p>
    <w:p w:rsidR="00FB3FCF" w:rsidRDefault="00FB3FCF" w:rsidP="00FB3FCF"/>
    <w:p w:rsidR="00FB3FCF" w:rsidRDefault="00FB3FCF" w:rsidP="00FB3FCF">
      <w:r>
        <w:t>8.  Payment for the concrete jackets around the tops of the H-piles will not be</w:t>
      </w:r>
    </w:p>
    <w:p w:rsidR="00FB3FCF" w:rsidRDefault="00FB3FCF" w:rsidP="00FB3FCF">
      <w:r>
        <w:t>paid for directly but will be considered incidental to Pay Item 502.219</w:t>
      </w:r>
    </w:p>
    <w:p w:rsidR="00FB3FCF" w:rsidRDefault="00FB3FCF" w:rsidP="00FB3FCF">
      <w:r>
        <w:t>Structural Concrete Abutments and Retaining Walls. Fill Concrete may be used for</w:t>
      </w:r>
    </w:p>
    <w:p w:rsidR="00FB3FCF" w:rsidRDefault="00FB3FCF" w:rsidP="00FB3FCF">
      <w:r>
        <w:t>the concrete jackets.</w:t>
      </w:r>
    </w:p>
    <w:p w:rsidR="00FB3FCF" w:rsidRDefault="00FB3FCF" w:rsidP="00FB3FCF"/>
    <w:p w:rsidR="00FB3FCF" w:rsidRPr="00FB3FCF" w:rsidRDefault="00FB3FCF" w:rsidP="00FB3FCF">
      <w:pPr>
        <w:rPr>
          <w:i/>
          <w:iCs/>
        </w:rPr>
      </w:pPr>
      <w:r w:rsidRPr="00FB3FCF">
        <w:rPr>
          <w:i/>
          <w:iCs/>
        </w:rPr>
        <w:t xml:space="preserve">~ Use the following note on projects utilizing drainage </w:t>
      </w:r>
      <w:proofErr w:type="spellStart"/>
      <w:r w:rsidRPr="00FB3FCF">
        <w:rPr>
          <w:i/>
          <w:iCs/>
        </w:rPr>
        <w:t>geocomposite</w:t>
      </w:r>
      <w:proofErr w:type="spellEnd"/>
      <w:r w:rsidRPr="00FB3FCF">
        <w:rPr>
          <w:i/>
          <w:iCs/>
        </w:rPr>
        <w:t xml:space="preserve"> behind the</w:t>
      </w:r>
    </w:p>
    <w:p w:rsidR="00FB3FCF" w:rsidRPr="00FB3FCF" w:rsidRDefault="00FB3FCF" w:rsidP="00FB3FCF">
      <w:pPr>
        <w:rPr>
          <w:i/>
          <w:iCs/>
        </w:rPr>
      </w:pPr>
      <w:r w:rsidRPr="00FB3FCF">
        <w:rPr>
          <w:i/>
          <w:iCs/>
        </w:rPr>
        <w:t>abutments ~</w:t>
      </w:r>
    </w:p>
    <w:p w:rsidR="00FB3FCF" w:rsidRDefault="00FB3FCF" w:rsidP="00FB3FCF"/>
    <w:p w:rsidR="00FB3FCF" w:rsidRDefault="00FB3FCF" w:rsidP="00FB3FCF">
      <w:r>
        <w:t xml:space="preserve">9.  Install Drainage </w:t>
      </w:r>
      <w:proofErr w:type="spellStart"/>
      <w:r>
        <w:t>Geocomposite</w:t>
      </w:r>
      <w:proofErr w:type="spellEnd"/>
      <w:r>
        <w:t xml:space="preserve"> behind the abutments and wingwalls up to the</w:t>
      </w:r>
    </w:p>
    <w:p w:rsidR="00FB3FCF" w:rsidRDefault="00FB3FCF" w:rsidP="00FB3FCF">
      <w:r>
        <w:t>approach slab seat elevation in accordance with Special Provision Section 620,</w:t>
      </w:r>
    </w:p>
    <w:p w:rsidR="00FB3FCF" w:rsidRDefault="00FB3FCF" w:rsidP="00FB3FCF">
      <w:r>
        <w:t xml:space="preserve">Drainage </w:t>
      </w:r>
      <w:proofErr w:type="spellStart"/>
      <w:r>
        <w:t>Geocomposite</w:t>
      </w:r>
      <w:proofErr w:type="spellEnd"/>
      <w:r>
        <w:t>.</w:t>
      </w:r>
    </w:p>
    <w:p w:rsidR="00FB3FCF" w:rsidRDefault="00FB3FCF" w:rsidP="00FB3FCF"/>
    <w:p w:rsidR="00FB3FCF" w:rsidRDefault="00FB3FCF" w:rsidP="00FB3FCF">
      <w:r>
        <w:t>~ The following two notes are used when Transition Barriers are constructed on</w:t>
      </w:r>
    </w:p>
    <w:p w:rsidR="00FB3FCF" w:rsidRDefault="00FB3FCF" w:rsidP="00FB3FCF">
      <w:r>
        <w:t>return wingwalls. The first note may be eliminated if the bars noted are fully</w:t>
      </w:r>
    </w:p>
    <w:p w:rsidR="00FB3FCF" w:rsidRDefault="00FB3FCF" w:rsidP="00FB3FCF">
      <w:r>
        <w:t>detailed on the plans. In either case, the bars need to be included in the</w:t>
      </w:r>
    </w:p>
    <w:p w:rsidR="00FB3FCF" w:rsidRDefault="00FB3FCF" w:rsidP="00FB3FCF">
      <w:r>
        <w:t>reinforcing steel schedule and estimated quantities. ~</w:t>
      </w:r>
    </w:p>
    <w:p w:rsidR="00FB3FCF" w:rsidRDefault="00FB3FCF" w:rsidP="00FB3FCF"/>
    <w:p w:rsidR="00FB3FCF" w:rsidRDefault="00FB3FCF" w:rsidP="00FB3FCF">
      <w:r>
        <w:lastRenderedPageBreak/>
        <w:t>10.  Provide 4 additional stirrups in the curbs at each Transition Barrier</w:t>
      </w:r>
    </w:p>
    <w:p w:rsidR="00FB3FCF" w:rsidRDefault="00FB3FCF" w:rsidP="00FB3FCF">
      <w:r>
        <w:t>location.</w:t>
      </w:r>
    </w:p>
    <w:p w:rsidR="00FB3FCF" w:rsidRDefault="00FB3FCF" w:rsidP="00FB3FCF"/>
    <w:p w:rsidR="00FB3FCF" w:rsidRDefault="00FB3FCF" w:rsidP="00FB3FCF">
      <w:r>
        <w:t>11.  The Contractor shall install Transition Barrier vertical closed stirrups,</w:t>
      </w:r>
    </w:p>
    <w:p w:rsidR="00FB3FCF" w:rsidRDefault="00FB3FCF" w:rsidP="00FB3FCF">
      <w:r>
        <w:t>as shown in Standard Details Section 526, prior to the placement of the curb</w:t>
      </w:r>
    </w:p>
    <w:p w:rsidR="00FB3FCF" w:rsidRDefault="00FB3FCF" w:rsidP="00FB3FCF">
      <w:r>
        <w:t>concrete.</w:t>
      </w:r>
    </w:p>
    <w:p w:rsidR="00FB3FCF" w:rsidRDefault="00FB3FCF" w:rsidP="00FB3FCF"/>
    <w:p w:rsidR="00FB3FCF" w:rsidRPr="00FB3FCF" w:rsidRDefault="00FB3FCF" w:rsidP="00FB3FCF">
      <w:pPr>
        <w:rPr>
          <w:i/>
          <w:iCs/>
        </w:rPr>
      </w:pPr>
      <w:r w:rsidRPr="00FB3FCF">
        <w:rPr>
          <w:i/>
          <w:iCs/>
        </w:rPr>
        <w:t>~ The following two notes are used for abutments on bedrock. ~</w:t>
      </w:r>
    </w:p>
    <w:p w:rsidR="00FB3FCF" w:rsidRDefault="00FB3FCF" w:rsidP="00FB3FCF"/>
    <w:p w:rsidR="00FB3FCF" w:rsidRDefault="00FB3FCF" w:rsidP="00FB3FCF">
      <w:r>
        <w:t>12.  When bedrock protrudes above the bottom of footing, the footing may be</w:t>
      </w:r>
    </w:p>
    <w:p w:rsidR="00FB3FCF" w:rsidRDefault="00FB3FCF" w:rsidP="00FB3FCF">
      <w:r>
        <w:t>raised and the vertical reinforcing may be cut in the field with the approval of</w:t>
      </w:r>
    </w:p>
    <w:p w:rsidR="00FB3FCF" w:rsidRDefault="00FB3FCF" w:rsidP="00FB3FCF">
      <w:r>
        <w:t>the Resident. The minimum footing elevations are shown on the Plans and shall</w:t>
      </w:r>
    </w:p>
    <w:p w:rsidR="00FB3FCF" w:rsidRDefault="00FB3FCF" w:rsidP="00FB3FCF">
      <w:r>
        <w:t>not be lowered without prior approval of the Engineer of Record. Payment for</w:t>
      </w:r>
    </w:p>
    <w:p w:rsidR="00FB3FCF" w:rsidRDefault="00FB3FCF" w:rsidP="00FB3FCF">
      <w:r>
        <w:t>adjusting the footing elevations and reinforcing steel will be considered</w:t>
      </w:r>
    </w:p>
    <w:p w:rsidR="00FB3FCF" w:rsidRDefault="00FB3FCF" w:rsidP="00FB3FCF">
      <w:r>
        <w:t>incidental to the related Contract Items. No separate payment will be made.</w:t>
      </w:r>
    </w:p>
    <w:p w:rsidR="00FB3FCF" w:rsidRDefault="00FB3FCF" w:rsidP="00FB3FCF"/>
    <w:p w:rsidR="00FB3FCF" w:rsidRDefault="00FB3FCF" w:rsidP="00FB3FCF">
      <w:r>
        <w:t>13.  At the option of the Resident, bedrock which protrudes above a horizontal</w:t>
      </w:r>
    </w:p>
    <w:p w:rsidR="00FB3FCF" w:rsidRDefault="00FB3FCF" w:rsidP="00FB3FCF">
      <w:r>
        <w:t>plane 12 inches below the proposed bottom of footing elevation may be removed.</w:t>
      </w:r>
    </w:p>
    <w:p w:rsidR="00FB3FCF" w:rsidRDefault="00FB3FCF" w:rsidP="00FB3FCF">
      <w:r>
        <w:t>Payment for bedrock removal shall be made under Item No. 206.092 Structural Rock</w:t>
      </w:r>
    </w:p>
    <w:p w:rsidR="00FB3FCF" w:rsidRDefault="00FB3FCF" w:rsidP="00FB3FCF">
      <w:r>
        <w:t>Excavation – Major Structures.</w:t>
      </w:r>
    </w:p>
    <w:p w:rsidR="00FB3FCF" w:rsidRDefault="00FB3FCF" w:rsidP="00FB3FCF"/>
    <w:p w:rsidR="00FB3FCF" w:rsidRDefault="00FB3FCF" w:rsidP="00FB3FCF">
      <w:r>
        <w:t>14.  Abutment concrete shall be placed on bedrock cleaned of all weathered rock,</w:t>
      </w:r>
    </w:p>
    <w:p w:rsidR="00FB3FCF" w:rsidRDefault="00FB3FCF" w:rsidP="00FB3FCF">
      <w:r>
        <w:t>loose fractured rock and soil. The bedrock subgrade shall be confirmed to be</w:t>
      </w:r>
    </w:p>
    <w:p w:rsidR="00FB3FCF" w:rsidRDefault="00FB3FCF" w:rsidP="00FB3FCF">
      <w:r>
        <w:t>relatively level. Where the bedrock slope exceeds 4H:1V, the bedrock surface</w:t>
      </w:r>
    </w:p>
    <w:p w:rsidR="00FB3FCF" w:rsidRDefault="00FB3FCF" w:rsidP="00FB3FCF">
      <w:r>
        <w:t>shall be benched to create level steps or made completely level. The Resident</w:t>
      </w:r>
    </w:p>
    <w:p w:rsidR="00FB3FCF" w:rsidRDefault="00FB3FCF" w:rsidP="00FB3FCF">
      <w:r>
        <w:t>shall approve the bedrock subgrade prior to the placement of the abutment</w:t>
      </w:r>
    </w:p>
    <w:p w:rsidR="00FB3FCF" w:rsidRDefault="00FB3FCF" w:rsidP="00FB3FCF">
      <w:r>
        <w:t xml:space="preserve">concrete. </w:t>
      </w:r>
    </w:p>
    <w:p w:rsidR="00FB3FCF" w:rsidRDefault="00FB3FCF" w:rsidP="00FB3FCF"/>
    <w:p w:rsidR="00FB3FCF" w:rsidRPr="00FB3FCF" w:rsidRDefault="00FB3FCF" w:rsidP="00FB3FCF">
      <w:pPr>
        <w:rPr>
          <w:i/>
          <w:iCs/>
        </w:rPr>
      </w:pPr>
      <w:r w:rsidRPr="00FB3FCF">
        <w:rPr>
          <w:i/>
          <w:iCs/>
        </w:rPr>
        <w:t>~ Use the following note for abutment concrete placed “in-the-dry” (exposed</w:t>
      </w:r>
    </w:p>
    <w:p w:rsidR="00FB3FCF" w:rsidRPr="00FB3FCF" w:rsidRDefault="00FB3FCF" w:rsidP="00FB3FCF">
      <w:pPr>
        <w:rPr>
          <w:i/>
          <w:iCs/>
        </w:rPr>
      </w:pPr>
      <w:r w:rsidRPr="00FB3FCF">
        <w:rPr>
          <w:i/>
          <w:iCs/>
        </w:rPr>
        <w:t>bedrock) ~</w:t>
      </w:r>
    </w:p>
    <w:p w:rsidR="00FB3FCF" w:rsidRDefault="00FB3FCF" w:rsidP="00FB3FCF"/>
    <w:p w:rsidR="00FB3FCF" w:rsidRDefault="00FB3FCF" w:rsidP="00FB3FCF">
      <w:r>
        <w:t>15.  Prior to placing abutment concrete, the bedrock subgrade shall be washed</w:t>
      </w:r>
    </w:p>
    <w:p w:rsidR="00842775" w:rsidRDefault="00FB3FCF" w:rsidP="00FB3FCF">
      <w:r>
        <w:t>with high-pressure water and air.</w:t>
      </w:r>
    </w:p>
    <w:sectPr w:rsidR="00842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CF"/>
    <w:rsid w:val="001D0382"/>
    <w:rsid w:val="00842775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D618"/>
  <w15:chartTrackingRefBased/>
  <w15:docId w15:val="{6AD9B875-F98C-47E1-8311-059313C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CF"/>
    <w:pPr>
      <w:spacing w:after="0" w:line="240" w:lineRule="auto"/>
    </w:pPr>
    <w:rPr>
      <w:rFonts w:ascii="Times New Roman" w:hAnsi="Times New Roman"/>
      <w:color w:val="414042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382"/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82"/>
    <w:rPr>
      <w:rFonts w:asciiTheme="majorHAnsi" w:eastAsiaTheme="majorEastAsia" w:hAnsiTheme="majorHAnsi" w:cstheme="majorBidi"/>
      <w:b/>
      <w:color w:val="414042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0382"/>
    <w:rPr>
      <w:rFonts w:asciiTheme="majorHAnsi" w:eastAsiaTheme="majorEastAsia" w:hAnsiTheme="majorHAnsi" w:cstheme="majorBidi"/>
      <w:b/>
      <w:color w:val="414042" w:themeColor="text1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0382"/>
    <w:pPr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82"/>
    <w:rPr>
      <w:rFonts w:asciiTheme="majorHAnsi" w:eastAsiaTheme="majorEastAsia" w:hAnsiTheme="majorHAnsi" w:cstheme="majorBidi"/>
      <w:b/>
      <w:i/>
      <w:color w:val="414042" w:themeColor="text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82"/>
    <w:pPr>
      <w:numPr>
        <w:ilvl w:val="1"/>
      </w:numPr>
    </w:pPr>
    <w:rPr>
      <w:rFonts w:eastAsiaTheme="minorEastAsia"/>
      <w:color w:val="003B71" w:themeColor="tex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D0382"/>
    <w:rPr>
      <w:rFonts w:eastAsiaTheme="minorEastAsia"/>
      <w:color w:val="003B71" w:themeColor="text2"/>
      <w:spacing w:val="15"/>
      <w:sz w:val="48"/>
    </w:rPr>
  </w:style>
  <w:style w:type="character" w:styleId="SubtleEmphasis">
    <w:name w:val="Subtle Emphasis"/>
    <w:basedOn w:val="DefaultParagraphFont"/>
    <w:uiPriority w:val="19"/>
    <w:qFormat/>
    <w:rsid w:val="001D0382"/>
    <w:rPr>
      <w:i/>
      <w:iCs/>
      <w:color w:val="414042" w:themeColor="text1"/>
    </w:rPr>
  </w:style>
  <w:style w:type="character" w:styleId="IntenseEmphasis">
    <w:name w:val="Intense Emphasis"/>
    <w:basedOn w:val="DefaultParagraphFont"/>
    <w:uiPriority w:val="21"/>
    <w:qFormat/>
    <w:rsid w:val="001D0382"/>
    <w:rPr>
      <w:i/>
      <w:iCs/>
      <w:color w:val="003B71" w:themeColor="text2"/>
    </w:rPr>
  </w:style>
  <w:style w:type="paragraph" w:styleId="NoSpacing">
    <w:name w:val="No Spacing"/>
    <w:uiPriority w:val="1"/>
    <w:qFormat/>
    <w:rsid w:val="001D0382"/>
    <w:pPr>
      <w:spacing w:after="0" w:line="240" w:lineRule="auto"/>
    </w:pPr>
    <w:rPr>
      <w:color w:val="414042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OT Style Guide">
  <a:themeElements>
    <a:clrScheme name="DOT Style Guide">
      <a:dk1>
        <a:srgbClr val="414042"/>
      </a:dk1>
      <a:lt1>
        <a:sysClr val="window" lastClr="FFFFFF"/>
      </a:lt1>
      <a:dk2>
        <a:srgbClr val="003B71"/>
      </a:dk2>
      <a:lt2>
        <a:srgbClr val="EFEDEA"/>
      </a:lt2>
      <a:accent1>
        <a:srgbClr val="BAB9AE"/>
      </a:accent1>
      <a:accent2>
        <a:srgbClr val="C95D5D"/>
      </a:accent2>
      <a:accent3>
        <a:srgbClr val="64A192"/>
      </a:accent3>
      <a:accent4>
        <a:srgbClr val="6695AF"/>
      </a:accent4>
      <a:accent5>
        <a:srgbClr val="305785"/>
      </a:accent5>
      <a:accent6>
        <a:srgbClr val="475263"/>
      </a:accent6>
      <a:hlink>
        <a:srgbClr val="305785"/>
      </a:hlink>
      <a:folHlink>
        <a:srgbClr val="A65151"/>
      </a:folHlink>
    </a:clrScheme>
    <a:fontScheme name="Lato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Hasbrouck, Joshua P</dc:creator>
  <cp:keywords/>
  <dc:description/>
  <cp:lastModifiedBy>Hasbrouck, Joshua P</cp:lastModifiedBy>
  <cp:revision>1</cp:revision>
  <dcterms:created xsi:type="dcterms:W3CDTF">2022-01-04T22:56:00Z</dcterms:created>
  <dcterms:modified xsi:type="dcterms:W3CDTF">2022-01-04T22:58:00Z</dcterms:modified>
</cp:coreProperties>
</file>