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6" w:line="216" w:lineRule="auto"/>
        <w:ind w:left="4681" w:right="1113" w:hanging="4321"/>
      </w:pPr>
      <w:r>
        <w:rPr>
          <w:rFonts w:ascii="Arial" w:eastAsia="Arial" w:hAnsi="Arial" w:cs="Arial"/>
          <w:sz w:val="22"/>
        </w:rPr>
        <w:t xml:space="preserve"> </w:t>
      </w:r>
      <w:r>
        <w:rPr>
          <w:b/>
        </w:rPr>
        <w:t xml:space="preserve"> </w:t>
      </w:r>
    </w:p>
    <w:p>
      <w:pPr>
        <w:spacing w:after="0" w:line="259" w:lineRule="auto"/>
        <w:ind w:left="10" w:right="217"/>
        <w:jc w:val="center"/>
      </w:pPr>
      <w:r>
        <w:rPr>
          <w:b/>
        </w:rPr>
        <w:t xml:space="preserve">CHILD NUTRITION PROGRAM </w:t>
      </w:r>
    </w:p>
    <w:p>
      <w:pPr>
        <w:spacing w:after="0" w:line="259" w:lineRule="auto"/>
        <w:ind w:left="10" w:right="217"/>
        <w:jc w:val="center"/>
      </w:pPr>
      <w:r>
        <w:rPr>
          <w:b/>
        </w:rPr>
        <w:t xml:space="preserve">STATE WAIVER REQUEST PURCHASE FRESH PRODUCE WITH ENTITLEMENT MONEY </w:t>
      </w:r>
    </w:p>
    <w:p>
      <w:pPr>
        <w:spacing w:after="0" w:line="259" w:lineRule="auto"/>
        <w:ind w:left="0" w:right="155" w:firstLine="0"/>
        <w:jc w:val="center"/>
      </w:pPr>
      <w:r>
        <w:rPr>
          <w:b/>
        </w:rPr>
        <w:t xml:space="preserve"> </w:t>
      </w:r>
    </w:p>
    <w:p>
      <w:pPr>
        <w:spacing w:after="12" w:line="248" w:lineRule="auto"/>
        <w:ind w:left="705" w:right="550" w:firstLine="0"/>
      </w:pPr>
      <w:r>
        <w:t>Maine Department of Education</w:t>
      </w:r>
    </w:p>
    <w:p>
      <w:pPr>
        <w:spacing w:after="12" w:line="248" w:lineRule="auto"/>
        <w:ind w:left="705" w:right="550" w:firstLine="0"/>
      </w:pPr>
      <w:r>
        <w:t xml:space="preserve">Child Nutrition </w:t>
      </w:r>
    </w:p>
    <w:p>
      <w:pPr>
        <w:spacing w:after="12" w:line="248" w:lineRule="auto"/>
        <w:ind w:left="705" w:right="550" w:firstLine="0"/>
      </w:pPr>
      <w:r>
        <w:t>Walter Beesley, Director Child Nutrition</w:t>
      </w:r>
    </w:p>
    <w:p>
      <w:pPr>
        <w:spacing w:after="12" w:line="248" w:lineRule="auto"/>
        <w:ind w:left="705" w:right="550" w:firstLine="0"/>
      </w:pPr>
      <w:r>
        <w:t>207-624-6875</w:t>
      </w:r>
    </w:p>
    <w:p>
      <w:pPr>
        <w:spacing w:after="12" w:line="248" w:lineRule="auto"/>
        <w:ind w:left="705" w:right="550" w:firstLine="0"/>
      </w:pPr>
      <w:hyperlink r:id="rId7" w:history="1">
        <w:r>
          <w:rPr>
            <w:rStyle w:val="Hyperlink"/>
          </w:rPr>
          <w:t>Walter.beesley@maine.gov</w:t>
        </w:r>
      </w:hyperlink>
    </w:p>
    <w:p>
      <w:pPr>
        <w:spacing w:after="12" w:line="248" w:lineRule="auto"/>
        <w:ind w:left="705" w:right="550" w:firstLine="0"/>
      </w:pPr>
    </w:p>
    <w:p>
      <w:pPr>
        <w:spacing w:after="12" w:line="248" w:lineRule="auto"/>
        <w:ind w:left="705" w:right="550" w:firstLine="0"/>
      </w:pPr>
      <w:r>
        <w:rPr>
          <w:b/>
        </w:rPr>
        <w:t xml:space="preserve">Region: </w:t>
      </w:r>
      <w:r>
        <w:t>NERO</w:t>
      </w:r>
    </w:p>
    <w:p>
      <w:pPr>
        <w:spacing w:after="12" w:line="248" w:lineRule="auto"/>
        <w:ind w:left="705" w:right="550" w:firstLine="0"/>
        <w:rPr>
          <w:b/>
        </w:rPr>
      </w:pPr>
    </w:p>
    <w:p>
      <w:pPr>
        <w:spacing w:after="12" w:line="248" w:lineRule="auto"/>
        <w:ind w:left="705" w:right="550" w:firstLine="0"/>
      </w:pPr>
      <w:r>
        <w:t>Maine Child Nutrition manages the USDA Food program for NSLP, CACFP and SFSP.  We have and still use the DOD program for some produce purchasing.  The recent contract for Maine was awarded to a Hartford Provisions in Hartford CT.  Local schools in Maine want to use DOD but more importantly they want fresh products that include Maine items.</w:t>
      </w:r>
    </w:p>
    <w:p>
      <w:pPr>
        <w:spacing w:after="12" w:line="248" w:lineRule="auto"/>
        <w:ind w:left="705" w:right="550" w:firstLine="0"/>
      </w:pPr>
    </w:p>
    <w:p>
      <w:pPr>
        <w:spacing w:after="12" w:line="248" w:lineRule="auto"/>
        <w:ind w:left="705" w:right="550" w:firstLine="0"/>
        <w:rPr>
          <w:b/>
          <w:color w:val="auto"/>
        </w:rPr>
      </w:pPr>
      <w:r>
        <w:t xml:space="preserve">The DoD products are ordered via </w:t>
      </w:r>
      <w:r>
        <w:rPr>
          <w:color w:val="auto"/>
        </w:rPr>
        <w:t>FFAVORS</w:t>
      </w:r>
      <w:r>
        <w:t xml:space="preserve"> which </w:t>
      </w:r>
      <w:bookmarkStart w:id="0" w:name="_GoBack"/>
      <w:bookmarkEnd w:id="0"/>
      <w:r>
        <w:t xml:space="preserve">was a small challenge to get started but locals overcame that issue.  Hartford Provisions cannot afford to send a truck to Northern Maine monthly, never mind weekly or daily.  Transportation laws require overnight stays or two drivers because of the driving time.  It is a 5-hour drive in a car.  </w:t>
      </w:r>
      <w:proofErr w:type="gramStart"/>
      <w:r>
        <w:t>Therefore</w:t>
      </w:r>
      <w:proofErr w:type="gramEnd"/>
      <w:r>
        <w:t xml:space="preserve"> Hartford Provisions sub-contracted Native Maine out of Westbrook Maine to deliver to Maine schools.  This has also been bumpy to order from one and delivered by another.  Then with all the procurement training and review requirements we discover DOD products are more expensive sometimes as much as 49%.</w:t>
      </w:r>
      <w:r>
        <w:rPr>
          <w:color w:val="FF0000"/>
        </w:rPr>
        <w:t xml:space="preserve">  </w:t>
      </w:r>
      <w:r>
        <w:rPr>
          <w:color w:val="auto"/>
        </w:rPr>
        <w:t>This is for the same product, brand name quantity coming off the same truck.</w:t>
      </w:r>
      <w:r>
        <w:rPr>
          <w:b/>
          <w:color w:val="auto"/>
        </w:rPr>
        <w:t xml:space="preserve"> </w:t>
      </w:r>
      <w:r>
        <w:rPr>
          <w:color w:val="auto"/>
        </w:rPr>
        <w:t>See chart below for May 2018.  This was submitted to DOD as well May 2018.</w:t>
      </w:r>
      <w:r>
        <w:rPr>
          <w:b/>
          <w:color w:val="auto"/>
        </w:rPr>
        <w:t xml:space="preserve"> </w:t>
      </w:r>
    </w:p>
    <w:p>
      <w:pPr>
        <w:spacing w:after="12" w:line="248" w:lineRule="auto"/>
        <w:ind w:left="705" w:right="550" w:firstLine="0"/>
        <w:rPr>
          <w:b/>
          <w:color w:val="auto"/>
        </w:rPr>
      </w:pPr>
    </w:p>
    <w:p>
      <w:pPr>
        <w:spacing w:after="12" w:line="248" w:lineRule="auto"/>
        <w:ind w:left="705" w:right="550" w:firstLine="0"/>
        <w:jc w:val="center"/>
        <w:rPr>
          <w:color w:val="auto"/>
        </w:rPr>
      </w:pPr>
      <w:r>
        <w:rPr>
          <w:color w:val="auto"/>
        </w:rPr>
        <w:t>Native Maine Produce</w:t>
      </w:r>
    </w:p>
    <w:p>
      <w:pPr>
        <w:spacing w:after="12" w:line="248" w:lineRule="auto"/>
        <w:ind w:left="705" w:right="550" w:firstLine="0"/>
        <w:jc w:val="center"/>
        <w:rPr>
          <w:color w:val="auto"/>
        </w:rPr>
      </w:pPr>
      <w:r>
        <w:rPr>
          <w:color w:val="auto"/>
        </w:rPr>
        <w:t>May 2018</w:t>
      </w:r>
    </w:p>
    <w:p>
      <w:pPr>
        <w:spacing w:after="12" w:line="248" w:lineRule="auto"/>
        <w:ind w:left="705" w:right="550" w:firstLine="0"/>
        <w:rPr>
          <w:b/>
          <w:color w:val="auto"/>
        </w:rPr>
      </w:pPr>
    </w:p>
    <w:tbl>
      <w:tblPr>
        <w:tblStyle w:val="TableGrid1"/>
        <w:tblW w:w="8208" w:type="dxa"/>
        <w:tblInd w:w="1364" w:type="dxa"/>
        <w:tblLook w:val="04A0" w:firstRow="1" w:lastRow="0" w:firstColumn="1" w:lastColumn="0" w:noHBand="0" w:noVBand="1"/>
      </w:tblPr>
      <w:tblGrid>
        <w:gridCol w:w="2163"/>
        <w:gridCol w:w="825"/>
        <w:gridCol w:w="1260"/>
        <w:gridCol w:w="2070"/>
        <w:gridCol w:w="1890"/>
      </w:tblGrid>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Item</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Size</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DOD price</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Native Maine price</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 Increase</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p>
        </w:tc>
        <w:tc>
          <w:tcPr>
            <w:tcW w:w="825" w:type="dxa"/>
            <w:tcBorders>
              <w:left w:val="nil"/>
            </w:tcBorders>
          </w:tcPr>
          <w:p>
            <w:pPr>
              <w:spacing w:after="0" w:line="240" w:lineRule="auto"/>
              <w:ind w:left="0" w:firstLine="0"/>
              <w:rPr>
                <w:rFonts w:ascii="Calibri" w:eastAsia="Calibri" w:hAnsi="Calibri"/>
                <w:color w:val="auto"/>
                <w:sz w:val="22"/>
              </w:rPr>
            </w:pPr>
          </w:p>
        </w:tc>
        <w:tc>
          <w:tcPr>
            <w:tcW w:w="1260" w:type="dxa"/>
          </w:tcPr>
          <w:p>
            <w:pPr>
              <w:spacing w:after="0" w:line="240" w:lineRule="auto"/>
              <w:ind w:left="0" w:firstLine="0"/>
              <w:rPr>
                <w:rFonts w:ascii="Calibri" w:eastAsia="Calibri" w:hAnsi="Calibri"/>
                <w:color w:val="auto"/>
                <w:sz w:val="22"/>
              </w:rPr>
            </w:pPr>
          </w:p>
        </w:tc>
        <w:tc>
          <w:tcPr>
            <w:tcW w:w="2070" w:type="dxa"/>
            <w:tcBorders>
              <w:right w:val="nil"/>
            </w:tcBorders>
          </w:tcPr>
          <w:p>
            <w:pPr>
              <w:spacing w:after="0" w:line="240" w:lineRule="auto"/>
              <w:ind w:left="0" w:firstLine="0"/>
              <w:rPr>
                <w:rFonts w:ascii="Calibri" w:eastAsia="Calibri" w:hAnsi="Calibri"/>
                <w:color w:val="auto"/>
                <w:sz w:val="22"/>
              </w:rPr>
            </w:pP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Strawberry clamshell</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8/1lb</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$25.13</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$21.80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15.28%</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Tomato, Grape</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12/1pt</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$23.60</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$19.80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19.19%</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Apples, Red Delicious</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40lb</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$33.29</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$28.80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15.59%</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Butternut Squash</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20lb</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$36.24</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$35.80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1.23%</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Romaine Lettuce</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6/2lb</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$28.19</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$18.90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49.15%</w:t>
            </w:r>
          </w:p>
        </w:tc>
      </w:tr>
      <w:tr>
        <w:tc>
          <w:tcPr>
            <w:tcW w:w="2163" w:type="dxa"/>
            <w:tcBorders>
              <w:top w:val="nil"/>
              <w:left w:val="nil"/>
              <w:bottom w:val="nil"/>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Oranges</w:t>
            </w:r>
          </w:p>
        </w:tc>
        <w:tc>
          <w:tcPr>
            <w:tcW w:w="825" w:type="dxa"/>
            <w:tcBorders>
              <w:lef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113ct</w:t>
            </w:r>
          </w:p>
        </w:tc>
        <w:tc>
          <w:tcPr>
            <w:tcW w:w="1260" w:type="dxa"/>
          </w:tcPr>
          <w:p>
            <w:pPr>
              <w:spacing w:after="0" w:line="240" w:lineRule="auto"/>
              <w:ind w:left="0" w:firstLine="0"/>
              <w:rPr>
                <w:rFonts w:ascii="Calibri" w:eastAsia="Calibri" w:hAnsi="Calibri"/>
                <w:color w:val="auto"/>
                <w:sz w:val="22"/>
              </w:rPr>
            </w:pPr>
            <w:r>
              <w:rPr>
                <w:rFonts w:ascii="Calibri" w:eastAsia="Calibri" w:hAnsi="Calibri"/>
                <w:color w:val="auto"/>
                <w:sz w:val="22"/>
              </w:rPr>
              <w:t>$44.51</w:t>
            </w:r>
          </w:p>
        </w:tc>
        <w:tc>
          <w:tcPr>
            <w:tcW w:w="2070" w:type="dxa"/>
            <w:tcBorders>
              <w:right w:val="nil"/>
            </w:tcBorders>
          </w:tcPr>
          <w:p>
            <w:pPr>
              <w:spacing w:after="0" w:line="240" w:lineRule="auto"/>
              <w:ind w:left="0" w:firstLine="0"/>
              <w:rPr>
                <w:rFonts w:ascii="Calibri" w:eastAsia="Calibri" w:hAnsi="Calibri"/>
                <w:color w:val="auto"/>
                <w:sz w:val="22"/>
              </w:rPr>
            </w:pPr>
            <w:r>
              <w:rPr>
                <w:rFonts w:ascii="Calibri" w:eastAsia="Calibri" w:hAnsi="Calibri"/>
                <w:color w:val="auto"/>
                <w:sz w:val="22"/>
              </w:rPr>
              <w:t>$38.80</w:t>
            </w: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r>
              <w:rPr>
                <w:rFonts w:ascii="Calibri" w:eastAsia="Calibri" w:hAnsi="Calibri"/>
                <w:color w:val="auto"/>
                <w:sz w:val="22"/>
              </w:rPr>
              <w:t xml:space="preserve">        14.72%</w:t>
            </w:r>
          </w:p>
        </w:tc>
      </w:tr>
      <w:tr>
        <w:tc>
          <w:tcPr>
            <w:tcW w:w="2163" w:type="dxa"/>
            <w:tcBorders>
              <w:top w:val="nil"/>
              <w:left w:val="nil"/>
              <w:bottom w:val="nil"/>
              <w:right w:val="nil"/>
            </w:tcBorders>
          </w:tcPr>
          <w:p>
            <w:pPr>
              <w:spacing w:after="0" w:line="240" w:lineRule="auto"/>
              <w:ind w:left="0" w:firstLine="0"/>
              <w:jc w:val="center"/>
              <w:rPr>
                <w:rFonts w:ascii="Calibri" w:eastAsia="Calibri" w:hAnsi="Calibri"/>
                <w:color w:val="auto"/>
                <w:sz w:val="22"/>
              </w:rPr>
            </w:pPr>
          </w:p>
          <w:p>
            <w:pPr>
              <w:spacing w:after="0" w:line="240" w:lineRule="auto"/>
              <w:ind w:left="0" w:firstLine="0"/>
              <w:jc w:val="center"/>
              <w:rPr>
                <w:rFonts w:ascii="Calibri" w:eastAsia="Calibri" w:hAnsi="Calibri"/>
                <w:color w:val="auto"/>
                <w:sz w:val="22"/>
              </w:rPr>
            </w:pPr>
            <w:r>
              <w:rPr>
                <w:rFonts w:ascii="Calibri" w:eastAsia="Calibri" w:hAnsi="Calibri"/>
                <w:color w:val="auto"/>
                <w:sz w:val="22"/>
              </w:rPr>
              <w:t>Average Increase</w:t>
            </w:r>
          </w:p>
        </w:tc>
        <w:tc>
          <w:tcPr>
            <w:tcW w:w="825" w:type="dxa"/>
            <w:tcBorders>
              <w:left w:val="nil"/>
            </w:tcBorders>
          </w:tcPr>
          <w:p>
            <w:pPr>
              <w:spacing w:after="0" w:line="240" w:lineRule="auto"/>
              <w:ind w:left="0" w:firstLine="0"/>
              <w:rPr>
                <w:rFonts w:ascii="Calibri" w:eastAsia="Calibri" w:hAnsi="Calibri"/>
                <w:color w:val="auto"/>
                <w:sz w:val="22"/>
              </w:rPr>
            </w:pPr>
          </w:p>
        </w:tc>
        <w:tc>
          <w:tcPr>
            <w:tcW w:w="1260" w:type="dxa"/>
          </w:tcPr>
          <w:p>
            <w:pPr>
              <w:spacing w:after="0" w:line="240" w:lineRule="auto"/>
              <w:ind w:left="0" w:firstLine="0"/>
              <w:rPr>
                <w:rFonts w:ascii="Calibri" w:eastAsia="Calibri" w:hAnsi="Calibri"/>
                <w:color w:val="auto"/>
                <w:sz w:val="22"/>
              </w:rPr>
            </w:pPr>
          </w:p>
        </w:tc>
        <w:tc>
          <w:tcPr>
            <w:tcW w:w="2070" w:type="dxa"/>
            <w:tcBorders>
              <w:right w:val="nil"/>
            </w:tcBorders>
          </w:tcPr>
          <w:p>
            <w:pPr>
              <w:spacing w:after="0" w:line="240" w:lineRule="auto"/>
              <w:ind w:left="0" w:firstLine="0"/>
              <w:rPr>
                <w:rFonts w:ascii="Calibri" w:eastAsia="Calibri" w:hAnsi="Calibri"/>
                <w:color w:val="auto"/>
                <w:sz w:val="22"/>
              </w:rPr>
            </w:pPr>
          </w:p>
        </w:tc>
        <w:tc>
          <w:tcPr>
            <w:tcW w:w="1890" w:type="dxa"/>
            <w:tcBorders>
              <w:top w:val="nil"/>
              <w:left w:val="nil"/>
              <w:bottom w:val="nil"/>
              <w:right w:val="nil"/>
            </w:tcBorders>
            <w:shd w:val="clear" w:color="auto" w:fill="auto"/>
          </w:tcPr>
          <w:p>
            <w:pPr>
              <w:spacing w:after="0" w:line="240" w:lineRule="auto"/>
              <w:ind w:left="0" w:firstLine="0"/>
              <w:rPr>
                <w:rFonts w:ascii="Calibri" w:eastAsia="Calibri" w:hAnsi="Calibri"/>
                <w:color w:val="auto"/>
                <w:sz w:val="22"/>
              </w:rPr>
            </w:pPr>
          </w:p>
          <w:p>
            <w:pPr>
              <w:spacing w:after="0" w:line="240" w:lineRule="auto"/>
              <w:ind w:left="0" w:firstLine="0"/>
              <w:rPr>
                <w:rFonts w:ascii="Calibri" w:eastAsia="Calibri" w:hAnsi="Calibri"/>
                <w:b/>
                <w:color w:val="auto"/>
                <w:sz w:val="22"/>
              </w:rPr>
            </w:pPr>
            <w:r>
              <w:rPr>
                <w:rFonts w:ascii="Calibri" w:eastAsia="Calibri" w:hAnsi="Calibri"/>
                <w:color w:val="auto"/>
                <w:sz w:val="22"/>
              </w:rPr>
              <w:t xml:space="preserve">         </w:t>
            </w:r>
            <w:r>
              <w:rPr>
                <w:rFonts w:ascii="Calibri" w:eastAsia="Calibri" w:hAnsi="Calibri"/>
                <w:b/>
                <w:color w:val="auto"/>
                <w:sz w:val="22"/>
              </w:rPr>
              <w:t>16.51%</w:t>
            </w:r>
          </w:p>
        </w:tc>
      </w:tr>
    </w:tbl>
    <w:p>
      <w:pPr>
        <w:spacing w:after="200" w:line="276" w:lineRule="auto"/>
        <w:ind w:left="0" w:firstLine="0"/>
        <w:rPr>
          <w:rFonts w:ascii="Calibri" w:eastAsia="Calibri" w:hAnsi="Calibri"/>
          <w:color w:val="auto"/>
          <w:sz w:val="22"/>
        </w:rPr>
      </w:pPr>
    </w:p>
    <w:p>
      <w:pPr>
        <w:spacing w:after="12" w:line="248" w:lineRule="auto"/>
        <w:ind w:left="705" w:right="550" w:firstLine="0"/>
        <w:rPr>
          <w:b/>
          <w:color w:val="auto"/>
        </w:rPr>
      </w:pPr>
    </w:p>
    <w:p>
      <w:pPr>
        <w:spacing w:after="12" w:line="248" w:lineRule="auto"/>
        <w:ind w:left="705" w:right="550" w:firstLine="0"/>
        <w:rPr>
          <w:color w:val="auto"/>
        </w:rPr>
      </w:pPr>
    </w:p>
    <w:p>
      <w:pPr>
        <w:spacing w:after="12" w:line="248" w:lineRule="auto"/>
        <w:ind w:left="705" w:right="550" w:firstLine="0"/>
        <w:rPr>
          <w:color w:val="auto"/>
        </w:rPr>
      </w:pPr>
      <w:r>
        <w:rPr>
          <w:color w:val="auto"/>
        </w:rPr>
        <w:lastRenderedPageBreak/>
        <w:t>In support of our Maine and Northeast farmers, adhering to Federal regulations on purchasing and in good fiscal money management we are asking that the money we set aside from their entitlement for DOD for cash currently would be transferred to the state agency to be used for fresh produce purchases.  The State agency would reimburse the district for the purchase of these products monthly.  Districts would have an account with the amount of money set aside for fresh products managed by the State Agency.</w:t>
      </w:r>
    </w:p>
    <w:p>
      <w:pPr>
        <w:spacing w:after="12" w:line="248" w:lineRule="auto"/>
        <w:ind w:left="705" w:right="550" w:firstLine="0"/>
        <w:rPr>
          <w:color w:val="auto"/>
        </w:rPr>
      </w:pPr>
    </w:p>
    <w:p>
      <w:pPr>
        <w:spacing w:after="12" w:line="248" w:lineRule="auto"/>
        <w:ind w:left="705" w:right="550" w:firstLine="0"/>
        <w:rPr>
          <w:color w:val="auto"/>
        </w:rPr>
      </w:pPr>
      <w:r>
        <w:rPr>
          <w:color w:val="auto"/>
        </w:rPr>
        <w:t>The procedure we are considering would be:</w:t>
      </w:r>
    </w:p>
    <w:tbl>
      <w:tblPr>
        <w:tblStyle w:val="TableGrid0"/>
        <w:tblW w:w="0" w:type="auto"/>
        <w:tblInd w:w="-275" w:type="dxa"/>
        <w:tblLook w:val="04A0" w:firstRow="1" w:lastRow="0" w:firstColumn="1" w:lastColumn="0" w:noHBand="0" w:noVBand="1"/>
      </w:tblPr>
      <w:tblGrid>
        <w:gridCol w:w="4770"/>
        <w:gridCol w:w="2137"/>
        <w:gridCol w:w="2934"/>
      </w:tblGrid>
      <w:tr>
        <w:tc>
          <w:tcPr>
            <w:tcW w:w="4770" w:type="dxa"/>
          </w:tcPr>
          <w:p>
            <w:pPr>
              <w:spacing w:after="12" w:line="248" w:lineRule="auto"/>
              <w:ind w:left="0" w:right="550" w:firstLine="0"/>
              <w:rPr>
                <w:color w:val="auto"/>
              </w:rPr>
            </w:pPr>
            <w:r>
              <w:rPr>
                <w:color w:val="auto"/>
              </w:rPr>
              <w:t>step</w:t>
            </w:r>
          </w:p>
        </w:tc>
        <w:tc>
          <w:tcPr>
            <w:tcW w:w="2137" w:type="dxa"/>
          </w:tcPr>
          <w:p>
            <w:pPr>
              <w:spacing w:after="12" w:line="248" w:lineRule="auto"/>
              <w:ind w:left="0" w:right="550" w:firstLine="0"/>
              <w:rPr>
                <w:color w:val="auto"/>
              </w:rPr>
            </w:pPr>
            <w:r>
              <w:rPr>
                <w:color w:val="auto"/>
              </w:rPr>
              <w:t>responsible</w:t>
            </w:r>
          </w:p>
        </w:tc>
        <w:tc>
          <w:tcPr>
            <w:tcW w:w="2934" w:type="dxa"/>
          </w:tcPr>
          <w:p>
            <w:pPr>
              <w:spacing w:after="12" w:line="248" w:lineRule="auto"/>
              <w:ind w:left="0" w:right="550" w:firstLine="0"/>
              <w:rPr>
                <w:color w:val="auto"/>
              </w:rPr>
            </w:pPr>
            <w:r>
              <w:rPr>
                <w:color w:val="auto"/>
              </w:rPr>
              <w:t>New or existing</w:t>
            </w:r>
          </w:p>
        </w:tc>
      </w:tr>
      <w:tr>
        <w:tc>
          <w:tcPr>
            <w:tcW w:w="4770" w:type="dxa"/>
          </w:tcPr>
          <w:p>
            <w:pPr>
              <w:spacing w:after="12" w:line="248" w:lineRule="auto"/>
              <w:ind w:left="0" w:right="550" w:firstLine="0"/>
              <w:rPr>
                <w:color w:val="auto"/>
              </w:rPr>
            </w:pPr>
            <w:r>
              <w:rPr>
                <w:color w:val="auto"/>
              </w:rPr>
              <w:t>SFA would indicate on annual order amount of dollars</w:t>
            </w:r>
          </w:p>
        </w:tc>
        <w:tc>
          <w:tcPr>
            <w:tcW w:w="2137" w:type="dxa"/>
          </w:tcPr>
          <w:p>
            <w:pPr>
              <w:spacing w:after="12" w:line="248" w:lineRule="auto"/>
              <w:ind w:left="0" w:right="550" w:firstLine="0"/>
              <w:rPr>
                <w:color w:val="auto"/>
              </w:rPr>
            </w:pPr>
            <w:r>
              <w:rPr>
                <w:color w:val="auto"/>
              </w:rPr>
              <w:t>SFA</w:t>
            </w:r>
          </w:p>
        </w:tc>
        <w:tc>
          <w:tcPr>
            <w:tcW w:w="2934" w:type="dxa"/>
          </w:tcPr>
          <w:p>
            <w:pPr>
              <w:spacing w:after="12" w:line="248" w:lineRule="auto"/>
              <w:ind w:left="0" w:right="550" w:firstLine="0"/>
              <w:rPr>
                <w:color w:val="auto"/>
              </w:rPr>
            </w:pPr>
            <w:r>
              <w:rPr>
                <w:color w:val="auto"/>
              </w:rPr>
              <w:t>Existing</w:t>
            </w:r>
          </w:p>
        </w:tc>
      </w:tr>
      <w:tr>
        <w:tc>
          <w:tcPr>
            <w:tcW w:w="4770" w:type="dxa"/>
          </w:tcPr>
          <w:p>
            <w:pPr>
              <w:spacing w:after="12" w:line="248" w:lineRule="auto"/>
              <w:ind w:left="0" w:right="550" w:firstLine="0"/>
              <w:rPr>
                <w:color w:val="auto"/>
              </w:rPr>
            </w:pPr>
            <w:r>
              <w:rPr>
                <w:color w:val="auto"/>
              </w:rPr>
              <w:t>Submit amount to USDA</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r>
              <w:rPr>
                <w:color w:val="auto"/>
              </w:rPr>
              <w:t>existing WBSCM</w:t>
            </w:r>
          </w:p>
        </w:tc>
      </w:tr>
      <w:tr>
        <w:tc>
          <w:tcPr>
            <w:tcW w:w="4770" w:type="dxa"/>
          </w:tcPr>
          <w:p>
            <w:pPr>
              <w:spacing w:after="12" w:line="248" w:lineRule="auto"/>
              <w:ind w:left="0" w:right="550" w:firstLine="0"/>
              <w:rPr>
                <w:color w:val="auto"/>
              </w:rPr>
            </w:pPr>
            <w:r>
              <w:rPr>
                <w:color w:val="auto"/>
              </w:rPr>
              <w:t>SA creates accounts for districts of dollar amount requested</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r>
              <w:rPr>
                <w:color w:val="auto"/>
              </w:rPr>
              <w:t>New</w:t>
            </w:r>
          </w:p>
        </w:tc>
      </w:tr>
      <w:tr>
        <w:tc>
          <w:tcPr>
            <w:tcW w:w="4770" w:type="dxa"/>
          </w:tcPr>
          <w:p>
            <w:pPr>
              <w:spacing w:after="12" w:line="248" w:lineRule="auto"/>
              <w:ind w:left="0" w:right="550" w:firstLine="0"/>
              <w:rPr>
                <w:color w:val="auto"/>
              </w:rPr>
            </w:pPr>
            <w:r>
              <w:rPr>
                <w:color w:val="auto"/>
              </w:rPr>
              <w:t>SFA would order product from local vendor or distributor.</w:t>
            </w:r>
          </w:p>
        </w:tc>
        <w:tc>
          <w:tcPr>
            <w:tcW w:w="2137" w:type="dxa"/>
          </w:tcPr>
          <w:p>
            <w:pPr>
              <w:spacing w:after="12" w:line="248" w:lineRule="auto"/>
              <w:ind w:left="0" w:right="550" w:firstLine="0"/>
              <w:rPr>
                <w:color w:val="auto"/>
              </w:rPr>
            </w:pPr>
            <w:r>
              <w:rPr>
                <w:color w:val="auto"/>
              </w:rPr>
              <w:t>SFA</w:t>
            </w:r>
          </w:p>
        </w:tc>
        <w:tc>
          <w:tcPr>
            <w:tcW w:w="2934" w:type="dxa"/>
          </w:tcPr>
          <w:p>
            <w:pPr>
              <w:spacing w:after="12" w:line="248" w:lineRule="auto"/>
              <w:ind w:left="0" w:right="550" w:firstLine="0"/>
              <w:rPr>
                <w:color w:val="auto"/>
              </w:rPr>
            </w:pPr>
            <w:r>
              <w:rPr>
                <w:color w:val="auto"/>
              </w:rPr>
              <w:t>Existing</w:t>
            </w:r>
          </w:p>
        </w:tc>
      </w:tr>
      <w:tr>
        <w:tc>
          <w:tcPr>
            <w:tcW w:w="4770" w:type="dxa"/>
          </w:tcPr>
          <w:p>
            <w:pPr>
              <w:spacing w:after="12" w:line="248" w:lineRule="auto"/>
              <w:ind w:left="0" w:right="550" w:firstLine="0"/>
              <w:rPr>
                <w:color w:val="auto"/>
              </w:rPr>
            </w:pPr>
            <w:r>
              <w:rPr>
                <w:color w:val="auto"/>
              </w:rPr>
              <w:t>SFA submits bill for reimbursement</w:t>
            </w:r>
          </w:p>
        </w:tc>
        <w:tc>
          <w:tcPr>
            <w:tcW w:w="2137" w:type="dxa"/>
          </w:tcPr>
          <w:p>
            <w:pPr>
              <w:spacing w:after="12" w:line="248" w:lineRule="auto"/>
              <w:ind w:left="0" w:right="550" w:firstLine="0"/>
              <w:rPr>
                <w:color w:val="auto"/>
              </w:rPr>
            </w:pPr>
            <w:r>
              <w:rPr>
                <w:color w:val="auto"/>
              </w:rPr>
              <w:t>SFA</w:t>
            </w:r>
          </w:p>
        </w:tc>
        <w:tc>
          <w:tcPr>
            <w:tcW w:w="2934" w:type="dxa"/>
          </w:tcPr>
          <w:p>
            <w:pPr>
              <w:spacing w:after="12" w:line="248" w:lineRule="auto"/>
              <w:ind w:left="0" w:right="550" w:firstLine="0"/>
              <w:rPr>
                <w:color w:val="auto"/>
              </w:rPr>
            </w:pPr>
            <w:r>
              <w:rPr>
                <w:color w:val="auto"/>
              </w:rPr>
              <w:t>New</w:t>
            </w:r>
          </w:p>
        </w:tc>
      </w:tr>
      <w:tr>
        <w:tc>
          <w:tcPr>
            <w:tcW w:w="4770" w:type="dxa"/>
          </w:tcPr>
          <w:p>
            <w:pPr>
              <w:spacing w:after="12" w:line="248" w:lineRule="auto"/>
              <w:ind w:left="0" w:right="550" w:firstLine="0"/>
              <w:rPr>
                <w:color w:val="auto"/>
              </w:rPr>
            </w:pPr>
            <w:r>
              <w:rPr>
                <w:color w:val="auto"/>
              </w:rPr>
              <w:t>SA approves reimbursement request</w:t>
            </w:r>
          </w:p>
        </w:tc>
        <w:tc>
          <w:tcPr>
            <w:tcW w:w="2137" w:type="dxa"/>
          </w:tcPr>
          <w:p>
            <w:pPr>
              <w:spacing w:after="12" w:line="248" w:lineRule="auto"/>
              <w:ind w:left="0" w:right="550" w:firstLine="0"/>
              <w:rPr>
                <w:color w:val="auto"/>
              </w:rPr>
            </w:pPr>
          </w:p>
        </w:tc>
        <w:tc>
          <w:tcPr>
            <w:tcW w:w="2934" w:type="dxa"/>
          </w:tcPr>
          <w:p>
            <w:pPr>
              <w:spacing w:after="12" w:line="248" w:lineRule="auto"/>
              <w:ind w:left="0" w:right="550" w:firstLine="0"/>
              <w:rPr>
                <w:color w:val="auto"/>
              </w:rPr>
            </w:pPr>
            <w:r>
              <w:rPr>
                <w:color w:val="auto"/>
              </w:rPr>
              <w:t>Existing</w:t>
            </w:r>
          </w:p>
        </w:tc>
      </w:tr>
      <w:tr>
        <w:tc>
          <w:tcPr>
            <w:tcW w:w="4770" w:type="dxa"/>
          </w:tcPr>
          <w:p>
            <w:pPr>
              <w:spacing w:after="12" w:line="248" w:lineRule="auto"/>
              <w:ind w:left="0" w:right="550" w:firstLine="0"/>
              <w:rPr>
                <w:color w:val="auto"/>
              </w:rPr>
            </w:pPr>
            <w:r>
              <w:rPr>
                <w:color w:val="auto"/>
              </w:rPr>
              <w:t xml:space="preserve">SA draws money down from USDA </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r>
              <w:rPr>
                <w:color w:val="auto"/>
              </w:rPr>
              <w:t>New</w:t>
            </w:r>
          </w:p>
        </w:tc>
      </w:tr>
      <w:tr>
        <w:tc>
          <w:tcPr>
            <w:tcW w:w="4770" w:type="dxa"/>
          </w:tcPr>
          <w:p>
            <w:pPr>
              <w:spacing w:after="12" w:line="248" w:lineRule="auto"/>
              <w:ind w:left="0" w:right="550" w:firstLine="0"/>
              <w:rPr>
                <w:color w:val="auto"/>
              </w:rPr>
            </w:pPr>
            <w:r>
              <w:rPr>
                <w:color w:val="auto"/>
              </w:rPr>
              <w:t>SA pays local district</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r>
              <w:rPr>
                <w:color w:val="auto"/>
              </w:rPr>
              <w:t>Existing</w:t>
            </w:r>
          </w:p>
        </w:tc>
      </w:tr>
      <w:tr>
        <w:tc>
          <w:tcPr>
            <w:tcW w:w="4770" w:type="dxa"/>
          </w:tcPr>
          <w:p>
            <w:pPr>
              <w:spacing w:after="12" w:line="248" w:lineRule="auto"/>
              <w:ind w:left="0" w:right="550" w:firstLine="0"/>
              <w:rPr>
                <w:color w:val="auto"/>
              </w:rPr>
            </w:pPr>
            <w:r>
              <w:rPr>
                <w:color w:val="auto"/>
              </w:rPr>
              <w:t>SA monitors the SFA account</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r>
              <w:rPr>
                <w:color w:val="auto"/>
              </w:rPr>
              <w:t>New</w:t>
            </w:r>
          </w:p>
        </w:tc>
      </w:tr>
      <w:tr>
        <w:tc>
          <w:tcPr>
            <w:tcW w:w="4770" w:type="dxa"/>
          </w:tcPr>
          <w:p>
            <w:pPr>
              <w:spacing w:after="12" w:line="248" w:lineRule="auto"/>
              <w:ind w:left="0" w:right="550" w:firstLine="0"/>
              <w:rPr>
                <w:color w:val="auto"/>
              </w:rPr>
            </w:pPr>
            <w:r>
              <w:rPr>
                <w:color w:val="auto"/>
              </w:rPr>
              <w:t xml:space="preserve">SA will include monitoring with the Administrative reviews. </w:t>
            </w:r>
          </w:p>
        </w:tc>
        <w:tc>
          <w:tcPr>
            <w:tcW w:w="2137" w:type="dxa"/>
          </w:tcPr>
          <w:p>
            <w:pPr>
              <w:spacing w:after="12" w:line="248" w:lineRule="auto"/>
              <w:ind w:left="0" w:right="550" w:firstLine="0"/>
              <w:rPr>
                <w:color w:val="auto"/>
              </w:rPr>
            </w:pPr>
            <w:r>
              <w:rPr>
                <w:color w:val="auto"/>
              </w:rPr>
              <w:t>SA</w:t>
            </w:r>
          </w:p>
        </w:tc>
        <w:tc>
          <w:tcPr>
            <w:tcW w:w="2934" w:type="dxa"/>
          </w:tcPr>
          <w:p>
            <w:pPr>
              <w:spacing w:after="12" w:line="248" w:lineRule="auto"/>
              <w:ind w:left="0" w:right="550" w:firstLine="0"/>
              <w:rPr>
                <w:color w:val="auto"/>
              </w:rPr>
            </w:pPr>
          </w:p>
        </w:tc>
      </w:tr>
    </w:tbl>
    <w:p>
      <w:pPr>
        <w:spacing w:after="12" w:line="248" w:lineRule="auto"/>
        <w:ind w:left="705" w:right="550" w:firstLine="0"/>
        <w:rPr>
          <w:color w:val="auto"/>
        </w:rPr>
      </w:pPr>
    </w:p>
    <w:p>
      <w:pPr>
        <w:spacing w:after="12" w:line="248" w:lineRule="auto"/>
        <w:ind w:left="705" w:right="550" w:firstLine="0"/>
        <w:rPr>
          <w:color w:val="auto"/>
        </w:rPr>
      </w:pPr>
    </w:p>
    <w:p>
      <w:pPr>
        <w:spacing w:after="333" w:line="259" w:lineRule="auto"/>
        <w:ind w:left="360" w:firstLine="0"/>
      </w:pPr>
      <w:r>
        <w:t xml:space="preserve">Maine has contacted USDA and DOD about the price difference.  We have submitted documentation last school year and have heard nothing back.  </w:t>
      </w:r>
    </w:p>
    <w:p>
      <w:pPr>
        <w:spacing w:after="333" w:line="259" w:lineRule="auto"/>
        <w:ind w:left="360" w:firstLine="0"/>
      </w:pPr>
      <w:r>
        <w:t xml:space="preserve">Training local staff will be first but not a major barrier considering this is very similar to what we do now with the Maine Produce fund created by Maine law.  The district would have to pay and then submit for reimbursement for the product.  Procedures will need to be created and formalized for a consistent regulatory compliance.  The above chart would be a guide for this.   Purchase would be limited to fresh produce and could be purchased from producers, produce distributor or broad line distributors.  </w:t>
      </w:r>
    </w:p>
    <w:p>
      <w:pPr>
        <w:spacing w:after="333" w:line="259" w:lineRule="auto"/>
        <w:ind w:left="360" w:firstLine="0"/>
      </w:pPr>
      <w:r>
        <w:t xml:space="preserve">No cost increase other then labor to meet draw down requests, monitoring and site reviewing.  The project could start as early as 9/2020 with USDA wavier approval.  </w:t>
      </w:r>
    </w:p>
    <w:p>
      <w:pPr>
        <w:spacing w:after="333" w:line="259" w:lineRule="auto"/>
        <w:ind w:left="360" w:firstLine="0"/>
      </w:pPr>
      <w:r>
        <w:t xml:space="preserve">Link to or a copy of the public notice informing the public about the proposed waiver [Section 12(l)(1)(A)(ii) of the NSLA]: We have met with a small group to represent the local districts to discuss possibilities and this was the outcome.  </w:t>
      </w:r>
    </w:p>
    <w:p>
      <w:pPr>
        <w:spacing w:after="0" w:line="259" w:lineRule="auto"/>
        <w:ind w:left="360" w:firstLine="0"/>
      </w:pPr>
      <w:r>
        <w:rPr>
          <w:b/>
        </w:rPr>
        <w:t xml:space="preserve"> </w:t>
      </w:r>
    </w:p>
    <w:p>
      <w:pPr>
        <w:spacing w:after="12" w:line="248" w:lineRule="auto"/>
        <w:ind w:left="705" w:right="550" w:firstLine="0"/>
      </w:pPr>
      <w:r>
        <w:rPr>
          <w:b/>
        </w:rPr>
        <w:t xml:space="preserve">Signature and title of requesting official:  </w:t>
      </w:r>
    </w:p>
    <w:p>
      <w:pPr>
        <w:spacing w:after="0" w:line="259" w:lineRule="auto"/>
        <w:ind w:left="360" w:firstLine="0"/>
      </w:pPr>
      <w:r>
        <w:rPr>
          <w:rFonts w:ascii="Arial" w:eastAsia="Arial" w:hAnsi="Arial" w:cs="Arial"/>
          <w:b/>
          <w:sz w:val="22"/>
        </w:rPr>
        <w:t xml:space="preserve"> </w:t>
      </w:r>
    </w:p>
    <w:p>
      <w:pPr>
        <w:spacing w:after="12" w:line="248" w:lineRule="auto"/>
        <w:ind w:left="1181" w:right="550"/>
      </w:pPr>
      <w:r>
        <w:rPr>
          <w:b/>
        </w:rPr>
        <w:lastRenderedPageBreak/>
        <w:t xml:space="preserve">________________________________________________________ </w:t>
      </w:r>
    </w:p>
    <w:p>
      <w:pPr>
        <w:spacing w:after="33"/>
        <w:ind w:left="1181"/>
      </w:pPr>
      <w:r>
        <w:t xml:space="preserve">Title:  </w:t>
      </w:r>
    </w:p>
    <w:p>
      <w:pPr>
        <w:ind w:left="1181"/>
      </w:pPr>
      <w:r>
        <w:t xml:space="preserve">Requesting official’s email address for transmission of response:  </w:t>
      </w:r>
    </w:p>
    <w:p>
      <w:pPr>
        <w:spacing w:after="0" w:line="259" w:lineRule="auto"/>
        <w:ind w:left="1377" w:firstLine="0"/>
        <w:jc w:val="center"/>
      </w:pPr>
      <w:r>
        <w:rPr>
          <w:b/>
        </w:rPr>
        <w:t xml:space="preserve"> </w:t>
      </w:r>
    </w:p>
    <w:p>
      <w:pPr>
        <w:spacing w:after="12" w:line="248" w:lineRule="auto"/>
        <w:ind w:left="355" w:right="550"/>
      </w:pPr>
      <w:r>
        <w:rPr>
          <w:b/>
        </w:rPr>
        <w:t>TO BE COMPLETED BY FNS REGIONAL OFFICE:</w:t>
      </w:r>
      <w:r>
        <w:rPr>
          <w:i/>
        </w:rPr>
        <w:t xml:space="preserve"> </w:t>
      </w:r>
    </w:p>
    <w:p>
      <w:pPr>
        <w:spacing w:after="0" w:line="259" w:lineRule="auto"/>
        <w:ind w:left="360" w:firstLine="0"/>
      </w:pPr>
      <w:r>
        <w:rPr>
          <w:i/>
        </w:rPr>
        <w:t xml:space="preserve"> </w:t>
      </w:r>
    </w:p>
    <w:p>
      <w:pPr>
        <w:spacing w:after="0" w:line="238" w:lineRule="auto"/>
        <w:ind w:left="360" w:firstLine="0"/>
      </w:pPr>
      <w:r>
        <w:rPr>
          <w:i/>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pPr>
        <w:spacing w:after="0" w:line="259" w:lineRule="auto"/>
        <w:ind w:left="360" w:firstLine="0"/>
      </w:pPr>
      <w:r>
        <w:rPr>
          <w:i/>
        </w:rPr>
        <w:t xml:space="preserve"> </w:t>
      </w:r>
    </w:p>
    <w:p>
      <w:pPr>
        <w:spacing w:after="12" w:line="248" w:lineRule="auto"/>
        <w:ind w:left="355" w:right="550"/>
      </w:pPr>
      <w:r>
        <w:rPr>
          <w:b/>
        </w:rPr>
        <w:t xml:space="preserve">Date request was received at Regional Office:   </w:t>
      </w:r>
    </w:p>
    <w:p>
      <w:pPr>
        <w:spacing w:after="12" w:line="248" w:lineRule="auto"/>
        <w:ind w:left="1080" w:right="550" w:hanging="360"/>
      </w:pPr>
      <w:r>
        <w:rPr>
          <w:rFonts w:ascii="Segoe UI Symbol" w:eastAsia="Segoe UI Symbol" w:hAnsi="Segoe UI Symbol" w:cs="Segoe UI Symbol"/>
        </w:rPr>
        <w:t></w:t>
      </w:r>
      <w:r>
        <w:rPr>
          <w:rFonts w:ascii="Arial" w:eastAsia="Arial" w:hAnsi="Arial" w:cs="Arial"/>
        </w:rPr>
        <w:t xml:space="preserve"> </w:t>
      </w:r>
      <w:r>
        <w:rPr>
          <w:b/>
        </w:rPr>
        <w:t xml:space="preserve">Check this box to confirm that the State agency has provided public notice in accordance with Section 12(l)(1)(A)(ii) of the NSLA </w:t>
      </w:r>
    </w:p>
    <w:p>
      <w:pPr>
        <w:spacing w:after="38" w:line="259" w:lineRule="auto"/>
        <w:ind w:left="1080" w:firstLine="0"/>
      </w:pPr>
      <w:r>
        <w:rPr>
          <w:b/>
        </w:rPr>
        <w:t xml:space="preserve"> </w:t>
      </w:r>
    </w:p>
    <w:p>
      <w:pPr>
        <w:spacing w:after="12" w:line="248" w:lineRule="auto"/>
        <w:ind w:left="355" w:right="550"/>
      </w:pPr>
      <w:r>
        <w:rPr>
          <w:rFonts w:ascii="Segoe UI Symbol" w:eastAsia="Segoe UI Symbol" w:hAnsi="Segoe UI Symbol" w:cs="Segoe UI Symbol"/>
        </w:rPr>
        <w:t></w:t>
      </w:r>
      <w:r>
        <w:rPr>
          <w:rFonts w:ascii="Arial" w:eastAsia="Arial" w:hAnsi="Arial" w:cs="Arial"/>
        </w:rPr>
        <w:t xml:space="preserve"> </w:t>
      </w:r>
      <w:r>
        <w:rPr>
          <w:b/>
        </w:rPr>
        <w:t xml:space="preserve">Regional Office Analysis and Recommendations:   </w:t>
      </w:r>
    </w:p>
    <w:p>
      <w:pPr>
        <w:spacing w:after="0" w:line="259" w:lineRule="auto"/>
        <w:ind w:left="360" w:firstLine="0"/>
      </w:pPr>
      <w:r>
        <w:t xml:space="preserve"> </w:t>
      </w:r>
    </w:p>
    <w:p>
      <w:pPr>
        <w:spacing w:after="2128" w:line="259" w:lineRule="auto"/>
        <w:ind w:left="360" w:firstLine="0"/>
      </w:pPr>
      <w:r>
        <w:t xml:space="preserve"> </w:t>
      </w:r>
    </w:p>
    <w:sectPr>
      <w:headerReference w:type="even" r:id="rId8"/>
      <w:headerReference w:type="default" r:id="rId9"/>
      <w:headerReference w:type="first" r:id="rId10"/>
      <w:pgSz w:w="12240" w:h="15840"/>
      <w:pgMar w:top="722" w:right="1224"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431" w:line="271" w:lineRule="auto"/>
        <w:ind w:left="0" w:firstLine="0"/>
      </w:pPr>
      <w:r>
        <w:separator/>
      </w:r>
    </w:p>
  </w:footnote>
  <w:footnote w:type="continuationSeparator" w:id="0">
    <w:p>
      <w:pPr>
        <w:spacing w:after="431" w:line="271"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B6E"/>
    <w:multiLevelType w:val="hybridMultilevel"/>
    <w:tmpl w:val="34982F04"/>
    <w:lvl w:ilvl="0" w:tplc="2752C15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E9FBC">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03A2E">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E0E3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E5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E1B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688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41B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86B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AF228E"/>
    <w:multiLevelType w:val="hybridMultilevel"/>
    <w:tmpl w:val="2A8CB794"/>
    <w:lvl w:ilvl="0" w:tplc="F5B0E55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548E08DB"/>
    <w:multiLevelType w:val="hybridMultilevel"/>
    <w:tmpl w:val="B720CFA6"/>
    <w:lvl w:ilvl="0" w:tplc="C4349F5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2C2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27E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65D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F8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018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292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230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C46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CB25DC"/>
    <w:multiLevelType w:val="hybridMultilevel"/>
    <w:tmpl w:val="2E7A53E4"/>
    <w:lvl w:ilvl="0" w:tplc="EB5846E4">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4E688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EE7CB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F8E88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923D3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B427F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F8BC2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AF35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54A7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8735FF"/>
    <w:multiLevelType w:val="hybridMultilevel"/>
    <w:tmpl w:val="4D065FEC"/>
    <w:lvl w:ilvl="0" w:tplc="3DC41A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C2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C7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EB4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05F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F25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4DA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23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7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A4076B"/>
    <w:multiLevelType w:val="hybridMultilevel"/>
    <w:tmpl w:val="A90002A8"/>
    <w:lvl w:ilvl="0" w:tplc="2D1E4C2A">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4CA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45F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A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4C5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F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649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EC2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440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EAE1B-0D8E-4E5D-BD05-4F22661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76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table" w:styleId="TableGrid0">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table" w:customStyle="1" w:styleId="TableGrid1">
    <w:name w:val="Table Grid1"/>
    <w:basedOn w:val="TableNormal"/>
    <w:next w:val="TableGrid0"/>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lter.beesley@main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Microsoft Office User</dc:creator>
  <cp:keywords/>
  <cp:lastModifiedBy>Beesley, Walter</cp:lastModifiedBy>
  <cp:revision>11</cp:revision>
  <cp:lastPrinted>2019-03-13T11:59:00Z</cp:lastPrinted>
  <dcterms:created xsi:type="dcterms:W3CDTF">2019-03-12T20:57:00Z</dcterms:created>
  <dcterms:modified xsi:type="dcterms:W3CDTF">2019-03-14T19:58:00Z</dcterms:modified>
</cp:coreProperties>
</file>