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0A3F" w14:textId="3F20279E" w:rsidR="004B6B18" w:rsidRPr="008A7383" w:rsidRDefault="00741F96">
      <w:pPr>
        <w:rPr>
          <w:b/>
          <w:bCs/>
          <w:sz w:val="32"/>
          <w:szCs w:val="32"/>
          <w:u w:val="single"/>
        </w:rPr>
      </w:pPr>
      <w:r w:rsidRPr="008A7383">
        <w:rPr>
          <w:b/>
          <w:bCs/>
          <w:sz w:val="32"/>
          <w:szCs w:val="32"/>
          <w:u w:val="single"/>
        </w:rPr>
        <w:t xml:space="preserve">What </w:t>
      </w:r>
      <w:r w:rsidR="00581500" w:rsidRPr="008A7383">
        <w:rPr>
          <w:b/>
          <w:bCs/>
          <w:sz w:val="32"/>
          <w:szCs w:val="32"/>
          <w:u w:val="single"/>
        </w:rPr>
        <w:t>P</w:t>
      </w:r>
      <w:r w:rsidRPr="008A7383">
        <w:rPr>
          <w:b/>
          <w:bCs/>
          <w:sz w:val="32"/>
          <w:szCs w:val="32"/>
          <w:u w:val="single"/>
        </w:rPr>
        <w:t xml:space="preserve">rogram </w:t>
      </w:r>
      <w:r w:rsidR="00581500" w:rsidRPr="008A7383">
        <w:rPr>
          <w:b/>
          <w:bCs/>
          <w:sz w:val="32"/>
          <w:szCs w:val="32"/>
          <w:u w:val="single"/>
        </w:rPr>
        <w:t>c</w:t>
      </w:r>
      <w:r w:rsidRPr="008A7383">
        <w:rPr>
          <w:b/>
          <w:bCs/>
          <w:sz w:val="32"/>
          <w:szCs w:val="32"/>
          <w:u w:val="single"/>
        </w:rPr>
        <w:t xml:space="preserve">an I </w:t>
      </w:r>
      <w:r w:rsidR="00581500" w:rsidRPr="008A7383">
        <w:rPr>
          <w:b/>
          <w:bCs/>
          <w:sz w:val="32"/>
          <w:szCs w:val="32"/>
          <w:u w:val="single"/>
        </w:rPr>
        <w:t>u</w:t>
      </w:r>
      <w:r w:rsidRPr="008A7383">
        <w:rPr>
          <w:b/>
          <w:bCs/>
          <w:sz w:val="32"/>
          <w:szCs w:val="32"/>
          <w:u w:val="single"/>
        </w:rPr>
        <w:t>se for Serving Meals in the Summer?</w:t>
      </w:r>
    </w:p>
    <w:p w14:paraId="438F09DD" w14:textId="523940FC" w:rsidR="004B6B18" w:rsidRDefault="006E0256">
      <w:r>
        <w:t>Serving options for the Summer include the Summer Food Service Program, the National School Lunch Program Seamless Summer Option, and the National School Lunch Program</w:t>
      </w:r>
      <w:r w:rsidR="0046372F">
        <w:t>.</w:t>
      </w:r>
      <w:r w:rsidR="0046372F">
        <w:rPr>
          <w:vertAlign w:val="superscript"/>
        </w:rPr>
        <w:t>1</w:t>
      </w:r>
      <w:r w:rsidR="00340A4A">
        <w:rPr>
          <w:vertAlign w:val="superscript"/>
        </w:rPr>
        <w:t>, 2, 3</w:t>
      </w:r>
      <w:r w:rsidR="0046372F">
        <w:t xml:space="preserve"> </w:t>
      </w:r>
    </w:p>
    <w:p w14:paraId="617A3DF2" w14:textId="517C80D7" w:rsidR="004B6B18" w:rsidRPr="006E0256" w:rsidRDefault="00006C0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 </w:t>
      </w:r>
      <w:r w:rsidR="006E0256">
        <w:rPr>
          <w:b/>
          <w:bCs/>
        </w:rPr>
        <w:t xml:space="preserve">Summer Food Service Program </w:t>
      </w:r>
    </w:p>
    <w:p w14:paraId="30679491" w14:textId="404AE017" w:rsidR="006E0256" w:rsidRDefault="006E0256" w:rsidP="006E0256">
      <w:pPr>
        <w:pStyle w:val="ListParagraph"/>
        <w:rPr>
          <w:rFonts w:cstheme="minorHAnsi"/>
          <w:color w:val="141414"/>
          <w:shd w:val="clear" w:color="auto" w:fill="FFFFFF"/>
        </w:rPr>
      </w:pPr>
      <w:r w:rsidRPr="006E0256">
        <w:rPr>
          <w:rFonts w:cstheme="minorHAnsi"/>
          <w:color w:val="141414"/>
          <w:shd w:val="clear" w:color="auto" w:fill="FFFFFF"/>
        </w:rPr>
        <w:t>The </w:t>
      </w:r>
      <w:hyperlink r:id="rId11" w:history="1">
        <w:r w:rsidRPr="006E0256">
          <w:rPr>
            <w:rStyle w:val="Hyperlink"/>
            <w:rFonts w:cstheme="minorHAnsi"/>
            <w:color w:val="2A53A6"/>
            <w:shd w:val="clear" w:color="auto" w:fill="FFFFFF"/>
          </w:rPr>
          <w:t>Summer Food Service Program</w:t>
        </w:r>
      </w:hyperlink>
      <w:r w:rsidRPr="006E0256">
        <w:rPr>
          <w:rFonts w:cstheme="minorHAnsi"/>
          <w:color w:val="141414"/>
          <w:shd w:val="clear" w:color="auto" w:fill="FFFFFF"/>
        </w:rPr>
        <w:t xml:space="preserve"> was established to ensure children </w:t>
      </w:r>
      <w:r w:rsidR="00147770">
        <w:rPr>
          <w:rFonts w:cstheme="minorHAnsi"/>
          <w:color w:val="141414"/>
          <w:shd w:val="clear" w:color="auto" w:fill="FFFFFF"/>
        </w:rPr>
        <w:t xml:space="preserve">in eligible areas </w:t>
      </w:r>
      <w:r w:rsidRPr="006E0256">
        <w:rPr>
          <w:rFonts w:cstheme="minorHAnsi"/>
          <w:color w:val="141414"/>
          <w:shd w:val="clear" w:color="auto" w:fill="FFFFFF"/>
        </w:rPr>
        <w:t xml:space="preserve">continue to receive nutritious meals during the summer months when school is not in session. </w:t>
      </w:r>
      <w:r w:rsidR="00147770">
        <w:rPr>
          <w:rFonts w:cstheme="minorHAnsi"/>
          <w:color w:val="141414"/>
          <w:shd w:val="clear" w:color="auto" w:fill="FFFFFF"/>
        </w:rPr>
        <w:t>Complementary</w:t>
      </w:r>
      <w:r w:rsidRPr="006E0256">
        <w:rPr>
          <w:rFonts w:cstheme="minorHAnsi"/>
          <w:color w:val="141414"/>
          <w:shd w:val="clear" w:color="auto" w:fill="FFFFFF"/>
        </w:rPr>
        <w:t xml:space="preserve"> meals that meet the federal nutritional guidelines are provided to all children 18 years old and younger at approved</w:t>
      </w:r>
      <w:r w:rsidR="00650B43">
        <w:rPr>
          <w:rFonts w:cstheme="minorHAnsi"/>
          <w:color w:val="141414"/>
          <w:shd w:val="clear" w:color="auto" w:fill="FFFFFF"/>
        </w:rPr>
        <w:t>, area eligible</w:t>
      </w:r>
      <w:r w:rsidRPr="006E0256">
        <w:rPr>
          <w:rFonts w:cstheme="minorHAnsi"/>
          <w:color w:val="141414"/>
          <w:shd w:val="clear" w:color="auto" w:fill="FFFFFF"/>
        </w:rPr>
        <w:t xml:space="preserve"> SFSP sites.</w:t>
      </w:r>
    </w:p>
    <w:p w14:paraId="5D866B3B" w14:textId="77777777" w:rsidR="0020310A" w:rsidRPr="006E0256" w:rsidRDefault="0020310A" w:rsidP="006E0256">
      <w:pPr>
        <w:pStyle w:val="ListParagraph"/>
        <w:rPr>
          <w:rFonts w:eastAsiaTheme="minorEastAsia" w:cstheme="minorHAnsi"/>
        </w:rPr>
      </w:pPr>
    </w:p>
    <w:p w14:paraId="29A764E0" w14:textId="6BEB3865" w:rsidR="004B6B18" w:rsidRPr="006E0256" w:rsidRDefault="008A738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Site </w:t>
      </w:r>
      <w:r w:rsidR="006E0256">
        <w:t>Eligibility</w:t>
      </w:r>
    </w:p>
    <w:p w14:paraId="0469B758" w14:textId="77777777" w:rsidR="006E0256" w:rsidRPr="006B1660" w:rsidRDefault="006E0256" w:rsidP="006E0256">
      <w:pPr>
        <w:pStyle w:val="ListParagraph"/>
        <w:numPr>
          <w:ilvl w:val="2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The school in the service area is at or above 50% free and reduced eligible based on the ED534 report.</w:t>
      </w:r>
    </w:p>
    <w:p w14:paraId="66AB590C" w14:textId="77777777" w:rsidR="006E0256" w:rsidRPr="006B1660" w:rsidRDefault="006E0256" w:rsidP="006E0256">
      <w:pPr>
        <w:pStyle w:val="ListParagraph"/>
        <w:numPr>
          <w:ilvl w:val="2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If the school is below 50% free and reduced eligible based on the ED534 report, but the site is located in a “pink” census track area according to the USDA map, then the service area qualifies.  USDA map found here: </w:t>
      </w:r>
      <w:hyperlink r:id="rId12" w:history="1">
        <w:r>
          <w:rPr>
            <w:rStyle w:val="Hyperlink"/>
            <w:rFonts w:cstheme="minorHAnsi"/>
          </w:rPr>
          <w:t>https://www.fns.usda.gov/area-eligibility</w:t>
        </w:r>
      </w:hyperlink>
      <w:r>
        <w:rPr>
          <w:rFonts w:cstheme="minorHAnsi"/>
        </w:rPr>
        <w:t>.</w:t>
      </w:r>
    </w:p>
    <w:p w14:paraId="7D536C2B" w14:textId="40824106" w:rsidR="006E0256" w:rsidRPr="00FA3CFA" w:rsidRDefault="006E0256" w:rsidP="006E0256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00F1608F">
        <w:rPr>
          <w:rFonts w:cstheme="minorHAnsi"/>
          <w:shd w:val="clear" w:color="auto" w:fill="FFFFFF"/>
        </w:rPr>
        <w:t xml:space="preserve">CEP: </w:t>
      </w:r>
      <w:r w:rsidRPr="00F1608F">
        <w:rPr>
          <w:rFonts w:cstheme="minorHAnsi"/>
          <w:color w:val="000000"/>
          <w:shd w:val="clear" w:color="auto" w:fill="FFFFFF"/>
        </w:rPr>
        <w:t>Individual school data is obtained by multiplying the most current school-</w:t>
      </w:r>
      <w:r w:rsidRPr="00FA3CFA">
        <w:rPr>
          <w:rFonts w:cstheme="minorHAnsi"/>
          <w:color w:val="000000"/>
          <w:shd w:val="clear" w:color="auto" w:fill="FFFFFF"/>
        </w:rPr>
        <w:t>level identified student percentage by a factor of 1.6</w:t>
      </w:r>
      <w:r w:rsidR="00340A4A" w:rsidRPr="00FA3CFA">
        <w:rPr>
          <w:rFonts w:cstheme="minorHAnsi"/>
          <w:color w:val="000000"/>
          <w:shd w:val="clear" w:color="auto" w:fill="FFFFFF"/>
        </w:rPr>
        <w:t xml:space="preserve">. </w:t>
      </w:r>
    </w:p>
    <w:p w14:paraId="600550BB" w14:textId="24C0C408" w:rsidR="00FA3CFA" w:rsidRPr="00FA3CFA" w:rsidRDefault="00FA3CFA" w:rsidP="00FA3CFA">
      <w:pPr>
        <w:pStyle w:val="ListParagraph"/>
        <w:numPr>
          <w:ilvl w:val="2"/>
          <w:numId w:val="1"/>
        </w:numPr>
        <w:rPr>
          <w:rFonts w:cstheme="minorHAnsi"/>
          <w:b/>
          <w:bCs/>
          <w:color w:val="000000"/>
          <w:shd w:val="clear" w:color="auto" w:fill="FFFFFF"/>
        </w:rPr>
      </w:pPr>
      <w:r w:rsidRPr="00FA3CFA">
        <w:rPr>
          <w:rFonts w:cstheme="minorHAnsi"/>
          <w:color w:val="000000"/>
          <w:shd w:val="clear" w:color="auto" w:fill="FFFFFF"/>
        </w:rPr>
        <w:t xml:space="preserve">The school </w:t>
      </w:r>
      <w:r w:rsidRPr="00FA3CFA">
        <w:rPr>
          <w:rFonts w:cstheme="minorHAnsi"/>
          <w:color w:val="000000"/>
          <w:shd w:val="clear" w:color="auto" w:fill="FFFFFF"/>
        </w:rPr>
        <w:t>qualif</w:t>
      </w:r>
      <w:r w:rsidRPr="00FA3CFA">
        <w:rPr>
          <w:rFonts w:cstheme="minorHAnsi"/>
          <w:color w:val="000000"/>
          <w:shd w:val="clear" w:color="auto" w:fill="FFFFFF"/>
        </w:rPr>
        <w:t>ied for SFSP</w:t>
      </w:r>
      <w:r w:rsidRPr="00FA3CFA">
        <w:rPr>
          <w:rFonts w:cstheme="minorHAnsi"/>
          <w:color w:val="000000"/>
          <w:shd w:val="clear" w:color="auto" w:fill="FFFFFF"/>
        </w:rPr>
        <w:t xml:space="preserve"> without waivers anytime between 2019-2022</w:t>
      </w:r>
    </w:p>
    <w:p w14:paraId="47C5B1AB" w14:textId="77777777" w:rsidR="008A7383" w:rsidRDefault="008A7383" w:rsidP="008A7383">
      <w:pPr>
        <w:pStyle w:val="ListParagraph"/>
        <w:numPr>
          <w:ilvl w:val="2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/>
          <w:u w:val="single"/>
          <w:shd w:val="clear" w:color="auto" w:fill="FFFFFF"/>
        </w:rPr>
        <w:t>Enrolled Sites</w:t>
      </w:r>
      <w:r>
        <w:rPr>
          <w:rFonts w:cstheme="minorHAnsi"/>
          <w:color w:val="000000"/>
          <w:shd w:val="clear" w:color="auto" w:fill="FFFFFF"/>
        </w:rPr>
        <w:t xml:space="preserve">: 50% or more of enrolled children are eligible for free or reduced-price meals, determined by approved application, or operate in an eligible area (academic summer school must be an open site if eligible).  </w:t>
      </w:r>
    </w:p>
    <w:p w14:paraId="063DC3AB" w14:textId="595BEC88" w:rsidR="008A7383" w:rsidRDefault="008A7383" w:rsidP="008A7383">
      <w:pPr>
        <w:pStyle w:val="ListParagraph"/>
        <w:numPr>
          <w:ilvl w:val="2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/>
          <w:u w:val="single"/>
          <w:shd w:val="clear" w:color="auto" w:fill="FFFFFF"/>
        </w:rPr>
        <w:t>Camps</w:t>
      </w:r>
      <w:r>
        <w:rPr>
          <w:rFonts w:cstheme="minorHAnsi"/>
          <w:color w:val="000000"/>
          <w:shd w:val="clear" w:color="auto" w:fill="FFFFFF"/>
        </w:rPr>
        <w:t>: Offer a regularly scheduled food service as part of an organized program for enrolled children.</w:t>
      </w:r>
      <w:r w:rsidR="00EF7B3C">
        <w:rPr>
          <w:rFonts w:cstheme="minorHAnsi"/>
          <w:color w:val="000000"/>
          <w:shd w:val="clear" w:color="auto" w:fill="FFFFFF"/>
        </w:rPr>
        <w:t xml:space="preserve"> </w:t>
      </w:r>
    </w:p>
    <w:p w14:paraId="4D6375F9" w14:textId="6F95DB0C" w:rsidR="008A7383" w:rsidRPr="008A7383" w:rsidRDefault="008A7383" w:rsidP="008A7383">
      <w:pPr>
        <w:pStyle w:val="ListParagraph"/>
        <w:numPr>
          <w:ilvl w:val="2"/>
          <w:numId w:val="1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/>
          <w:u w:val="single"/>
          <w:shd w:val="clear" w:color="auto" w:fill="FFFFFF"/>
        </w:rPr>
        <w:t>Migrant sites</w:t>
      </w:r>
      <w:r>
        <w:rPr>
          <w:rFonts w:cstheme="minorHAnsi"/>
          <w:color w:val="000000"/>
          <w:shd w:val="clear" w:color="auto" w:fill="FFFFFF"/>
        </w:rPr>
        <w:t xml:space="preserve">: Certification by a migrant organization that the sites serve children of migrant farm workers.  </w:t>
      </w:r>
    </w:p>
    <w:p w14:paraId="15D5B7CD" w14:textId="58438C75" w:rsidR="004B6B18" w:rsidRPr="006E0256" w:rsidRDefault="006E025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Reimbursement </w:t>
      </w:r>
    </w:p>
    <w:p w14:paraId="4F60F999" w14:textId="0E307F00" w:rsidR="006E0256" w:rsidRPr="006E0256" w:rsidRDefault="006E0256" w:rsidP="006E0256">
      <w:pPr>
        <w:pStyle w:val="ListParagraph"/>
        <w:numPr>
          <w:ilvl w:val="2"/>
          <w:numId w:val="1"/>
        </w:numPr>
      </w:pPr>
      <w:r w:rsidRPr="006E0256">
        <w:t>All meals served to children 18 and under in eligible areas</w:t>
      </w:r>
      <w:r w:rsidR="00007168">
        <w:t xml:space="preserve"> or at approved sites</w:t>
      </w:r>
      <w:r w:rsidRPr="006E0256">
        <w:t xml:space="preserve"> can be claimed. </w:t>
      </w:r>
      <w:r w:rsidR="00007168">
        <w:t xml:space="preserve">At camps, </w:t>
      </w:r>
      <w:r w:rsidR="00340A4A">
        <w:t xml:space="preserve">free and reduced </w:t>
      </w:r>
      <w:r w:rsidR="00007168">
        <w:t xml:space="preserve">eligible children’s meals can be claimed. </w:t>
      </w:r>
    </w:p>
    <w:p w14:paraId="3FC2FF5F" w14:textId="1383AC1F" w:rsidR="007575BC" w:rsidRPr="007575BC" w:rsidRDefault="007575BC" w:rsidP="007575BC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0"/>
          <w:szCs w:val="20"/>
        </w:rPr>
      </w:pPr>
      <w:r>
        <w:rPr>
          <w:bCs/>
        </w:rPr>
        <w:t>SFSP rates</w:t>
      </w:r>
      <w:r w:rsidR="00650B43">
        <w:rPr>
          <w:bCs/>
        </w:rPr>
        <w:t>:</w:t>
      </w:r>
      <w:r>
        <w:rPr>
          <w:bCs/>
        </w:rPr>
        <w:t xml:space="preserve"> </w:t>
      </w:r>
      <w:hyperlink r:id="rId13" w:history="1">
        <w:r>
          <w:rPr>
            <w:rStyle w:val="Hyperlink"/>
            <w:bCs/>
            <w:sz w:val="20"/>
            <w:szCs w:val="20"/>
          </w:rPr>
          <w:t>https://www.maine.gov/doe/schools/nutrition/programs/sfsp</w:t>
        </w:r>
      </w:hyperlink>
      <w:r>
        <w:rPr>
          <w:bCs/>
          <w:sz w:val="20"/>
          <w:szCs w:val="20"/>
        </w:rPr>
        <w:t xml:space="preserve"> </w:t>
      </w:r>
    </w:p>
    <w:p w14:paraId="4E5690DD" w14:textId="77777777" w:rsidR="00A65745" w:rsidRDefault="006E0256" w:rsidP="00A65745">
      <w:pPr>
        <w:pStyle w:val="ListParagraph"/>
        <w:numPr>
          <w:ilvl w:val="1"/>
          <w:numId w:val="1"/>
        </w:numPr>
      </w:pPr>
      <w:r>
        <w:t>Meal Pattern</w:t>
      </w:r>
    </w:p>
    <w:p w14:paraId="635F403D" w14:textId="4DFE9DA5" w:rsidR="00650B43" w:rsidRPr="00A65745" w:rsidRDefault="00EE631E" w:rsidP="00650B43">
      <w:pPr>
        <w:pStyle w:val="ListParagraph"/>
        <w:numPr>
          <w:ilvl w:val="2"/>
          <w:numId w:val="1"/>
        </w:numPr>
      </w:pPr>
      <w:hyperlink r:id="rId14" w:history="1">
        <w:r w:rsidR="00A65745" w:rsidRPr="00837D55">
          <w:rPr>
            <w:rStyle w:val="Hyperlink"/>
          </w:rPr>
          <w:t>SFSP Meal P</w:t>
        </w:r>
        <w:r w:rsidR="00A65745" w:rsidRPr="00837D55">
          <w:rPr>
            <w:rStyle w:val="Hyperlink"/>
          </w:rPr>
          <w:t>a</w:t>
        </w:r>
        <w:r w:rsidR="00A65745" w:rsidRPr="00837D55">
          <w:rPr>
            <w:rStyle w:val="Hyperlink"/>
          </w:rPr>
          <w:t>ttern</w:t>
        </w:r>
      </w:hyperlink>
    </w:p>
    <w:p w14:paraId="0D321EDD" w14:textId="77777777" w:rsidR="00A65745" w:rsidRPr="00A65745" w:rsidRDefault="00A6574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Accountability</w:t>
      </w:r>
    </w:p>
    <w:p w14:paraId="7EF61530" w14:textId="6374460E" w:rsidR="00A65745" w:rsidRDefault="00A65745" w:rsidP="00A65745">
      <w:pPr>
        <w:pStyle w:val="ListParagraph"/>
        <w:numPr>
          <w:ilvl w:val="2"/>
          <w:numId w:val="1"/>
        </w:numPr>
        <w:spacing w:after="200" w:line="276" w:lineRule="auto"/>
      </w:pPr>
      <w:r>
        <w:t>Tick sheet method.</w:t>
      </w:r>
    </w:p>
    <w:p w14:paraId="7EB07407" w14:textId="150191E8" w:rsidR="00007168" w:rsidRPr="00A65745" w:rsidRDefault="00007168" w:rsidP="00A65745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Camps claim by eligible camper. </w:t>
      </w:r>
    </w:p>
    <w:p w14:paraId="60A156E1" w14:textId="4824C607" w:rsidR="004B6B18" w:rsidRPr="00A65745" w:rsidRDefault="00A6574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Meals Served</w:t>
      </w:r>
    </w:p>
    <w:p w14:paraId="114F9FBB" w14:textId="77777777" w:rsidR="00A65745" w:rsidRDefault="00A65745" w:rsidP="00A65745">
      <w:pPr>
        <w:pStyle w:val="ListParagraph"/>
        <w:numPr>
          <w:ilvl w:val="2"/>
          <w:numId w:val="1"/>
        </w:numPr>
        <w:spacing w:after="200" w:line="276" w:lineRule="auto"/>
      </w:pPr>
      <w:r>
        <w:t>Can be offered 7 days per week.</w:t>
      </w:r>
    </w:p>
    <w:p w14:paraId="45CDDF8C" w14:textId="510CDC78" w:rsidR="00A65745" w:rsidRDefault="00A65745" w:rsidP="007575BC">
      <w:pPr>
        <w:pStyle w:val="ListParagraph"/>
        <w:numPr>
          <w:ilvl w:val="2"/>
          <w:numId w:val="1"/>
        </w:numPr>
        <w:spacing w:after="200" w:line="276" w:lineRule="auto"/>
      </w:pPr>
      <w:r>
        <w:t>Up to two meals per day, except for lunch and dinner.</w:t>
      </w:r>
      <w:r w:rsidR="00007168">
        <w:t xml:space="preserve"> Camps and migrant sites can claim up to three meals per day. </w:t>
      </w:r>
      <w:r>
        <w:t xml:space="preserve"> </w:t>
      </w:r>
    </w:p>
    <w:p w14:paraId="7572C9F9" w14:textId="3BF2A4F3" w:rsidR="00650B43" w:rsidRDefault="00650B43">
      <w:r>
        <w:br w:type="page"/>
      </w:r>
    </w:p>
    <w:p w14:paraId="7DEAF6AD" w14:textId="3F9853FB" w:rsidR="004B6B18" w:rsidRPr="00A65745" w:rsidRDefault="006E0256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National School Lunch Program Seamless Summer Option </w:t>
      </w:r>
      <w:r w:rsidR="00340A4A">
        <w:rPr>
          <w:b/>
          <w:bCs/>
        </w:rPr>
        <w:t>(SSO)</w:t>
      </w:r>
    </w:p>
    <w:p w14:paraId="5D20E722" w14:textId="77A3272C" w:rsidR="0020310A" w:rsidRDefault="00A65745" w:rsidP="00A65745">
      <w:pPr>
        <w:pStyle w:val="ListParagraph"/>
      </w:pPr>
      <w:r w:rsidRPr="00A65745">
        <w:t xml:space="preserve">School Food Authorities </w:t>
      </w:r>
      <w:r>
        <w:t xml:space="preserve">(SFAs) participating in the National School Lunch Program or School Breakfast Program are eligible to apply for the Seamless Summer Option. </w:t>
      </w:r>
      <w:r w:rsidR="00340A4A">
        <w:t>SSO</w:t>
      </w:r>
      <w:r>
        <w:t xml:space="preserve"> has less paperwork. Under this option, SFAs serve meals free of change to children 18 years and younger from </w:t>
      </w:r>
      <w:r w:rsidR="00650B43">
        <w:t>eligible</w:t>
      </w:r>
      <w:r>
        <w:t xml:space="preserve"> areas. Sites can be open to all or closed enrolled (this excludes academic summer school which must be an open site). </w:t>
      </w:r>
      <w:r w:rsidR="00EF7B3C">
        <w:t xml:space="preserve">In Maine, the summer meals law requires SFSP/SSO eligible schools to operate open sites or opt out with a board vote. </w:t>
      </w:r>
      <w:r>
        <w:t>Meals are reimbursed at the free rates for school lunches</w:t>
      </w:r>
      <w:r w:rsidR="00667755">
        <w:t>, school breakfasts, and afterschool snacks, which are slightly lower than the Summer Food Service Program</w:t>
      </w:r>
      <w:r w:rsidR="0020310A">
        <w:t>.</w:t>
      </w:r>
    </w:p>
    <w:p w14:paraId="4BB9B329" w14:textId="369DC1CF" w:rsidR="00A65745" w:rsidRDefault="00667755" w:rsidP="00A65745">
      <w:pPr>
        <w:pStyle w:val="ListParagraph"/>
      </w:pPr>
      <w:r>
        <w:t xml:space="preserve"> </w:t>
      </w:r>
      <w:r w:rsidR="00A65745">
        <w:t xml:space="preserve"> </w:t>
      </w:r>
    </w:p>
    <w:p w14:paraId="12682E5B" w14:textId="41C71719" w:rsidR="007D09E0" w:rsidRPr="007D09E0" w:rsidRDefault="007D09E0" w:rsidP="007D09E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Site Eligibility</w:t>
      </w:r>
    </w:p>
    <w:p w14:paraId="7200885D" w14:textId="77777777" w:rsidR="007D09E0" w:rsidRDefault="007D09E0" w:rsidP="007D09E0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This is for School Food Authorities only. </w:t>
      </w:r>
    </w:p>
    <w:p w14:paraId="0DCE0336" w14:textId="7584D9D8" w:rsidR="007D09E0" w:rsidRPr="006E0256" w:rsidRDefault="007D09E0" w:rsidP="007D09E0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>Same as SFSP</w:t>
      </w:r>
      <w:r w:rsidR="00340A4A">
        <w:t>.</w:t>
      </w:r>
    </w:p>
    <w:p w14:paraId="297541C0" w14:textId="4CB9E93B" w:rsidR="007D09E0" w:rsidRDefault="007D09E0" w:rsidP="007D09E0">
      <w:pPr>
        <w:pStyle w:val="ListParagraph"/>
        <w:numPr>
          <w:ilvl w:val="1"/>
          <w:numId w:val="1"/>
        </w:numPr>
      </w:pPr>
      <w:r>
        <w:t>Reimbursement</w:t>
      </w:r>
    </w:p>
    <w:p w14:paraId="0AEE8893" w14:textId="76DFA1D1" w:rsidR="007D09E0" w:rsidRDefault="007D09E0" w:rsidP="007D09E0">
      <w:pPr>
        <w:pStyle w:val="ListParagraph"/>
        <w:numPr>
          <w:ilvl w:val="2"/>
          <w:numId w:val="1"/>
        </w:numPr>
      </w:pPr>
      <w:r>
        <w:t>NSLP free rates for breakfast, lunch, and snack</w:t>
      </w:r>
      <w:r w:rsidR="00340A4A">
        <w:t>.</w:t>
      </w:r>
    </w:p>
    <w:p w14:paraId="764DF3D1" w14:textId="3ECB93B6" w:rsidR="007D09E0" w:rsidRDefault="007D09E0" w:rsidP="007D09E0">
      <w:pPr>
        <w:pStyle w:val="ListParagraph"/>
        <w:numPr>
          <w:ilvl w:val="2"/>
          <w:numId w:val="1"/>
        </w:numPr>
      </w:pPr>
      <w:r>
        <w:t>NSLP Free Rates</w:t>
      </w:r>
      <w:r w:rsidR="00D56A76">
        <w:t xml:space="preserve"> for all meals served to children 18 and younger</w:t>
      </w:r>
      <w:r w:rsidR="00340A4A">
        <w:t>.</w:t>
      </w:r>
      <w:r>
        <w:t xml:space="preserve"> </w:t>
      </w:r>
    </w:p>
    <w:p w14:paraId="7140A485" w14:textId="7024F51F" w:rsidR="00650B43" w:rsidRDefault="00650B43" w:rsidP="00650B43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NSLP rates </w:t>
      </w:r>
      <w:hyperlink r:id="rId15" w:history="1">
        <w:r w:rsidRPr="00BC0C96">
          <w:rPr>
            <w:rStyle w:val="Hyperlink"/>
            <w:sz w:val="20"/>
            <w:szCs w:val="20"/>
          </w:rPr>
          <w:t>https://www.maine.gov/doe/schools/nutrition/financial/guidelines</w:t>
        </w:r>
      </w:hyperlink>
    </w:p>
    <w:p w14:paraId="328D6B27" w14:textId="52706083" w:rsidR="007D09E0" w:rsidRDefault="007D09E0" w:rsidP="007D09E0">
      <w:pPr>
        <w:pStyle w:val="ListParagraph"/>
        <w:numPr>
          <w:ilvl w:val="1"/>
          <w:numId w:val="1"/>
        </w:numPr>
      </w:pPr>
      <w:r>
        <w:t>Meal Pattern</w:t>
      </w:r>
    </w:p>
    <w:p w14:paraId="3C33585B" w14:textId="3828E3CD" w:rsidR="007D09E0" w:rsidRDefault="00EE631E" w:rsidP="007D09E0">
      <w:pPr>
        <w:pStyle w:val="ListParagraph"/>
        <w:numPr>
          <w:ilvl w:val="2"/>
          <w:numId w:val="1"/>
        </w:numPr>
      </w:pPr>
      <w:hyperlink r:id="rId16" w:history="1">
        <w:r w:rsidR="007D09E0">
          <w:rPr>
            <w:rStyle w:val="Hyperlink"/>
          </w:rPr>
          <w:t>S</w:t>
        </w:r>
        <w:r w:rsidR="007D09E0">
          <w:rPr>
            <w:rStyle w:val="Hyperlink"/>
          </w:rPr>
          <w:t>B</w:t>
        </w:r>
        <w:r w:rsidR="007D09E0">
          <w:rPr>
            <w:rStyle w:val="Hyperlink"/>
          </w:rPr>
          <w:t>P</w:t>
        </w:r>
      </w:hyperlink>
      <w:r w:rsidR="007D09E0">
        <w:t>/</w:t>
      </w:r>
      <w:hyperlink r:id="rId17" w:history="1">
        <w:r w:rsidR="007D09E0">
          <w:rPr>
            <w:rStyle w:val="Hyperlink"/>
          </w:rPr>
          <w:t>NS</w:t>
        </w:r>
        <w:r w:rsidR="007D09E0">
          <w:rPr>
            <w:rStyle w:val="Hyperlink"/>
          </w:rPr>
          <w:t>L</w:t>
        </w:r>
        <w:r w:rsidR="007D09E0">
          <w:rPr>
            <w:rStyle w:val="Hyperlink"/>
          </w:rPr>
          <w:t>P</w:t>
        </w:r>
      </w:hyperlink>
      <w:r w:rsidR="007D09E0">
        <w:rPr>
          <w:rStyle w:val="Hyperlink"/>
        </w:rPr>
        <w:t>/</w:t>
      </w:r>
      <w:hyperlink r:id="rId18" w:history="1">
        <w:r w:rsidR="007D09E0">
          <w:rPr>
            <w:rStyle w:val="Hyperlink"/>
          </w:rPr>
          <w:t>Afterschool S</w:t>
        </w:r>
        <w:r w:rsidR="007D09E0">
          <w:rPr>
            <w:rStyle w:val="Hyperlink"/>
          </w:rPr>
          <w:t>n</w:t>
        </w:r>
        <w:r w:rsidR="007D09E0">
          <w:rPr>
            <w:rStyle w:val="Hyperlink"/>
          </w:rPr>
          <w:t>ack</w:t>
        </w:r>
      </w:hyperlink>
      <w:r w:rsidR="007D09E0">
        <w:t xml:space="preserve"> </w:t>
      </w:r>
    </w:p>
    <w:p w14:paraId="217A775F" w14:textId="77777777" w:rsidR="007D09E0" w:rsidRPr="00A65745" w:rsidRDefault="007D09E0" w:rsidP="007D09E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Accountability</w:t>
      </w:r>
    </w:p>
    <w:p w14:paraId="72423EC4" w14:textId="77777777" w:rsidR="007D09E0" w:rsidRDefault="007D09E0" w:rsidP="007D09E0">
      <w:pPr>
        <w:pStyle w:val="ListParagraph"/>
        <w:numPr>
          <w:ilvl w:val="2"/>
          <w:numId w:val="1"/>
        </w:numPr>
        <w:spacing w:after="200" w:line="276" w:lineRule="auto"/>
      </w:pPr>
      <w:r>
        <w:t>Tick sheet method.</w:t>
      </w:r>
    </w:p>
    <w:p w14:paraId="21E549CE" w14:textId="77777777" w:rsidR="007D09E0" w:rsidRPr="00A65745" w:rsidRDefault="007D09E0" w:rsidP="007D09E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Meals Served</w:t>
      </w:r>
    </w:p>
    <w:p w14:paraId="744D2FE3" w14:textId="77777777" w:rsidR="007D09E0" w:rsidRDefault="007D09E0" w:rsidP="007D09E0">
      <w:pPr>
        <w:pStyle w:val="ListParagraph"/>
        <w:numPr>
          <w:ilvl w:val="2"/>
          <w:numId w:val="1"/>
        </w:numPr>
        <w:spacing w:after="200" w:line="276" w:lineRule="auto"/>
      </w:pPr>
      <w:r>
        <w:t>Can be offered 7 days per week.</w:t>
      </w:r>
    </w:p>
    <w:p w14:paraId="7547FCEC" w14:textId="0E95A4C3" w:rsidR="007575BC" w:rsidRDefault="007D09E0" w:rsidP="007575BC">
      <w:pPr>
        <w:pStyle w:val="ListParagraph"/>
        <w:numPr>
          <w:ilvl w:val="2"/>
          <w:numId w:val="1"/>
        </w:numPr>
        <w:spacing w:after="200" w:line="276" w:lineRule="auto"/>
      </w:pPr>
      <w:r>
        <w:t>Up to two meals per day, except for lunch and dinner.</w:t>
      </w:r>
    </w:p>
    <w:p w14:paraId="6927023D" w14:textId="23F31A18" w:rsidR="007575BC" w:rsidRDefault="007575BC">
      <w:r>
        <w:br w:type="page"/>
      </w:r>
    </w:p>
    <w:p w14:paraId="69F338B3" w14:textId="45CD15DD" w:rsidR="004B6B18" w:rsidRPr="007D09E0" w:rsidRDefault="007D09E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b/>
          <w:bCs/>
        </w:rPr>
        <w:lastRenderedPageBreak/>
        <w:t xml:space="preserve">National School Lunch Program </w:t>
      </w:r>
    </w:p>
    <w:p w14:paraId="4C58DF18" w14:textId="3B05C658" w:rsidR="0020310A" w:rsidRDefault="007D09E0" w:rsidP="0020310A">
      <w:pPr>
        <w:pStyle w:val="ListParagraph"/>
      </w:pPr>
      <w:r>
        <w:t>The National School Lunch and School Breakfast Programs are available for any school that is hosting</w:t>
      </w:r>
      <w:r w:rsidR="0020310A">
        <w:t xml:space="preserve"> an academic summer school.</w:t>
      </w:r>
      <w:r w:rsidR="002C03E5">
        <w:t xml:space="preserve"> Academic summer school is required for enrolled students to advance to the next grade or receive credit on their transcripts.</w:t>
      </w:r>
      <w:r w:rsidR="0020310A">
        <w:t xml:space="preserve"> Academic summer schools that intend to serve meals only to enrolled students follow the same rules and claiming procedures for free, reduced-price, and paid meals that they follow during the regular school year. </w:t>
      </w:r>
    </w:p>
    <w:p w14:paraId="2B6552E4" w14:textId="77777777" w:rsidR="00D56A76" w:rsidRDefault="00D56A76" w:rsidP="0020310A">
      <w:pPr>
        <w:pStyle w:val="ListParagraph"/>
      </w:pPr>
    </w:p>
    <w:p w14:paraId="6F3F367C" w14:textId="77777777" w:rsidR="00D56A76" w:rsidRPr="007D09E0" w:rsidRDefault="00D56A76" w:rsidP="00D56A7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Site Eligibility</w:t>
      </w:r>
    </w:p>
    <w:p w14:paraId="671A180C" w14:textId="092872BA" w:rsidR="00D56A76" w:rsidRDefault="00D56A76" w:rsidP="00D56A76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This is for School Food Authorities only. </w:t>
      </w:r>
    </w:p>
    <w:p w14:paraId="6FC60FC7" w14:textId="2C075EE5" w:rsidR="00665797" w:rsidRDefault="00665797" w:rsidP="00D56A76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This is for enrolled academic summer school students. </w:t>
      </w:r>
    </w:p>
    <w:p w14:paraId="4FF34C99" w14:textId="71185F2A" w:rsidR="00D56A76" w:rsidRDefault="00D56A76" w:rsidP="00D56A76">
      <w:pPr>
        <w:pStyle w:val="ListParagraph"/>
        <w:numPr>
          <w:ilvl w:val="2"/>
          <w:numId w:val="1"/>
        </w:numPr>
        <w:spacing w:after="200" w:line="276" w:lineRule="auto"/>
      </w:pPr>
      <w:r>
        <w:t>This is an option for sites that do not meet area eligibility requirements for SFSP</w:t>
      </w:r>
      <w:r w:rsidR="00340A4A">
        <w:t xml:space="preserve"> or SSO</w:t>
      </w:r>
      <w:r>
        <w:t xml:space="preserve">. </w:t>
      </w:r>
    </w:p>
    <w:p w14:paraId="6438DCCB" w14:textId="27D7496C" w:rsidR="00D56A76" w:rsidRDefault="00D56A76" w:rsidP="00665797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For </w:t>
      </w:r>
      <w:r w:rsidR="00340A4A">
        <w:t>p</w:t>
      </w:r>
      <w:r>
        <w:t xml:space="preserve">ublic </w:t>
      </w:r>
      <w:r w:rsidR="00340A4A">
        <w:t>s</w:t>
      </w:r>
      <w:r>
        <w:t xml:space="preserve">chools, meals served through NSLP are served to children at no charge through the universal meals law. </w:t>
      </w:r>
    </w:p>
    <w:p w14:paraId="4024E3D0" w14:textId="77777777" w:rsidR="00D56A76" w:rsidRDefault="00D56A76" w:rsidP="00D56A76">
      <w:pPr>
        <w:pStyle w:val="ListParagraph"/>
        <w:numPr>
          <w:ilvl w:val="1"/>
          <w:numId w:val="1"/>
        </w:numPr>
      </w:pPr>
      <w:r>
        <w:t>Reimbursement</w:t>
      </w:r>
    </w:p>
    <w:p w14:paraId="24285932" w14:textId="1CFD4C41" w:rsidR="0095400A" w:rsidRDefault="0095400A" w:rsidP="0095400A">
      <w:pPr>
        <w:pStyle w:val="ListParagraph"/>
        <w:numPr>
          <w:ilvl w:val="2"/>
          <w:numId w:val="1"/>
        </w:numPr>
        <w:spacing w:after="0" w:line="240" w:lineRule="auto"/>
      </w:pPr>
      <w:bookmarkStart w:id="0" w:name="_Hlk99359856"/>
      <w:r>
        <w:t>Meals are claimed by individual status</w:t>
      </w:r>
      <w:r w:rsidR="002C03E5">
        <w:t xml:space="preserve"> or according to SP II guidelines</w:t>
      </w:r>
      <w:r>
        <w:t xml:space="preserve">. </w:t>
      </w:r>
      <w:bookmarkEnd w:id="0"/>
    </w:p>
    <w:p w14:paraId="131F20E5" w14:textId="77777777" w:rsidR="0095400A" w:rsidRPr="0095400A" w:rsidRDefault="0095400A" w:rsidP="0095400A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NSLP rates </w:t>
      </w:r>
      <w:hyperlink r:id="rId19" w:history="1">
        <w:r w:rsidRPr="00BC0C96">
          <w:rPr>
            <w:rStyle w:val="Hyperlink"/>
            <w:sz w:val="20"/>
            <w:szCs w:val="20"/>
          </w:rPr>
          <w:t>https://www.maine.gov/doe/schools/nutrition/financial/guidelines</w:t>
        </w:r>
      </w:hyperlink>
      <w:r w:rsidRPr="0095400A">
        <w:rPr>
          <w:sz w:val="20"/>
          <w:szCs w:val="20"/>
        </w:rPr>
        <w:t xml:space="preserve"> </w:t>
      </w:r>
    </w:p>
    <w:p w14:paraId="19672D62" w14:textId="77777777" w:rsidR="00D56A76" w:rsidRDefault="00D56A76" w:rsidP="00D56A76">
      <w:pPr>
        <w:pStyle w:val="ListParagraph"/>
        <w:numPr>
          <w:ilvl w:val="1"/>
          <w:numId w:val="1"/>
        </w:numPr>
      </w:pPr>
      <w:r>
        <w:t>Meal Pattern</w:t>
      </w:r>
    </w:p>
    <w:p w14:paraId="60467F95" w14:textId="6F912CFB" w:rsidR="0095400A" w:rsidRDefault="00EE631E" w:rsidP="00665797">
      <w:pPr>
        <w:pStyle w:val="ListParagraph"/>
        <w:numPr>
          <w:ilvl w:val="2"/>
          <w:numId w:val="1"/>
        </w:numPr>
      </w:pPr>
      <w:hyperlink r:id="rId20" w:history="1">
        <w:r w:rsidR="00D56A76">
          <w:rPr>
            <w:rStyle w:val="Hyperlink"/>
          </w:rPr>
          <w:t>SBP</w:t>
        </w:r>
      </w:hyperlink>
      <w:r w:rsidR="00D56A76">
        <w:t>/</w:t>
      </w:r>
      <w:hyperlink r:id="rId21" w:history="1">
        <w:r w:rsidR="00D56A76">
          <w:rPr>
            <w:rStyle w:val="Hyperlink"/>
          </w:rPr>
          <w:t>NSLP</w:t>
        </w:r>
      </w:hyperlink>
      <w:r w:rsidR="00D56A76">
        <w:rPr>
          <w:rStyle w:val="Hyperlink"/>
        </w:rPr>
        <w:t>/</w:t>
      </w:r>
      <w:hyperlink r:id="rId22" w:history="1">
        <w:r w:rsidR="00D56A76">
          <w:rPr>
            <w:rStyle w:val="Hyperlink"/>
          </w:rPr>
          <w:t>Afterschool Snack</w:t>
        </w:r>
      </w:hyperlink>
      <w:r w:rsidR="00D56A76">
        <w:t xml:space="preserve"> </w:t>
      </w:r>
    </w:p>
    <w:p w14:paraId="3831E2F2" w14:textId="77777777" w:rsidR="00D56A76" w:rsidRPr="00A65745" w:rsidRDefault="00D56A76" w:rsidP="00D56A7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Accountability</w:t>
      </w:r>
    </w:p>
    <w:p w14:paraId="5E5737F2" w14:textId="6230D401" w:rsidR="005A02B0" w:rsidRDefault="0095400A" w:rsidP="005A02B0">
      <w:pPr>
        <w:pStyle w:val="ListParagraph"/>
        <w:numPr>
          <w:ilvl w:val="2"/>
          <w:numId w:val="1"/>
        </w:numPr>
        <w:spacing w:after="200" w:line="276" w:lineRule="auto"/>
      </w:pPr>
      <w:r>
        <w:t>Current</w:t>
      </w:r>
      <w:r w:rsidR="00665797">
        <w:t xml:space="preserve"> operational</w:t>
      </w:r>
      <w:r>
        <w:t xml:space="preserve"> year m</w:t>
      </w:r>
      <w:r w:rsidR="005A02B0">
        <w:t>eal benefit application used.</w:t>
      </w:r>
      <w:r w:rsidR="00665797">
        <w:t xml:space="preserve"> For instance,</w:t>
      </w:r>
      <w:r w:rsidR="005A02B0">
        <w:t xml:space="preserve"> </w:t>
      </w:r>
      <w:r w:rsidR="00665797">
        <w:t>i</w:t>
      </w:r>
      <w:r>
        <w:t xml:space="preserve">f academic summer school is in July, this would mean the upcoming school year application is used.  </w:t>
      </w:r>
      <w:r w:rsidR="002C03E5">
        <w:t xml:space="preserve">Please note, if you are not in an SP II base year, you must follow SP II requirements. </w:t>
      </w:r>
      <w:r>
        <w:t xml:space="preserve"> </w:t>
      </w:r>
    </w:p>
    <w:p w14:paraId="530A1FF2" w14:textId="77777777" w:rsidR="005A02B0" w:rsidRDefault="005A02B0" w:rsidP="005A02B0">
      <w:pPr>
        <w:pStyle w:val="ListParagraph"/>
        <w:numPr>
          <w:ilvl w:val="2"/>
          <w:numId w:val="1"/>
        </w:numPr>
        <w:spacing w:after="200" w:line="276" w:lineRule="auto"/>
      </w:pPr>
      <w:r>
        <w:t>Point of Service accountability.</w:t>
      </w:r>
    </w:p>
    <w:p w14:paraId="4678695F" w14:textId="69DB3BF1" w:rsidR="005A02B0" w:rsidRDefault="005A02B0" w:rsidP="005A02B0">
      <w:pPr>
        <w:pStyle w:val="ListParagraph"/>
        <w:numPr>
          <w:ilvl w:val="2"/>
          <w:numId w:val="1"/>
        </w:numPr>
        <w:spacing w:after="200" w:line="276" w:lineRule="auto"/>
      </w:pPr>
      <w:r>
        <w:t>Meals claimed by status</w:t>
      </w:r>
      <w:r w:rsidR="002C03E5">
        <w:t xml:space="preserve"> unless SP II non - base year</w:t>
      </w:r>
      <w:r>
        <w:t>.</w:t>
      </w:r>
      <w:r w:rsidR="002C03E5">
        <w:t xml:space="preserve"> If SP II non-base year, follow SP II claiming requirements. </w:t>
      </w:r>
      <w:r>
        <w:t xml:space="preserve"> </w:t>
      </w:r>
    </w:p>
    <w:p w14:paraId="1836588E" w14:textId="22E36565" w:rsidR="0095400A" w:rsidRDefault="005A02B0" w:rsidP="00665797">
      <w:pPr>
        <w:pStyle w:val="ListParagraph"/>
        <w:numPr>
          <w:ilvl w:val="2"/>
          <w:numId w:val="1"/>
        </w:numPr>
        <w:spacing w:after="200" w:line="276" w:lineRule="auto"/>
      </w:pPr>
      <w:r>
        <w:t>Save eligibility and Point of Service documentation.</w:t>
      </w:r>
    </w:p>
    <w:p w14:paraId="185306E5" w14:textId="77777777" w:rsidR="00F33578" w:rsidRDefault="00D56A76" w:rsidP="00F33578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Meals Served</w:t>
      </w:r>
    </w:p>
    <w:p w14:paraId="14F3D3B2" w14:textId="443C3A9C" w:rsidR="0020310A" w:rsidRPr="00F33578" w:rsidRDefault="00F33578" w:rsidP="00F33578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>Breakfast, Lunch, and Afterschool Snack can be served.</w:t>
      </w:r>
    </w:p>
    <w:p w14:paraId="55A14E15" w14:textId="09ECBCA0" w:rsidR="007575BC" w:rsidRDefault="007575B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D99F84F" w14:textId="77777777" w:rsidR="004B6B18" w:rsidRDefault="00006C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Questions/Barriers</w:t>
      </w:r>
    </w:p>
    <w:p w14:paraId="16D7DC9F" w14:textId="141A3551" w:rsidR="004B6B18" w:rsidRPr="00F33578" w:rsidRDefault="0020310A">
      <w:pPr>
        <w:pStyle w:val="ListParagraph"/>
        <w:numPr>
          <w:ilvl w:val="1"/>
          <w:numId w:val="1"/>
        </w:numPr>
        <w:rPr>
          <w:i/>
          <w:iCs/>
        </w:rPr>
      </w:pPr>
      <w:r w:rsidRPr="0020310A">
        <w:rPr>
          <w:i/>
          <w:iCs/>
        </w:rPr>
        <w:t xml:space="preserve">What if I am an SFA who is eligible for SFSP? Do I need to operate </w:t>
      </w:r>
      <w:r w:rsidR="00F33578" w:rsidRPr="0020310A">
        <w:rPr>
          <w:i/>
          <w:iCs/>
        </w:rPr>
        <w:t>SFSP,</w:t>
      </w:r>
      <w:r w:rsidRPr="0020310A">
        <w:rPr>
          <w:i/>
          <w:iCs/>
        </w:rPr>
        <w:t xml:space="preserve"> or can I choose to operate NSLP? </w:t>
      </w:r>
      <w:r w:rsidR="00F33578">
        <w:t>Under federal requirements, academic summer school sites that qualify for SFSP must operate SFSP as an open site. Under Maine law, S</w:t>
      </w:r>
      <w:r w:rsidR="007559E0">
        <w:t>FAs</w:t>
      </w:r>
      <w:r w:rsidR="00F33578">
        <w:t xml:space="preserve"> must offer SFSP if the school has summer educational or recreational programming</w:t>
      </w:r>
      <w:r w:rsidR="007559E0">
        <w:t xml:space="preserve"> and </w:t>
      </w:r>
      <w:r w:rsidR="003B6CCF">
        <w:t>has 50% free/reduced eligible enrollment</w:t>
      </w:r>
      <w:r w:rsidR="00F33578">
        <w:t>.</w:t>
      </w:r>
      <w:r w:rsidR="004C29D8">
        <w:rPr>
          <w:vertAlign w:val="superscript"/>
        </w:rPr>
        <w:t>4,5</w:t>
      </w:r>
      <w:r w:rsidR="00F33578">
        <w:t xml:space="preserve"> </w:t>
      </w:r>
    </w:p>
    <w:p w14:paraId="6D452F06" w14:textId="77777777" w:rsidR="00F33578" w:rsidRPr="0020310A" w:rsidRDefault="00F33578" w:rsidP="00F33578">
      <w:pPr>
        <w:pStyle w:val="ListParagraph"/>
        <w:ind w:left="1440"/>
        <w:rPr>
          <w:i/>
          <w:iCs/>
        </w:rPr>
      </w:pPr>
    </w:p>
    <w:p w14:paraId="72378538" w14:textId="1A978D35" w:rsidR="004B6B18" w:rsidRPr="00F33578" w:rsidRDefault="0020310A">
      <w:pPr>
        <w:pStyle w:val="ListParagraph"/>
        <w:numPr>
          <w:ilvl w:val="1"/>
          <w:numId w:val="1"/>
        </w:numPr>
        <w:rPr>
          <w:i/>
          <w:iCs/>
        </w:rPr>
      </w:pPr>
      <w:r w:rsidRPr="00F33578">
        <w:rPr>
          <w:i/>
          <w:iCs/>
        </w:rPr>
        <w:t xml:space="preserve">Does the Universal Meals Law apply to NSLP during the summer months? </w:t>
      </w:r>
      <w:r w:rsidR="00F33578">
        <w:t>Yes, for public schools operating NSLP for academic summer school.</w:t>
      </w:r>
      <w:r w:rsidR="004C29D8">
        <w:rPr>
          <w:vertAlign w:val="superscript"/>
        </w:rPr>
        <w:t>6</w:t>
      </w:r>
      <w:r w:rsidR="00F33578">
        <w:t xml:space="preserve"> </w:t>
      </w:r>
    </w:p>
    <w:p w14:paraId="50363BF2" w14:textId="77777777" w:rsidR="00F33578" w:rsidRPr="00F33578" w:rsidRDefault="00F33578" w:rsidP="00F33578">
      <w:pPr>
        <w:pStyle w:val="ListParagraph"/>
        <w:rPr>
          <w:i/>
          <w:iCs/>
        </w:rPr>
      </w:pPr>
    </w:p>
    <w:p w14:paraId="52221432" w14:textId="7677824A" w:rsidR="004B6B18" w:rsidRPr="0046372F" w:rsidRDefault="00F33578" w:rsidP="00F33578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If I operate NSLP, do I need to offer meal benefit applications?</w:t>
      </w:r>
      <w:r>
        <w:t xml:space="preserve"> Yes, </w:t>
      </w:r>
      <w:r w:rsidR="002C03E5">
        <w:t>but not if you are operating under a non-base year for SP II.</w:t>
      </w:r>
      <w:r w:rsidR="00EE631E">
        <w:rPr>
          <w:vertAlign w:val="superscript"/>
        </w:rPr>
        <w:t>7</w:t>
      </w:r>
      <w:r w:rsidR="002C03E5">
        <w:t xml:space="preserve"> If you are traditional NSLP or in a SP II base year, </w:t>
      </w:r>
      <w:r>
        <w:t xml:space="preserve">the </w:t>
      </w:r>
      <w:r w:rsidR="0095400A">
        <w:t xml:space="preserve">current </w:t>
      </w:r>
      <w:r w:rsidR="00665797">
        <w:t xml:space="preserve">operational </w:t>
      </w:r>
      <w:r w:rsidR="0095400A">
        <w:t>school year</w:t>
      </w:r>
      <w:r>
        <w:t xml:space="preserve"> meal benefit application must be offered.</w:t>
      </w:r>
      <w:r w:rsidR="0095400A">
        <w:t xml:space="preserve"> </w:t>
      </w:r>
      <w:r w:rsidR="00665797">
        <w:t>So, i</w:t>
      </w:r>
      <w:r w:rsidR="0095400A">
        <w:t xml:space="preserve">f academic summer school is in July, this would mean the upcoming school year application is used.  </w:t>
      </w:r>
      <w:r>
        <w:t xml:space="preserve"> </w:t>
      </w:r>
    </w:p>
    <w:p w14:paraId="5ED6E456" w14:textId="77777777" w:rsidR="0046372F" w:rsidRPr="0046372F" w:rsidRDefault="0046372F" w:rsidP="0046372F">
      <w:pPr>
        <w:pStyle w:val="ListParagraph"/>
        <w:rPr>
          <w:i/>
          <w:iCs/>
        </w:rPr>
      </w:pPr>
    </w:p>
    <w:p w14:paraId="117F61C8" w14:textId="309D4B0E" w:rsidR="0046372F" w:rsidRPr="0046372F" w:rsidRDefault="0046372F" w:rsidP="00F33578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 xml:space="preserve">When is the NSLP </w:t>
      </w:r>
      <w:r w:rsidR="00340A4A">
        <w:rPr>
          <w:i/>
          <w:iCs/>
        </w:rPr>
        <w:t>annual participation packet</w:t>
      </w:r>
      <w:r>
        <w:rPr>
          <w:i/>
          <w:iCs/>
        </w:rPr>
        <w:t xml:space="preserve"> available</w:t>
      </w:r>
      <w:r w:rsidR="00340A4A">
        <w:rPr>
          <w:i/>
          <w:iCs/>
        </w:rPr>
        <w:t xml:space="preserve"> in CNPweb</w:t>
      </w:r>
      <w:r>
        <w:rPr>
          <w:i/>
          <w:iCs/>
        </w:rPr>
        <w:t>? Can this application be used for the entire year</w:t>
      </w:r>
      <w:r w:rsidR="0095400A">
        <w:rPr>
          <w:i/>
          <w:iCs/>
        </w:rPr>
        <w:t xml:space="preserve"> if it is used for academic summer school</w:t>
      </w:r>
      <w:r>
        <w:rPr>
          <w:i/>
          <w:iCs/>
        </w:rPr>
        <w:t xml:space="preserve">? </w:t>
      </w:r>
      <w:r w:rsidR="00340A4A">
        <w:t>The annual participation packet for NSLP will be available a</w:t>
      </w:r>
      <w:r>
        <w:t>fter June 1</w:t>
      </w:r>
      <w:r w:rsidR="00665797">
        <w:t xml:space="preserve"> of each year</w:t>
      </w:r>
      <w:r>
        <w:t xml:space="preserve">. </w:t>
      </w:r>
      <w:r w:rsidR="00340A4A">
        <w:t>The</w:t>
      </w:r>
      <w:r>
        <w:t xml:space="preserve"> application can be used for </w:t>
      </w:r>
      <w:r w:rsidR="0095400A">
        <w:t>the entire school year, starting with academic summer school in July</w:t>
      </w:r>
      <w:r>
        <w:t xml:space="preserve">. Work with DOE Child Nutrition to plan for any changes to the application. </w:t>
      </w:r>
    </w:p>
    <w:p w14:paraId="49E2CEBF" w14:textId="77777777" w:rsidR="00F33578" w:rsidRDefault="00F33578" w:rsidP="00F33578">
      <w:r>
        <w:t>Resources:</w:t>
      </w:r>
    </w:p>
    <w:p w14:paraId="22B30A3C" w14:textId="2C52A2A2" w:rsidR="004C29D8" w:rsidRDefault="004C29D8" w:rsidP="00F33578">
      <w:r>
        <w:t xml:space="preserve">1. USDA Summer Food Service Program </w:t>
      </w:r>
      <w:hyperlink r:id="rId23" w:history="1">
        <w:r w:rsidRPr="00976E0B">
          <w:rPr>
            <w:rStyle w:val="Hyperlink"/>
          </w:rPr>
          <w:t>https://www.fns.usda.gov/sfsp/s</w:t>
        </w:r>
        <w:r w:rsidRPr="00976E0B">
          <w:rPr>
            <w:rStyle w:val="Hyperlink"/>
          </w:rPr>
          <w:t>u</w:t>
        </w:r>
        <w:r w:rsidRPr="00976E0B">
          <w:rPr>
            <w:rStyle w:val="Hyperlink"/>
          </w:rPr>
          <w:t>mmer-food-service-program</w:t>
        </w:r>
      </w:hyperlink>
      <w:r>
        <w:t xml:space="preserve"> </w:t>
      </w:r>
    </w:p>
    <w:p w14:paraId="51F50925" w14:textId="14EA6802" w:rsidR="0046372F" w:rsidRDefault="004C29D8" w:rsidP="00F33578">
      <w:r>
        <w:t>2</w:t>
      </w:r>
      <w:r w:rsidR="00F33578">
        <w:t>.</w:t>
      </w:r>
      <w:r w:rsidR="0046372F">
        <w:t xml:space="preserve"> USDA Comparison of Programs SFSP/NSLP/Seamless Option </w:t>
      </w:r>
      <w:hyperlink r:id="rId24" w:history="1">
        <w:r w:rsidR="0046372F" w:rsidRPr="00976E0B">
          <w:rPr>
            <w:rStyle w:val="Hyperlink"/>
          </w:rPr>
          <w:t>https://fns-prod.azureedge.us/sites/default/files/SFSP_SeamlessComparisonChart.</w:t>
        </w:r>
        <w:r w:rsidR="0046372F" w:rsidRPr="00976E0B">
          <w:rPr>
            <w:rStyle w:val="Hyperlink"/>
          </w:rPr>
          <w:t>p</w:t>
        </w:r>
        <w:r w:rsidR="0046372F" w:rsidRPr="00976E0B">
          <w:rPr>
            <w:rStyle w:val="Hyperlink"/>
          </w:rPr>
          <w:t>df</w:t>
        </w:r>
      </w:hyperlink>
      <w:r w:rsidR="0046372F">
        <w:t xml:space="preserve"> </w:t>
      </w:r>
      <w:r w:rsidR="00F33578">
        <w:t xml:space="preserve"> </w:t>
      </w:r>
    </w:p>
    <w:p w14:paraId="6C7FB9D4" w14:textId="725EA501" w:rsidR="00340A4A" w:rsidRDefault="004C29D8" w:rsidP="00F33578">
      <w:r>
        <w:t>3</w:t>
      </w:r>
      <w:r w:rsidR="00340A4A">
        <w:t xml:space="preserve">. USDA Seamless Summer and Other Options for Schools </w:t>
      </w:r>
      <w:hyperlink r:id="rId25" w:history="1">
        <w:r w:rsidR="00340A4A" w:rsidRPr="00976E0B">
          <w:rPr>
            <w:rStyle w:val="Hyperlink"/>
          </w:rPr>
          <w:t>https://www.fns.usda.gov/sfsp/seamless-summer-and-other-option</w:t>
        </w:r>
        <w:r w:rsidR="00340A4A" w:rsidRPr="00976E0B">
          <w:rPr>
            <w:rStyle w:val="Hyperlink"/>
          </w:rPr>
          <w:t>s</w:t>
        </w:r>
        <w:r w:rsidR="00340A4A" w:rsidRPr="00976E0B">
          <w:rPr>
            <w:rStyle w:val="Hyperlink"/>
          </w:rPr>
          <w:t>-schools</w:t>
        </w:r>
      </w:hyperlink>
      <w:r w:rsidR="00340A4A">
        <w:t xml:space="preserve"> </w:t>
      </w:r>
    </w:p>
    <w:p w14:paraId="3C9AD417" w14:textId="62FB8010" w:rsidR="004C29D8" w:rsidRDefault="004C29D8" w:rsidP="00F33578">
      <w:r>
        <w:t xml:space="preserve">4. Federal SFSP Regulations, 7 CFR Part 225 – Summer Food Service Program </w:t>
      </w:r>
      <w:hyperlink r:id="rId26" w:history="1">
        <w:r w:rsidRPr="00976E0B">
          <w:rPr>
            <w:rStyle w:val="Hyperlink"/>
          </w:rPr>
          <w:t>https://www.fns.usda.gov/part-225%E2%80%94summer-food-service-</w:t>
        </w:r>
        <w:r w:rsidRPr="00976E0B">
          <w:rPr>
            <w:rStyle w:val="Hyperlink"/>
          </w:rPr>
          <w:t>p</w:t>
        </w:r>
        <w:r w:rsidRPr="00976E0B">
          <w:rPr>
            <w:rStyle w:val="Hyperlink"/>
          </w:rPr>
          <w:t>rogram</w:t>
        </w:r>
      </w:hyperlink>
      <w:r>
        <w:t xml:space="preserve"> </w:t>
      </w:r>
    </w:p>
    <w:p w14:paraId="51D84253" w14:textId="4EFEF0E5" w:rsidR="00F33578" w:rsidRDefault="004C29D8" w:rsidP="00F33578">
      <w:r>
        <w:t>5</w:t>
      </w:r>
      <w:r w:rsidR="0046372F">
        <w:t xml:space="preserve">. </w:t>
      </w:r>
      <w:r w:rsidR="00F33578">
        <w:t xml:space="preserve">Maine Legislature – 6602 School </w:t>
      </w:r>
      <w:r>
        <w:t>F</w:t>
      </w:r>
      <w:r w:rsidR="00F33578">
        <w:t xml:space="preserve">ood </w:t>
      </w:r>
      <w:r>
        <w:t>S</w:t>
      </w:r>
      <w:r w:rsidR="00F33578">
        <w:t xml:space="preserve">ervice </w:t>
      </w:r>
      <w:r>
        <w:t>P</w:t>
      </w:r>
      <w:r w:rsidR="00F33578">
        <w:t xml:space="preserve">rograms  </w:t>
      </w:r>
      <w:hyperlink r:id="rId27" w:history="1">
        <w:r w:rsidR="00F33578" w:rsidRPr="00976E0B">
          <w:rPr>
            <w:rStyle w:val="Hyperlink"/>
          </w:rPr>
          <w:t>https://www.mainelegislature.org/legis/statut</w:t>
        </w:r>
        <w:r w:rsidR="00F33578" w:rsidRPr="00976E0B">
          <w:rPr>
            <w:rStyle w:val="Hyperlink"/>
          </w:rPr>
          <w:t>e</w:t>
        </w:r>
        <w:r w:rsidR="00F33578" w:rsidRPr="00976E0B">
          <w:rPr>
            <w:rStyle w:val="Hyperlink"/>
          </w:rPr>
          <w:t>s/20-a/title20-Asec6602.html</w:t>
        </w:r>
      </w:hyperlink>
      <w:r w:rsidR="00F33578">
        <w:t xml:space="preserve"> </w:t>
      </w:r>
    </w:p>
    <w:p w14:paraId="37CD5A9D" w14:textId="61CE46AB" w:rsidR="00F33578" w:rsidRDefault="004C29D8" w:rsidP="00F33578">
      <w:r>
        <w:t>6</w:t>
      </w:r>
      <w:r w:rsidR="00F33578">
        <w:t xml:space="preserve">. </w:t>
      </w:r>
      <w:r w:rsidR="0046372F">
        <w:t>Summ</w:t>
      </w:r>
      <w:r>
        <w:t>a</w:t>
      </w:r>
      <w:r w:rsidR="0046372F">
        <w:t>ry of LD 1679 “An Act to Address Student Hunger through Expanding Access to Free School Meals”</w:t>
      </w:r>
      <w:r w:rsidR="0046372F" w:rsidRPr="0046372F">
        <w:t xml:space="preserve"> </w:t>
      </w:r>
      <w:hyperlink r:id="rId28" w:history="1">
        <w:r w:rsidR="0046372F" w:rsidRPr="00976E0B">
          <w:rPr>
            <w:rStyle w:val="Hyperlink"/>
          </w:rPr>
          <w:t>http://www.mainelegislature.or</w:t>
        </w:r>
        <w:r w:rsidR="0046372F" w:rsidRPr="00976E0B">
          <w:rPr>
            <w:rStyle w:val="Hyperlink"/>
          </w:rPr>
          <w:t>g</w:t>
        </w:r>
        <w:r w:rsidR="0046372F" w:rsidRPr="00976E0B">
          <w:rPr>
            <w:rStyle w:val="Hyperlink"/>
          </w:rPr>
          <w:t>/legis/bills/display_ps.asp?ld=1679&amp;PID=1456&amp;snum=130</w:t>
        </w:r>
      </w:hyperlink>
      <w:r w:rsidR="0046372F">
        <w:t xml:space="preserve">  </w:t>
      </w:r>
    </w:p>
    <w:p w14:paraId="4179FCA4" w14:textId="39249176" w:rsidR="00EE631E" w:rsidRDefault="00EE631E" w:rsidP="00F33578">
      <w:r>
        <w:t xml:space="preserve">7. Comparing Community Eligibility Provision, CEP, Special Provision II, and Traditional. </w:t>
      </w:r>
      <w:hyperlink r:id="rId29" w:history="1">
        <w:r w:rsidRPr="00254195">
          <w:rPr>
            <w:rStyle w:val="Hyperlink"/>
          </w:rPr>
          <w:t>https://www.maine.gov/doe/sites/maine.gov.doe/files/inline-files/CEP%2C%20Special%20Provision%20II%20and%20Traditional%20Comparison%204-8-22.pdf</w:t>
        </w:r>
      </w:hyperlink>
      <w:r>
        <w:t xml:space="preserve"> </w:t>
      </w:r>
    </w:p>
    <w:sectPr w:rsidR="00EE631E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D5FA" w14:textId="77777777" w:rsidR="004B6B18" w:rsidRDefault="00006C07">
      <w:pPr>
        <w:spacing w:after="0" w:line="240" w:lineRule="auto"/>
      </w:pPr>
      <w:r>
        <w:separator/>
      </w:r>
    </w:p>
  </w:endnote>
  <w:endnote w:type="continuationSeparator" w:id="0">
    <w:p w14:paraId="3F6E9B73" w14:textId="77777777" w:rsidR="004B6B18" w:rsidRDefault="000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2DE9" w14:textId="0140EFAD" w:rsidR="004B6B18" w:rsidRDefault="00007168">
    <w:pPr>
      <w:pStyle w:val="Footer"/>
    </w:pPr>
    <w:r>
      <w:t>March</w:t>
    </w:r>
    <w:r w:rsidR="00006C07">
      <w:t xml:space="preserve"> </w:t>
    </w:r>
    <w:r>
      <w:t>2</w:t>
    </w:r>
    <w:r w:rsidR="00EF7B3C">
      <w:t>4,</w:t>
    </w:r>
    <w:r w:rsidR="00006C07">
      <w:t xml:space="preserve"> 202</w:t>
    </w:r>
    <w:r w:rsidR="00EF7B3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FBAF" w14:textId="77777777" w:rsidR="004B6B18" w:rsidRDefault="00006C07">
      <w:pPr>
        <w:spacing w:after="0" w:line="240" w:lineRule="auto"/>
      </w:pPr>
      <w:r>
        <w:separator/>
      </w:r>
    </w:p>
  </w:footnote>
  <w:footnote w:type="continuationSeparator" w:id="0">
    <w:p w14:paraId="2ACD5815" w14:textId="77777777" w:rsidR="004B6B18" w:rsidRDefault="00006C0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225842272" textId="1999200673" start="56" length="2" invalidationStart="56" invalidationLength="2" id="ovnwlojq"/>
    <int:ParagraphRange paragraphId="573404201" textId="474213526" start="85" length="20" invalidationStart="85" invalidationLength="20" id="jWMGOihl"/>
  </int:Manifest>
  <int:Observations>
    <int:Content id="ovnwlojq">
      <int:Rejection type="LegacyProofing"/>
    </int:Content>
    <int:Content id="jWMGOih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7D7"/>
    <w:multiLevelType w:val="hybridMultilevel"/>
    <w:tmpl w:val="8D64C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74823"/>
    <w:multiLevelType w:val="hybridMultilevel"/>
    <w:tmpl w:val="906CF898"/>
    <w:lvl w:ilvl="0" w:tplc="4D88A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C7EC7"/>
    <w:multiLevelType w:val="hybridMultilevel"/>
    <w:tmpl w:val="8B68757E"/>
    <w:lvl w:ilvl="0" w:tplc="AAC03D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B1149"/>
    <w:multiLevelType w:val="hybridMultilevel"/>
    <w:tmpl w:val="8EF496F0"/>
    <w:lvl w:ilvl="0" w:tplc="AAC03D7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1569"/>
    <w:multiLevelType w:val="hybridMultilevel"/>
    <w:tmpl w:val="083C5520"/>
    <w:lvl w:ilvl="0" w:tplc="D9145BD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28E32D5"/>
    <w:multiLevelType w:val="hybridMultilevel"/>
    <w:tmpl w:val="94FAAACC"/>
    <w:lvl w:ilvl="0" w:tplc="AAC03D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726D4"/>
    <w:multiLevelType w:val="hybridMultilevel"/>
    <w:tmpl w:val="63DA0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9CA51E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7BCC314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DF2"/>
    <w:multiLevelType w:val="hybridMultilevel"/>
    <w:tmpl w:val="758A9B8A"/>
    <w:lvl w:ilvl="0" w:tplc="8364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ED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80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C8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8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2F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C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4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F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5F149A"/>
    <w:multiLevelType w:val="hybridMultilevel"/>
    <w:tmpl w:val="6652D822"/>
    <w:lvl w:ilvl="0" w:tplc="AAC03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A62C8"/>
    <w:multiLevelType w:val="hybridMultilevel"/>
    <w:tmpl w:val="B298E2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11421"/>
    <w:multiLevelType w:val="hybridMultilevel"/>
    <w:tmpl w:val="5680BF5E"/>
    <w:lvl w:ilvl="0" w:tplc="AAC03D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B0426"/>
    <w:multiLevelType w:val="hybridMultilevel"/>
    <w:tmpl w:val="06FEB0F4"/>
    <w:lvl w:ilvl="0" w:tplc="AAC03D76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13F5C"/>
    <w:multiLevelType w:val="hybridMultilevel"/>
    <w:tmpl w:val="BDDC1AA6"/>
    <w:lvl w:ilvl="0" w:tplc="AAC03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8"/>
    <w:rsid w:val="00006C07"/>
    <w:rsid w:val="00007168"/>
    <w:rsid w:val="000F4814"/>
    <w:rsid w:val="00147770"/>
    <w:rsid w:val="0020310A"/>
    <w:rsid w:val="002C03E5"/>
    <w:rsid w:val="00340A4A"/>
    <w:rsid w:val="003B6CCF"/>
    <w:rsid w:val="0046372F"/>
    <w:rsid w:val="004B6B18"/>
    <w:rsid w:val="004C29D8"/>
    <w:rsid w:val="00581500"/>
    <w:rsid w:val="005A02B0"/>
    <w:rsid w:val="0063328D"/>
    <w:rsid w:val="00650B43"/>
    <w:rsid w:val="00665797"/>
    <w:rsid w:val="00667755"/>
    <w:rsid w:val="006E0256"/>
    <w:rsid w:val="00741F96"/>
    <w:rsid w:val="007559E0"/>
    <w:rsid w:val="007575BC"/>
    <w:rsid w:val="007D09E0"/>
    <w:rsid w:val="008A7383"/>
    <w:rsid w:val="0095400A"/>
    <w:rsid w:val="00A65745"/>
    <w:rsid w:val="00B15B91"/>
    <w:rsid w:val="00D56A76"/>
    <w:rsid w:val="00D87950"/>
    <w:rsid w:val="00ED00A7"/>
    <w:rsid w:val="00EE631E"/>
    <w:rsid w:val="00EF7B3C"/>
    <w:rsid w:val="00F33578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0149D1"/>
  <w15:chartTrackingRefBased/>
  <w15:docId w15:val="{0EDB0A21-DB29-4D09-916E-F711482E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2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6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ine.gov/doe/schools/nutrition/programs/sfsp" TargetMode="External"/><Relationship Id="rId18" Type="http://schemas.openxmlformats.org/officeDocument/2006/relationships/hyperlink" Target="https://www.maine.gov/doe/sites/maine.gov.doe/files/inline-files/AfterSchoolSnackService%20Quick%20Guide.docx.pdf" TargetMode="External"/><Relationship Id="rId26" Type="http://schemas.openxmlformats.org/officeDocument/2006/relationships/hyperlink" Target="https://www.fns.usda.gov/part-225%E2%80%94summer-food-service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ine.gov/doe/sites/maine.gov.doe/files/inline-files/nslpmealpattern2018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ns.usda.gov/area-eligibility" TargetMode="External"/><Relationship Id="rId17" Type="http://schemas.openxmlformats.org/officeDocument/2006/relationships/hyperlink" Target="https://www.maine.gov/doe/sites/maine.gov.doe/files/inline-files/nslpmealpattern2018.pdf" TargetMode="External"/><Relationship Id="rId25" Type="http://schemas.openxmlformats.org/officeDocument/2006/relationships/hyperlink" Target="https://www.fns.usda.gov/sfsp/seamless-summer-and-other-options-schoo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e.gov/doe/sites/maine.gov.doe/files/inline-files/school-breakfast-meal-pattern-charts-2022_1.pdf" TargetMode="External"/><Relationship Id="rId20" Type="http://schemas.openxmlformats.org/officeDocument/2006/relationships/hyperlink" Target="https://www.maine.gov/doe/sites/maine.gov.doe/files/inline-files/school-breakfast-meal-pattern-charts-2022_1.pdf" TargetMode="External"/><Relationship Id="rId29" Type="http://schemas.openxmlformats.org/officeDocument/2006/relationships/hyperlink" Target="https://www.maine.gov/doe/sites/maine.gov.doe/files/inline-files/CEP%2C%20Special%20Provision%20II%20and%20Traditional%20Comparison%204-8-2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ns.usda.gov/sfsp/summer-food-service-program" TargetMode="External"/><Relationship Id="rId24" Type="http://schemas.openxmlformats.org/officeDocument/2006/relationships/hyperlink" Target="https://fns-prod.azureedge.us/sites/default/files/SFSP_SeamlessComparisonChart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ine.gov/doe/schools/nutrition/financial/guidelines" TargetMode="External"/><Relationship Id="rId23" Type="http://schemas.openxmlformats.org/officeDocument/2006/relationships/hyperlink" Target="https://www.fns.usda.gov/sfsp/summer-food-service-program" TargetMode="External"/><Relationship Id="rId28" Type="http://schemas.openxmlformats.org/officeDocument/2006/relationships/hyperlink" Target="http://www.mainelegislature.org/legis/bills/display_ps.asp?ld=1679&amp;PID=1456&amp;snum=1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ine.gov/doe/schools/nutrition/financial/guidelines" TargetMode="External"/><Relationship Id="rId31" Type="http://schemas.openxmlformats.org/officeDocument/2006/relationships/fontTable" Target="fontTable.xml"/><Relationship Id="R30492abc004845ae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doe/sites/maine.gov.doe/files/inline-files/SummerMealPatternsummary_2.pdf" TargetMode="External"/><Relationship Id="rId22" Type="http://schemas.openxmlformats.org/officeDocument/2006/relationships/hyperlink" Target="https://www.maine.gov/doe/sites/maine.gov.doe/files/inline-files/AfterSchoolSnackService%20Quick%20Guide.docx.pdf" TargetMode="External"/><Relationship Id="rId27" Type="http://schemas.openxmlformats.org/officeDocument/2006/relationships/hyperlink" Target="https://www.mainelegislature.org/legis/statutes/20-a/title20-Asec6602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2" ma:contentTypeDescription="Create a new document." ma:contentTypeScope="" ma:versionID="098607fa20a315b643a488237a11e667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a7e92ab7cf8f336cce81b0ec7645c204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DB05-21CA-416C-87D6-FA42651C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76A04-2718-48DA-9CFA-81529979E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C6B49-686D-40E5-B516-4DF741D99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BEEF3-0A7D-484F-8D84-0992C42F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Beesley, Walter</dc:creator>
  <cp:keywords/>
  <dc:description/>
  <cp:lastModifiedBy>Ackroyd, Adriane</cp:lastModifiedBy>
  <cp:revision>3</cp:revision>
  <cp:lastPrinted>2022-01-03T17:34:00Z</cp:lastPrinted>
  <dcterms:created xsi:type="dcterms:W3CDTF">2023-03-24T13:52:00Z</dcterms:created>
  <dcterms:modified xsi:type="dcterms:W3CDTF">2023-03-24T14:22:00Z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