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6" w:line="216" w:lineRule="auto"/>
        <w:ind w:left="4681" w:right="1113" w:hanging="4321"/>
        <w:jc w:val="center"/>
        <w:rPr>
          <w:rFonts w:ascii="Times New Roman" w:hAnsi="Times New Roman" w:cs="Times New Roman"/>
          <w:sz w:val="24"/>
          <w:szCs w:val="24"/>
        </w:rPr>
      </w:pPr>
      <w:r>
        <w:rPr>
          <w:rFonts w:ascii="Times New Roman" w:hAnsi="Times New Roman" w:cs="Times New Roman"/>
          <w:b/>
          <w:sz w:val="24"/>
          <w:szCs w:val="24"/>
        </w:rPr>
        <w:t xml:space="preserve">          CHILD NUTRITION PROGRAM</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STATE WAIVER REQUEST</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DoD Alternate Method</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Submitted 5/11/2022</w:t>
      </w:r>
    </w:p>
    <w:p>
      <w:pPr>
        <w:spacing w:after="0" w:line="259" w:lineRule="auto"/>
        <w:ind w:right="155"/>
        <w:jc w:val="center"/>
        <w:rPr>
          <w:rFonts w:ascii="Times New Roman" w:hAnsi="Times New Roman" w:cs="Times New Roman"/>
          <w:sz w:val="24"/>
          <w:szCs w:val="24"/>
        </w:rPr>
      </w:pPr>
    </w:p>
    <w:p>
      <w:pPr>
        <w:ind w:left="370" w:right="478"/>
        <w:rPr>
          <w:rFonts w:ascii="Times New Roman" w:hAnsi="Times New Roman" w:cs="Times New Roman"/>
          <w:sz w:val="24"/>
          <w:szCs w:val="24"/>
        </w:rPr>
      </w:pPr>
      <w:r>
        <w:rPr>
          <w:rFonts w:ascii="Times New Roman" w:hAnsi="Times New Roman" w:cs="Times New Roman"/>
          <w:sz w:val="24"/>
          <w:szCs w:val="24"/>
        </w:rPr>
        <w:t xml:space="preserve">Child Nutrition Programs are expected to be administered according to all statutory and regulatory requirements; waivers to the requirements are exceptions. However, Section 12(l) of the Richard B. Russell National School Lunch Act, 42 U.S.C. 1760(l), provides authority for USDA to waive requirements for State agencies or eligible service providers under certain circumstances. When requesting the waiver of statutory or regulatory requirements for the Child Nutrition Programs (CNPs), including Child and Adult Care Food Program (CACFP), Summer Food Service Program (SFSP), National School Lunch Program (NSLP), Fresh Fruit and Vegetable Program (FFVP), Special Milk Program (SMP), and the School Breakfast Program (SBP), State agencies and eligible service providers should use this template. State agencies and eligible service providers should consult with their FNS Regional Offices when developing waiver requests to ensure a well-reasoned, thorough request is submitted. State agencies and eligible service providers are encouraged to submit complete waiver requests at least 60 calendar days prior to the anticipated implementation date. Requests submitted less than 60 calendar days prior to the anticipated implementation date should be accompanied by an explanation of extenuating circumstances. </w:t>
      </w:r>
    </w:p>
    <w:p>
      <w:pPr>
        <w:spacing w:after="0"/>
        <w:rPr>
          <w:rFonts w:ascii="Times New Roman" w:hAnsi="Times New Roman" w:cs="Times New Roman"/>
          <w:sz w:val="24"/>
          <w:szCs w:val="24"/>
        </w:rPr>
      </w:pPr>
      <w:r>
        <w:rPr>
          <w:rFonts w:ascii="Times New Roman" w:hAnsi="Times New Roman" w:cs="Times New Roman"/>
          <w:sz w:val="24"/>
          <w:szCs w:val="24"/>
        </w:rPr>
        <w:t xml:space="preserve"> </w:t>
      </w:r>
    </w:p>
    <w:p>
      <w:pPr>
        <w:ind w:left="370" w:right="741"/>
        <w:rPr>
          <w:rFonts w:ascii="Times New Roman" w:hAnsi="Times New Roman" w:cs="Times New Roman"/>
          <w:sz w:val="24"/>
          <w:szCs w:val="24"/>
        </w:rPr>
      </w:pPr>
      <w:r>
        <w:rPr>
          <w:rFonts w:ascii="Times New Roman" w:hAnsi="Times New Roman" w:cs="Times New Roman"/>
          <w:sz w:val="24"/>
          <w:szCs w:val="24"/>
        </w:rPr>
        <w:t xml:space="preserve">For more information on requests for waiving Program requirements, refer to SP 15-2018, CACFP 12-2018, SFSP 05-2018, </w:t>
      </w:r>
      <w:r>
        <w:rPr>
          <w:rFonts w:ascii="Times New Roman" w:hAnsi="Times New Roman" w:cs="Times New Roman"/>
          <w:i/>
          <w:sz w:val="24"/>
          <w:szCs w:val="24"/>
        </w:rPr>
        <w:t>Child Nutrition Program</w:t>
      </w:r>
      <w:r>
        <w:rPr>
          <w:rFonts w:ascii="Times New Roman" w:hAnsi="Times New Roman" w:cs="Times New Roman"/>
          <w:sz w:val="24"/>
          <w:szCs w:val="24"/>
        </w:rPr>
        <w:t xml:space="preserve"> </w:t>
      </w:r>
      <w:r>
        <w:rPr>
          <w:rFonts w:ascii="Times New Roman" w:hAnsi="Times New Roman" w:cs="Times New Roman"/>
          <w:i/>
          <w:sz w:val="24"/>
          <w:szCs w:val="24"/>
        </w:rPr>
        <w:t>Waiver Request Guidance and Protocol- Revised</w:t>
      </w:r>
      <w:r>
        <w:rPr>
          <w:rFonts w:ascii="Times New Roman" w:hAnsi="Times New Roman" w:cs="Times New Roman"/>
          <w:sz w:val="24"/>
          <w:szCs w:val="24"/>
        </w:rPr>
        <w:t xml:space="preserve">, May 24, 2018.  </w:t>
      </w:r>
    </w:p>
    <w:p>
      <w:pPr>
        <w:spacing w:after="0"/>
        <w:rPr>
          <w:rFonts w:ascii="Times New Roman" w:hAnsi="Times New Roman" w:cs="Times New Roman"/>
          <w:sz w:val="24"/>
          <w:szCs w:val="24"/>
        </w:rPr>
      </w:pPr>
      <w:r>
        <w:rPr>
          <w:rFonts w:ascii="Times New Roman" w:hAnsi="Times New Roman" w:cs="Times New Roman"/>
          <w:sz w:val="24"/>
          <w:szCs w:val="24"/>
        </w:rPr>
        <w:t xml:space="preserve"> </w:t>
      </w:r>
    </w:p>
    <w:p>
      <w:pPr>
        <w:numPr>
          <w:ilvl w:val="0"/>
          <w:numId w:val="11"/>
        </w:numPr>
        <w:tabs>
          <w:tab w:val="left" w:pos="540"/>
        </w:tabs>
        <w:spacing w:after="12" w:line="248" w:lineRule="auto"/>
        <w:ind w:right="550" w:hanging="360"/>
        <w:rPr>
          <w:rFonts w:ascii="Times New Roman" w:hAnsi="Times New Roman" w:cs="Times New Roman"/>
          <w:bCs/>
          <w:sz w:val="24"/>
          <w:szCs w:val="24"/>
        </w:rPr>
      </w:pPr>
      <w:r>
        <w:rPr>
          <w:rFonts w:ascii="Times New Roman" w:hAnsi="Times New Roman" w:cs="Times New Roman"/>
          <w:b/>
          <w:sz w:val="24"/>
          <w:szCs w:val="24"/>
        </w:rPr>
        <w:t xml:space="preserve">State agency submitting waiver request and responsible State agency staff contact information:    </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Department of Education</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Child Nutrition </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Walter Beesley, Director Child Nutrition</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207-624-6875</w:t>
      </w:r>
    </w:p>
    <w:p>
      <w:pPr>
        <w:pStyle w:val="ListParagraph"/>
        <w:spacing w:after="12" w:line="248" w:lineRule="auto"/>
        <w:ind w:left="705" w:right="550"/>
        <w:rPr>
          <w:rFonts w:ascii="Times New Roman" w:hAnsi="Times New Roman" w:cs="Times New Roman"/>
          <w:sz w:val="24"/>
          <w:szCs w:val="24"/>
        </w:rPr>
      </w:pPr>
      <w:hyperlink r:id="rId11" w:history="1">
        <w:r>
          <w:rPr>
            <w:rStyle w:val="Hyperlink"/>
            <w:rFonts w:ascii="Times New Roman" w:hAnsi="Times New Roman" w:cs="Times New Roman"/>
            <w:sz w:val="24"/>
            <w:szCs w:val="24"/>
          </w:rPr>
          <w:t>Walter.beesley@maine.gov</w:t>
        </w:r>
      </w:hyperlink>
    </w:p>
    <w:p>
      <w:pPr>
        <w:spacing w:after="24" w:line="259" w:lineRule="auto"/>
        <w:ind w:left="720"/>
        <w:rPr>
          <w:rFonts w:ascii="Times New Roman" w:hAnsi="Times New Roman" w:cs="Times New Roman"/>
          <w:sz w:val="24"/>
          <w:szCs w:val="24"/>
        </w:rPr>
      </w:pPr>
    </w:p>
    <w:p>
      <w:pPr>
        <w:numPr>
          <w:ilvl w:val="0"/>
          <w:numId w:val="11"/>
        </w:numPr>
        <w:spacing w:after="12" w:line="248" w:lineRule="auto"/>
        <w:ind w:right="550" w:hanging="360"/>
        <w:rPr>
          <w:rFonts w:ascii="Times New Roman" w:hAnsi="Times New Roman" w:cs="Times New Roman"/>
          <w:sz w:val="24"/>
          <w:szCs w:val="24"/>
        </w:rPr>
      </w:pPr>
      <w:r>
        <w:rPr>
          <w:rFonts w:ascii="Times New Roman" w:hAnsi="Times New Roman" w:cs="Times New Roman"/>
          <w:b/>
          <w:sz w:val="24"/>
          <w:szCs w:val="24"/>
        </w:rPr>
        <w:t xml:space="preserve">Region: </w:t>
      </w:r>
      <w:r>
        <w:rPr>
          <w:rFonts w:ascii="Times New Roman" w:hAnsi="Times New Roman" w:cs="Times New Roman"/>
          <w:bCs/>
          <w:sz w:val="24"/>
          <w:szCs w:val="24"/>
        </w:rPr>
        <w:t>NERO</w:t>
      </w:r>
    </w:p>
    <w:p>
      <w:pPr>
        <w:spacing w:after="22" w:line="259" w:lineRule="auto"/>
        <w:ind w:left="1080" w:firstLine="60"/>
        <w:rPr>
          <w:rFonts w:ascii="Times New Roman" w:hAnsi="Times New Roman" w:cs="Times New Roman"/>
          <w:sz w:val="24"/>
          <w:szCs w:val="24"/>
        </w:rPr>
      </w:pPr>
    </w:p>
    <w:p>
      <w:pPr>
        <w:spacing w:after="12" w:line="248" w:lineRule="auto"/>
        <w:ind w:left="270" w:right="550"/>
        <w:rPr>
          <w:rFonts w:ascii="Times New Roman" w:hAnsi="Times New Roman" w:cs="Times New Roman"/>
          <w:b/>
          <w:sz w:val="24"/>
          <w:szCs w:val="24"/>
        </w:rPr>
      </w:pPr>
      <w:r>
        <w:rPr>
          <w:rFonts w:ascii="Times New Roman" w:hAnsi="Times New Roman" w:cs="Times New Roman"/>
          <w:b/>
          <w:sz w:val="24"/>
          <w:szCs w:val="24"/>
        </w:rPr>
        <w:t xml:space="preserve">3.  Eligible service providers participating in waiver and affirmation that they are </w:t>
      </w:r>
    </w:p>
    <w:p>
      <w:pPr>
        <w:spacing w:after="12" w:line="248" w:lineRule="auto"/>
        <w:ind w:left="345" w:right="550"/>
        <w:rPr>
          <w:rFonts w:ascii="Times New Roman" w:hAnsi="Times New Roman" w:cs="Times New Roman"/>
          <w:bCs/>
          <w:sz w:val="24"/>
          <w:szCs w:val="24"/>
        </w:rPr>
      </w:pPr>
      <w:r>
        <w:rPr>
          <w:rFonts w:ascii="Times New Roman" w:hAnsi="Times New Roman" w:cs="Times New Roman"/>
          <w:b/>
          <w:sz w:val="24"/>
          <w:szCs w:val="24"/>
        </w:rPr>
        <w:t xml:space="preserve">     in good standing: </w:t>
      </w:r>
      <w:r>
        <w:rPr>
          <w:rFonts w:ascii="Times New Roman" w:hAnsi="Times New Roman" w:cs="Times New Roman"/>
          <w:bCs/>
          <w:sz w:val="24"/>
          <w:szCs w:val="24"/>
        </w:rPr>
        <w:t xml:space="preserve">This would be for SFAs in good standing participating in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the NSLP, SFSP</w:t>
      </w:r>
    </w:p>
    <w:p>
      <w:pPr>
        <w:pStyle w:val="ListParagraph"/>
        <w:spacing w:after="0"/>
        <w:ind w:left="0"/>
        <w:rPr>
          <w:rFonts w:ascii="Times New Roman" w:hAnsi="Times New Roman" w:cs="Times New Roman"/>
          <w:b/>
          <w:sz w:val="24"/>
          <w:szCs w:val="24"/>
        </w:rPr>
      </w:pP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4.  Description of the challenge the State agency is seeking to solve, the goal of </w:t>
      </w: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the waiver to improve services under the Program, and the expected outcomes </w:t>
      </w: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if the waiver is granted. [Section 12(l)(2)(A)(iii) and 12(l)(2)(A)(iv) of the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NSLA]:  </w:t>
      </w:r>
      <w:r>
        <w:rPr>
          <w:rFonts w:ascii="Times New Roman" w:hAnsi="Times New Roman" w:cs="Times New Roman"/>
          <w:sz w:val="24"/>
          <w:szCs w:val="24"/>
        </w:rPr>
        <w:t xml:space="preserve">Maine Child Nutrition manages the USDA Food program for NSLP,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CACFP and SFSP.  We have and still use the DOD program for some</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produce purchasing.  USDA and DOD have been unable to secure a contract for DOD for Maine.  The contract for Maine was awarded to a Hartford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Provisions Company, HPC in Hartford, CT in the past and no longer </w:t>
      </w:r>
      <w:proofErr w:type="spellStart"/>
      <w:r>
        <w:rPr>
          <w:rFonts w:ascii="Times New Roman" w:hAnsi="Times New Roman" w:cs="Times New Roman"/>
          <w:sz w:val="24"/>
          <w:szCs w:val="24"/>
        </w:rPr>
        <w:t>quilfy</w:t>
      </w:r>
      <w:proofErr w:type="spellEnd"/>
      <w:r>
        <w:rPr>
          <w:rFonts w:ascii="Times New Roman" w:hAnsi="Times New Roman" w:cs="Times New Roman"/>
          <w:sz w:val="24"/>
          <w:szCs w:val="24"/>
        </w:rPr>
        <w:t xml:space="preserve">.  Delivery was sub-contracted to Native Maine due to logistics and commercial trucking laws.  Local schools in Maine want to use DOD but find it difficult and sometimes for two reasons.  Reason one Maine is so large in area 6.5 hours North to South and 4.5 hours East to West. Second the cost from Connecticut were as much as 3 times higher in price for the same identical product from the same farm. School districts cannot follow the procurement CFR 2 regulations and use DOD properly. </w:t>
      </w:r>
    </w:p>
    <w:p>
      <w:pPr>
        <w:spacing w:after="12" w:line="248" w:lineRule="auto"/>
        <w:ind w:left="705" w:right="550"/>
        <w:rPr>
          <w:rFonts w:ascii="Times New Roman" w:hAnsi="Times New Roman" w:cs="Times New Roman"/>
          <w:sz w:val="24"/>
          <w:szCs w:val="24"/>
        </w:rPr>
      </w:pPr>
    </w:p>
    <w:p>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The DOD products are ordered via FFAVORS which has its challenges, but locals have overcome that issue.  Transportation laws and fuel costs are </w:t>
      </w:r>
      <w:proofErr w:type="gramStart"/>
      <w:r>
        <w:rPr>
          <w:rFonts w:ascii="Times New Roman" w:hAnsi="Times New Roman" w:cs="Times New Roman"/>
          <w:sz w:val="24"/>
          <w:szCs w:val="24"/>
        </w:rPr>
        <w:t>effecting</w:t>
      </w:r>
      <w:proofErr w:type="gramEnd"/>
      <w:r>
        <w:rPr>
          <w:rFonts w:ascii="Times New Roman" w:hAnsi="Times New Roman" w:cs="Times New Roman"/>
          <w:sz w:val="24"/>
          <w:szCs w:val="24"/>
        </w:rPr>
        <w:t xml:space="preserve"> the deliveries to schools in Maine.  There are challenges with the process of ordering from DOD and having delivery in the required number of days.  Then with all the procurement training and review requirements, we discover DOD products are more expensive sometimes as much as 63% (watermelon).</w:t>
      </w:r>
      <w:r>
        <w:rPr>
          <w:rFonts w:ascii="Times New Roman" w:hAnsi="Times New Roman" w:cs="Times New Roman"/>
          <w:color w:val="FF0000"/>
          <w:sz w:val="24"/>
          <w:szCs w:val="24"/>
        </w:rPr>
        <w:t xml:space="preserve">  </w:t>
      </w:r>
      <w:r>
        <w:rPr>
          <w:rFonts w:ascii="Times New Roman" w:hAnsi="Times New Roman" w:cs="Times New Roman"/>
          <w:sz w:val="24"/>
          <w:szCs w:val="24"/>
        </w:rPr>
        <w:t>This is for the same product, brand name quantity coming out of the same box and off the same truck.</w:t>
      </w:r>
      <w:r>
        <w:rPr>
          <w:rFonts w:ascii="Times New Roman" w:hAnsi="Times New Roman" w:cs="Times New Roman"/>
          <w:b/>
          <w:sz w:val="24"/>
          <w:szCs w:val="24"/>
        </w:rPr>
        <w:t xml:space="preserve"> </w:t>
      </w:r>
      <w:r>
        <w:rPr>
          <w:rFonts w:ascii="Times New Roman" w:hAnsi="Times New Roman" w:cs="Times New Roman"/>
          <w:sz w:val="24"/>
          <w:szCs w:val="24"/>
        </w:rPr>
        <w:t>See chart below for September 2021.</w:t>
      </w:r>
    </w:p>
    <w:p>
      <w:pPr>
        <w:spacing w:after="12" w:line="248" w:lineRule="auto"/>
        <w:ind w:left="705" w:right="550"/>
        <w:rPr>
          <w:rFonts w:ascii="Times New Roman" w:hAnsi="Times New Roman" w:cs="Times New Roman"/>
          <w:sz w:val="24"/>
          <w:szCs w:val="24"/>
        </w:rPr>
      </w:pPr>
    </w:p>
    <w:p>
      <w:pPr>
        <w:spacing w:after="12" w:line="248" w:lineRule="auto"/>
        <w:ind w:right="550"/>
        <w:rPr>
          <w:rFonts w:ascii="Times New Roman" w:hAnsi="Times New Roman" w:cs="Times New Roman"/>
          <w:sz w:val="24"/>
          <w:szCs w:val="24"/>
        </w:rPr>
      </w:pPr>
      <w:r>
        <w:rPr>
          <w:rFonts w:ascii="Times New Roman" w:hAnsi="Times New Roman" w:cs="Times New Roman"/>
          <w:b/>
          <w:sz w:val="24"/>
          <w:szCs w:val="24"/>
        </w:rPr>
        <w:t>5.  Specific Program requirements to be waived (include statutory and              regulatory citations). [Section 12(l)(2)(A)(</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of the NSLA]: </w:t>
      </w:r>
      <w:r>
        <w:rPr>
          <w:rFonts w:ascii="Times New Roman" w:hAnsi="Times New Roman" w:cs="Times New Roman"/>
          <w:sz w:val="24"/>
          <w:szCs w:val="24"/>
        </w:rPr>
        <w:t xml:space="preserve"> Maine is a strong supporter of USDA and DOD and its purpose.  Regulations need an update/change. Maine has looked at two options: </w:t>
      </w:r>
    </w:p>
    <w:p>
      <w:pPr>
        <w:pStyle w:val="ListParagraph"/>
        <w:numPr>
          <w:ilvl w:val="1"/>
          <w:numId w:val="12"/>
        </w:num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The well-known Cash in Lieu of Commodities, CLOC (Federal regulation 7 CFR 240) such as CACFP or a reimbursement type program, where the monthly claim pays the USDA rate times number of meals.  This would be our first choice but realizing the USDA position on CLOC, Maine wrote the waiver on option b.  </w:t>
      </w:r>
      <w:r>
        <w:rPr>
          <w:rFonts w:ascii="Times New Roman" w:hAnsi="Times New Roman" w:cs="Times New Roman"/>
          <w:color w:val="333333"/>
          <w:sz w:val="24"/>
          <w:szCs w:val="24"/>
          <w:lang w:val="en"/>
        </w:rPr>
        <w:t xml:space="preserve">§ 250.56 (e) </w:t>
      </w:r>
      <w:r>
        <w:rPr>
          <w:rFonts w:ascii="Times New Roman" w:hAnsi="Times New Roman" w:cs="Times New Roman"/>
          <w:i/>
          <w:iCs/>
          <w:color w:val="333333"/>
          <w:sz w:val="24"/>
          <w:szCs w:val="24"/>
          <w:lang w:val="en"/>
        </w:rPr>
        <w:t>Cash in lieu of donated foods.</w:t>
      </w:r>
      <w:r>
        <w:rPr>
          <w:rFonts w:ascii="Times New Roman" w:hAnsi="Times New Roman" w:cs="Times New Roman"/>
          <w:color w:val="333333"/>
          <w:sz w:val="24"/>
          <w:szCs w:val="24"/>
          <w:lang w:val="en"/>
        </w:rPr>
        <w:t xml:space="preserve"> States that phased out their food distribution facilities prior to July 1, 1974, are permitted to choose to receive cash in lieu of the donated foods to which they would be entitled in NSLP, in accordance with the Richard B. Russell National School Lunch Act (42 U.S.C. 1765) and with 7 CFR part 240</w:t>
      </w:r>
    </w:p>
    <w:p>
      <w:pPr>
        <w:pStyle w:val="ListParagraph"/>
        <w:numPr>
          <w:ilvl w:val="1"/>
          <w:numId w:val="12"/>
        </w:numPr>
        <w:spacing w:after="12" w:line="248" w:lineRule="auto"/>
        <w:ind w:right="550"/>
        <w:rPr>
          <w:rFonts w:ascii="Times New Roman" w:hAnsi="Times New Roman" w:cs="Times New Roman"/>
          <w:sz w:val="24"/>
          <w:szCs w:val="24"/>
        </w:rPr>
        <w:sectPr>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pPr>
    </w:p>
    <w:p>
      <w:pPr>
        <w:pStyle w:val="ListParagraph"/>
        <w:numPr>
          <w:ilvl w:val="1"/>
          <w:numId w:val="12"/>
        </w:numPr>
        <w:spacing w:after="12" w:line="248" w:lineRule="auto"/>
        <w:ind w:right="550"/>
        <w:rPr>
          <w:rFonts w:ascii="Times New Roman" w:hAnsi="Times New Roman" w:cs="Times New Roman"/>
          <w:sz w:val="24"/>
          <w:szCs w:val="24"/>
        </w:rPr>
      </w:pPr>
      <w:r>
        <w:rPr>
          <w:rFonts w:ascii="Times New Roman" w:hAnsi="Times New Roman" w:cs="Times New Roman"/>
          <w:sz w:val="24"/>
          <w:szCs w:val="24"/>
        </w:rPr>
        <w:lastRenderedPageBreak/>
        <w:t xml:space="preserve">In interest of our great farmers nationwide and Maine, Maine is asking that the money normally diverted to DOD would be transferred to the State agency to a fund to be used for reimbursement of fresh produce purchases.  The State agency would accept monthly local claims for reimbursement from districts.  Maine would reimburse them up to the amount that was set aside for the hybrid DOD amount.  Maine DOE/Child Nutrition would maintain an account for the funds, following all accounting Federal and State laws. This would only be for what is called DOD.  We currently have systems in place to make this improvement. </w:t>
      </w:r>
    </w:p>
    <w:p>
      <w:pPr>
        <w:spacing w:after="12" w:line="248" w:lineRule="auto"/>
        <w:ind w:left="705" w:right="550"/>
        <w:rPr>
          <w:rFonts w:ascii="Times New Roman" w:hAnsi="Times New Roman" w:cs="Times New Roman"/>
          <w:sz w:val="24"/>
          <w:szCs w:val="24"/>
        </w:rPr>
      </w:pPr>
    </w:p>
    <w:p>
      <w:pPr>
        <w:pStyle w:val="ListParagraph"/>
        <w:spacing w:after="12" w:line="248" w:lineRule="auto"/>
        <w:ind w:left="705" w:right="550"/>
        <w:rPr>
          <w:rFonts w:ascii="Times New Roman" w:hAnsi="Times New Roman" w:cs="Times New Roman"/>
          <w:color w:val="333333"/>
          <w:sz w:val="24"/>
          <w:szCs w:val="24"/>
          <w:lang w:val="en"/>
        </w:rPr>
      </w:pPr>
      <w:r>
        <w:rPr>
          <w:rFonts w:ascii="Times New Roman" w:hAnsi="Times New Roman" w:cs="Times New Roman"/>
          <w:sz w:val="24"/>
          <w:szCs w:val="24"/>
        </w:rPr>
        <w:t xml:space="preserve">Regulation Maine would like to further strengthen </w:t>
      </w:r>
      <w:r>
        <w:rPr>
          <w:rFonts w:ascii="Times New Roman" w:hAnsi="Times New Roman" w:cs="Times New Roman"/>
          <w:color w:val="333333"/>
          <w:sz w:val="24"/>
          <w:szCs w:val="24"/>
          <w:lang w:val="en"/>
        </w:rPr>
        <w:t xml:space="preserve">§ 250.13 Efficient and cost-effective distribution of donated foods. </w:t>
      </w:r>
    </w:p>
    <w:p>
      <w:pPr>
        <w:pStyle w:val="ListParagraph"/>
        <w:spacing w:after="12" w:line="248" w:lineRule="auto"/>
        <w:ind w:left="705" w:right="550"/>
        <w:rPr>
          <w:rFonts w:ascii="Times New Roman" w:hAnsi="Times New Roman" w:cs="Times New Roman"/>
          <w:color w:val="333333"/>
          <w:sz w:val="24"/>
          <w:szCs w:val="24"/>
          <w:lang w:val="en"/>
        </w:rPr>
      </w:pP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Regulations that will require the waiver 7 CFR 250</w:t>
      </w:r>
    </w:p>
    <w:p>
      <w:pPr>
        <w:pStyle w:val="ListParagraph"/>
        <w:spacing w:after="12" w:line="248" w:lineRule="auto"/>
        <w:ind w:left="705" w:right="550"/>
        <w:rPr>
          <w:rFonts w:ascii="Times New Roman" w:hAnsi="Times New Roman" w:cs="Times New Roman"/>
          <w:color w:val="333333"/>
          <w:sz w:val="24"/>
          <w:szCs w:val="24"/>
          <w:lang w:val="en"/>
        </w:rPr>
      </w:pPr>
    </w:p>
    <w:p>
      <w:pPr>
        <w:pStyle w:val="ListParagraph"/>
        <w:spacing w:after="12" w:line="248" w:lineRule="auto"/>
        <w:ind w:left="705" w:right="55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250.56 Provision of donated foods in NSLP</w:t>
      </w:r>
    </w:p>
    <w:p>
      <w:pPr>
        <w:pStyle w:val="ListParagraph"/>
        <w:spacing w:after="12" w:line="248" w:lineRule="auto"/>
        <w:ind w:left="705" w:right="550"/>
        <w:rPr>
          <w:rFonts w:ascii="Times New Roman" w:hAnsi="Times New Roman" w:cs="Times New Roman"/>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6.  Detailed description of alternative procedures and anticipated impact </w:t>
      </w:r>
    </w:p>
    <w:p>
      <w:pPr>
        <w:spacing w:after="12" w:line="248" w:lineRule="auto"/>
        <w:ind w:left="705" w:right="550"/>
        <w:rPr>
          <w:rFonts w:ascii="Times New Roman" w:hAnsi="Times New Roman" w:cs="Times New Roman"/>
          <w:sz w:val="24"/>
          <w:szCs w:val="24"/>
        </w:rPr>
      </w:pPr>
      <w:r>
        <w:rPr>
          <w:rFonts w:ascii="Times New Roman" w:hAnsi="Times New Roman" w:cs="Times New Roman"/>
          <w:b/>
          <w:sz w:val="24"/>
          <w:szCs w:val="24"/>
        </w:rPr>
        <w:t xml:space="preserve">    on Program operations, including technology, State systems, and monitoring:   </w:t>
      </w:r>
    </w:p>
    <w:p>
      <w:pPr>
        <w:pStyle w:val="ListParagraph"/>
        <w:spacing w:after="12" w:line="248" w:lineRule="auto"/>
        <w:ind w:left="705" w:right="550"/>
        <w:rPr>
          <w:rFonts w:ascii="Times New Roman" w:hAnsi="Times New Roman" w:cs="Times New Roman"/>
          <w:sz w:val="24"/>
          <w:szCs w:val="24"/>
        </w:rPr>
      </w:pP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The procedure we are strongly suggesting would be:</w:t>
      </w:r>
    </w:p>
    <w:tbl>
      <w:tblPr>
        <w:tblStyle w:val="TableGrid"/>
        <w:tblpPr w:leftFromText="180" w:rightFromText="180" w:vertAnchor="text" w:horzAnchor="page" w:tblpX="1498" w:tblpY="95"/>
        <w:tblW w:w="8910" w:type="dxa"/>
        <w:tblLayout w:type="fixed"/>
        <w:tblLook w:val="04A0" w:firstRow="1" w:lastRow="0" w:firstColumn="1" w:lastColumn="0" w:noHBand="0" w:noVBand="1"/>
      </w:tblPr>
      <w:tblGrid>
        <w:gridCol w:w="3775"/>
        <w:gridCol w:w="2705"/>
        <w:gridCol w:w="2430"/>
      </w:tblGrid>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Steps:</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Responsible Party </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 or 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would</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indicate on annual survey/order the amount of dollars to divert to DOD</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would submit amount requested by districts to USDA</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 WBSCM</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creates account for districts of dollar amount requested</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would order product from local vendor or distributor of their choice</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submits bill for reimbursement monthly</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 approves reimbursement request</w:t>
            </w:r>
          </w:p>
        </w:tc>
        <w:tc>
          <w:tcPr>
            <w:tcW w:w="2705" w:type="dxa"/>
          </w:tcPr>
          <w:p>
            <w:pPr>
              <w:pStyle w:val="ListParagraph"/>
              <w:spacing w:after="12" w:line="248" w:lineRule="auto"/>
              <w:ind w:left="705" w:right="550"/>
              <w:rPr>
                <w:rFonts w:ascii="Times New Roman" w:hAnsi="Times New Roman" w:cs="Times New Roman"/>
                <w:sz w:val="24"/>
                <w:szCs w:val="24"/>
              </w:rPr>
            </w:pP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lastRenderedPageBreak/>
              <w:t xml:space="preserve">SA draws money down from USDA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 pays local district using Maine’s payment system</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SA monitors the SFA account, so it does not exceed the requested amount.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SA will include monitoring with the Administrative reviews.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bl>
    <w:p>
      <w:pPr>
        <w:pStyle w:val="ListParagraph"/>
        <w:spacing w:after="12" w:line="248" w:lineRule="auto"/>
        <w:ind w:left="705" w:right="550"/>
        <w:rPr>
          <w:rFonts w:ascii="Times New Roman" w:hAnsi="Times New Roman" w:cs="Times New Roman"/>
          <w:sz w:val="24"/>
          <w:szCs w:val="24"/>
        </w:rPr>
      </w:pPr>
    </w:p>
    <w:p>
      <w:pPr>
        <w:pStyle w:val="ListParagraph"/>
        <w:spacing w:after="333" w:line="259" w:lineRule="auto"/>
        <w:ind w:left="705"/>
        <w:rPr>
          <w:rFonts w:ascii="Times New Roman" w:hAnsi="Times New Roman" w:cs="Times New Roman"/>
          <w:b/>
          <w:sz w:val="24"/>
          <w:szCs w:val="24"/>
        </w:rPr>
      </w:pPr>
      <w:r>
        <w:rPr>
          <w:rFonts w:ascii="Times New Roman" w:hAnsi="Times New Roman" w:cs="Times New Roman"/>
          <w:sz w:val="24"/>
          <w:szCs w:val="24"/>
        </w:rPr>
        <w:t xml:space="preserve">Maine realizes current regulation places severe limitations of this procedure. </w:t>
      </w:r>
    </w:p>
    <w:p>
      <w:pPr>
        <w:spacing w:after="12" w:line="247" w:lineRule="auto"/>
        <w:ind w:left="360" w:right="547" w:firstLine="90"/>
        <w:rPr>
          <w:rFonts w:ascii="Times New Roman" w:hAnsi="Times New Roman" w:cs="Times New Roman"/>
          <w:b/>
          <w:sz w:val="24"/>
          <w:szCs w:val="24"/>
        </w:rPr>
      </w:pPr>
      <w:r>
        <w:rPr>
          <w:rFonts w:ascii="Times New Roman" w:hAnsi="Times New Roman" w:cs="Times New Roman"/>
          <w:b/>
          <w:sz w:val="24"/>
          <w:szCs w:val="24"/>
        </w:rPr>
        <w:t>7.  Description of any steps the State has taken to address regulatory barriers</w:t>
      </w:r>
    </w:p>
    <w:p>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t xml:space="preserve">    at the State level. [Section 12(l)(2)(A)(ii) of the NSLA]: </w:t>
      </w:r>
      <w:r>
        <w:rPr>
          <w:rFonts w:ascii="Times New Roman" w:hAnsi="Times New Roman" w:cs="Times New Roman"/>
          <w:sz w:val="24"/>
          <w:szCs w:val="24"/>
        </w:rPr>
        <w:t xml:space="preserve">Maine has </w:t>
      </w:r>
    </w:p>
    <w:p>
      <w:pPr>
        <w:spacing w:after="12" w:line="247" w:lineRule="auto"/>
        <w:ind w:left="990" w:right="547" w:hanging="28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contacted USDA and DOD about the price difference.  We have notified our NERO office of the price difference so they could share that information and did.  Maine also realizes this is a method for SFAs to utilize their entitlement effectively.  It would allow local producers to deliver in the different regions of the state.   </w:t>
      </w:r>
    </w:p>
    <w:p>
      <w:pPr>
        <w:spacing w:after="12" w:line="248" w:lineRule="auto"/>
        <w:ind w:left="705" w:right="550"/>
        <w:rPr>
          <w:rFonts w:ascii="Times New Roman" w:hAnsi="Times New Roman" w:cs="Times New Roman"/>
          <w:sz w:val="24"/>
          <w:szCs w:val="24"/>
        </w:rPr>
      </w:pPr>
    </w:p>
    <w:p>
      <w:pPr>
        <w:spacing w:after="12" w:line="247" w:lineRule="auto"/>
        <w:ind w:left="360" w:right="547"/>
        <w:rPr>
          <w:rFonts w:ascii="Times New Roman" w:hAnsi="Times New Roman" w:cs="Times New Roman"/>
          <w:b/>
          <w:sz w:val="24"/>
          <w:szCs w:val="24"/>
        </w:rPr>
      </w:pPr>
      <w:r>
        <w:rPr>
          <w:rFonts w:ascii="Times New Roman" w:hAnsi="Times New Roman" w:cs="Times New Roman"/>
          <w:b/>
          <w:sz w:val="24"/>
          <w:szCs w:val="24"/>
        </w:rPr>
        <w:t xml:space="preserve">  8.   Anticipated challenges State or eligible service providers may face with</w:t>
      </w:r>
    </w:p>
    <w:p>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t xml:space="preserve">    the waiver implementation: </w:t>
      </w:r>
      <w:r>
        <w:rPr>
          <w:rFonts w:ascii="Times New Roman" w:hAnsi="Times New Roman" w:cs="Times New Roman"/>
          <w:sz w:val="24"/>
          <w:szCs w:val="24"/>
        </w:rPr>
        <w:t>Training local staff will be first but not a</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major barrier considering this is very similar to what we do now with the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Maine Foods fund created by Maine law.  The district would have to pay and</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then submit for reimbursement for the products.  Procedures will need to</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be created and formalized for consistent regulatory compliance.  Purchase</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would be limited to fresh produce and could be purchased from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producers, produce distributor or broad line distributors much like the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current DOD catalog.  </w:t>
      </w:r>
    </w:p>
    <w:p>
      <w:pPr>
        <w:pStyle w:val="ListParagraph"/>
        <w:spacing w:after="12" w:line="247" w:lineRule="auto"/>
        <w:ind w:left="706" w:right="547"/>
        <w:rPr>
          <w:rFonts w:ascii="Times New Roman" w:hAnsi="Times New Roman" w:cs="Times New Roman"/>
          <w:b/>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9.    Description of how the waiver will not increase the overall cost of the </w:t>
      </w:r>
    </w:p>
    <w:p>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Program to the Federal Government. If there are anticipated increases,</w:t>
      </w:r>
    </w:p>
    <w:p>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confirm that the costs will be paid from non-Federal funds. </w:t>
      </w:r>
    </w:p>
    <w:p>
      <w:pPr>
        <w:spacing w:after="12" w:line="248" w:lineRule="auto"/>
        <w:ind w:left="450" w:right="550"/>
        <w:rPr>
          <w:rFonts w:ascii="Times New Roman" w:hAnsi="Times New Roman" w:cs="Times New Roman"/>
          <w:sz w:val="24"/>
          <w:szCs w:val="24"/>
        </w:rPr>
      </w:pPr>
      <w:r>
        <w:rPr>
          <w:rFonts w:ascii="Times New Roman" w:hAnsi="Times New Roman" w:cs="Times New Roman"/>
          <w:b/>
          <w:sz w:val="24"/>
          <w:szCs w:val="24"/>
        </w:rPr>
        <w:t xml:space="preserve">         [Section 12(l)(1)(A)(iii) of the NSLA]: </w:t>
      </w:r>
      <w:r>
        <w:rPr>
          <w:rFonts w:ascii="Times New Roman" w:hAnsi="Times New Roman" w:cs="Times New Roman"/>
          <w:sz w:val="24"/>
          <w:szCs w:val="24"/>
        </w:rPr>
        <w:t>No cost increase to USDA.  Maine</w:t>
      </w:r>
    </w:p>
    <w:p>
      <w:pPr>
        <w:spacing w:after="12" w:line="248" w:lineRule="auto"/>
        <w:ind w:left="450"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cost increase would be absorbed by current staff.  </w:t>
      </w:r>
    </w:p>
    <w:p>
      <w:pPr>
        <w:spacing w:after="12" w:line="248" w:lineRule="auto"/>
        <w:ind w:left="450" w:right="550"/>
        <w:rPr>
          <w:rFonts w:ascii="Times New Roman" w:hAnsi="Times New Roman" w:cs="Times New Roman"/>
          <w:b/>
          <w:sz w:val="24"/>
          <w:szCs w:val="24"/>
        </w:rPr>
      </w:pPr>
    </w:p>
    <w:p>
      <w:pPr>
        <w:spacing w:after="12" w:line="259" w:lineRule="auto"/>
        <w:ind w:left="540" w:right="547"/>
        <w:rPr>
          <w:rFonts w:ascii="Times New Roman" w:hAnsi="Times New Roman" w:cs="Times New Roman"/>
          <w:sz w:val="24"/>
          <w:szCs w:val="24"/>
        </w:rPr>
      </w:pPr>
      <w:r>
        <w:rPr>
          <w:rFonts w:ascii="Times New Roman" w:hAnsi="Times New Roman" w:cs="Times New Roman"/>
          <w:b/>
          <w:sz w:val="24"/>
          <w:szCs w:val="24"/>
        </w:rPr>
        <w:t xml:space="preserve">10. Anticipated waiver implementation date and </w:t>
      </w:r>
      <w:proofErr w:type="gramStart"/>
      <w:r>
        <w:rPr>
          <w:rFonts w:ascii="Times New Roman" w:hAnsi="Times New Roman" w:cs="Times New Roman"/>
          <w:b/>
          <w:sz w:val="24"/>
          <w:szCs w:val="24"/>
        </w:rPr>
        <w:t>time period</w:t>
      </w:r>
      <w:proofErr w:type="gramEnd"/>
      <w:r>
        <w:rPr>
          <w:rFonts w:ascii="Times New Roman" w:hAnsi="Times New Roman" w:cs="Times New Roman"/>
          <w:b/>
          <w:sz w:val="24"/>
          <w:szCs w:val="24"/>
        </w:rPr>
        <w:t xml:space="preserve">:   </w:t>
      </w:r>
      <w:r>
        <w:rPr>
          <w:rFonts w:ascii="Times New Roman" w:hAnsi="Times New Roman" w:cs="Times New Roman"/>
          <w:sz w:val="24"/>
          <w:szCs w:val="24"/>
        </w:rPr>
        <w:t>The project</w:t>
      </w:r>
    </w:p>
    <w:p>
      <w:pPr>
        <w:spacing w:after="12" w:line="259" w:lineRule="auto"/>
        <w:ind w:left="706" w:right="547"/>
        <w:rPr>
          <w:rFonts w:ascii="Times New Roman" w:hAnsi="Times New Roman" w:cs="Times New Roman"/>
          <w:sz w:val="24"/>
          <w:szCs w:val="24"/>
        </w:rPr>
      </w:pPr>
      <w:r>
        <w:rPr>
          <w:rFonts w:ascii="Times New Roman" w:hAnsi="Times New Roman" w:cs="Times New Roman"/>
          <w:sz w:val="24"/>
          <w:szCs w:val="24"/>
        </w:rPr>
        <w:t xml:space="preserve">    could start as early as 7/1/2022 with USDA wavier approval.  </w:t>
      </w:r>
    </w:p>
    <w:p>
      <w:pPr>
        <w:spacing w:after="12" w:line="259" w:lineRule="auto"/>
        <w:ind w:left="706" w:right="547"/>
        <w:rPr>
          <w:rFonts w:ascii="Times New Roman" w:hAnsi="Times New Roman" w:cs="Times New Roman"/>
          <w:sz w:val="24"/>
          <w:szCs w:val="24"/>
        </w:rPr>
      </w:pPr>
    </w:p>
    <w:p>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lastRenderedPageBreak/>
        <w:t xml:space="preserve">11. Proposed monitoring and review procedures:   </w:t>
      </w:r>
      <w:r>
        <w:rPr>
          <w:rFonts w:ascii="Times New Roman" w:hAnsi="Times New Roman" w:cs="Times New Roman"/>
          <w:bCs/>
          <w:sz w:val="24"/>
          <w:szCs w:val="24"/>
        </w:rPr>
        <w:t xml:space="preserve">The State Agency will handle requests for payment.  During Admin Reviews, staff will review documentation on site.  </w:t>
      </w:r>
    </w:p>
    <w:p>
      <w:pPr>
        <w:spacing w:after="0"/>
        <w:ind w:left="720" w:firstLine="58"/>
        <w:rPr>
          <w:rFonts w:ascii="Times New Roman" w:hAnsi="Times New Roman" w:cs="Times New Roman"/>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12. Proposed reporting requirements (include type of data and due date(s) </w:t>
      </w:r>
    </w:p>
    <w:p>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t xml:space="preserve">      to FNS):  </w:t>
      </w:r>
      <w:r>
        <w:rPr>
          <w:rFonts w:ascii="Times New Roman" w:hAnsi="Times New Roman" w:cs="Times New Roman"/>
          <w:bCs/>
          <w:sz w:val="24"/>
          <w:szCs w:val="24"/>
        </w:rPr>
        <w:t>Reporting would occur the same process in place as the monthly claim for reimbursement. Year end close out of DoD and USDA Food would be the same.</w:t>
      </w:r>
    </w:p>
    <w:p>
      <w:pPr>
        <w:spacing w:after="0" w:line="259" w:lineRule="auto"/>
        <w:ind w:left="360" w:firstLine="60"/>
        <w:rPr>
          <w:rFonts w:ascii="Times New Roman" w:hAnsi="Times New Roman" w:cs="Times New Roman"/>
          <w:sz w:val="24"/>
          <w:szCs w:val="24"/>
        </w:rPr>
      </w:pPr>
    </w:p>
    <w:p>
      <w:pPr>
        <w:spacing w:after="12" w:line="248" w:lineRule="auto"/>
        <w:ind w:left="720" w:right="550" w:hanging="180"/>
        <w:rPr>
          <w:rFonts w:ascii="Times New Roman" w:hAnsi="Times New Roman" w:cs="Times New Roman"/>
          <w:b/>
          <w:sz w:val="24"/>
          <w:szCs w:val="24"/>
        </w:rPr>
      </w:pPr>
      <w:r>
        <w:rPr>
          <w:rFonts w:ascii="Times New Roman" w:hAnsi="Times New Roman" w:cs="Times New Roman"/>
          <w:b/>
          <w:sz w:val="24"/>
          <w:szCs w:val="24"/>
        </w:rPr>
        <w:t xml:space="preserve">13. Link to or a copy of the public notice informing the public about the </w:t>
      </w:r>
    </w:p>
    <w:p>
      <w:pPr>
        <w:spacing w:after="12" w:line="248" w:lineRule="auto"/>
        <w:ind w:left="720" w:right="550" w:hanging="180"/>
        <w:rPr>
          <w:rFonts w:ascii="Times New Roman" w:hAnsi="Times New Roman" w:cs="Times New Roman"/>
          <w:sz w:val="24"/>
          <w:szCs w:val="24"/>
        </w:rPr>
      </w:pPr>
      <w:r>
        <w:rPr>
          <w:rFonts w:ascii="Times New Roman" w:hAnsi="Times New Roman" w:cs="Times New Roman"/>
          <w:b/>
          <w:sz w:val="24"/>
          <w:szCs w:val="24"/>
        </w:rPr>
        <w:t xml:space="preserve">      proposed waiver [Section 12(l)(1)(A)(ii) of the NSLA]: </w:t>
      </w:r>
    </w:p>
    <w:p>
      <w:pPr>
        <w:spacing w:after="0" w:line="259" w:lineRule="auto"/>
        <w:ind w:left="360" w:firstLine="60"/>
        <w:rPr>
          <w:rFonts w:ascii="Times New Roman" w:hAnsi="Times New Roman" w:cs="Times New Roman"/>
          <w:sz w:val="24"/>
          <w:szCs w:val="24"/>
        </w:rPr>
      </w:pPr>
      <w:hyperlink r:id="rId16" w:history="1">
        <w:r>
          <w:rPr>
            <w:rStyle w:val="Hyperlink"/>
            <w:rFonts w:ascii="Times New Roman" w:hAnsi="Times New Roman" w:cs="Times New Roman"/>
            <w:sz w:val="24"/>
            <w:szCs w:val="24"/>
          </w:rPr>
          <w:t>https://www.maine.gov/doe/schools/nutrition/laws</w:t>
        </w:r>
      </w:hyperlink>
      <w:r>
        <w:rPr>
          <w:rFonts w:ascii="Times New Roman" w:hAnsi="Times New Roman" w:cs="Times New Roman"/>
          <w:sz w:val="24"/>
          <w:szCs w:val="24"/>
        </w:rPr>
        <w:t xml:space="preserve"> </w:t>
      </w:r>
    </w:p>
    <w:p>
      <w:pPr>
        <w:spacing w:after="12" w:line="248" w:lineRule="auto"/>
        <w:ind w:left="630" w:right="550" w:hanging="90"/>
        <w:rPr>
          <w:rFonts w:ascii="Times New Roman" w:hAnsi="Times New Roman" w:cs="Times New Roman"/>
          <w:sz w:val="24"/>
          <w:szCs w:val="24"/>
        </w:rPr>
      </w:pPr>
      <w:r>
        <w:rPr>
          <w:rFonts w:ascii="Times New Roman" w:hAnsi="Times New Roman" w:cs="Times New Roman"/>
          <w:b/>
          <w:sz w:val="24"/>
          <w:szCs w:val="24"/>
        </w:rPr>
        <w:t xml:space="preserve">14. Signature and title of requesting official:  </w:t>
      </w:r>
      <w:r>
        <w:rPr>
          <w:rFonts w:ascii="Freestyle Script" w:hAnsi="Freestyle Script" w:cs="Times New Roman"/>
          <w:b/>
          <w:sz w:val="24"/>
          <w:szCs w:val="24"/>
        </w:rPr>
        <w:t>Walter Beesley</w:t>
      </w:r>
    </w:p>
    <w:p>
      <w:pPr>
        <w:spacing w:after="0" w:line="259" w:lineRule="auto"/>
        <w:ind w:left="360"/>
        <w:rPr>
          <w:rFonts w:ascii="Times New Roman" w:hAnsi="Times New Roman" w:cs="Times New Roman"/>
          <w:sz w:val="24"/>
          <w:szCs w:val="24"/>
        </w:rPr>
      </w:pPr>
      <w:r>
        <w:rPr>
          <w:rFonts w:ascii="Times New Roman" w:eastAsia="Arial" w:hAnsi="Times New Roman" w:cs="Times New Roman"/>
          <w:b/>
          <w:sz w:val="24"/>
          <w:szCs w:val="24"/>
        </w:rPr>
        <w:t xml:space="preserve"> </w:t>
      </w:r>
    </w:p>
    <w:p>
      <w:pPr>
        <w:spacing w:after="12" w:line="248" w:lineRule="auto"/>
        <w:ind w:left="720" w:right="550" w:firstLine="451"/>
        <w:rPr>
          <w:rFonts w:ascii="Times New Roman" w:hAnsi="Times New Roman" w:cs="Times New Roman"/>
          <w:sz w:val="24"/>
          <w:szCs w:val="24"/>
        </w:rPr>
      </w:pPr>
      <w:r>
        <w:rPr>
          <w:rFonts w:ascii="Times New Roman" w:hAnsi="Times New Roman" w:cs="Times New Roman"/>
          <w:b/>
          <w:sz w:val="24"/>
          <w:szCs w:val="24"/>
        </w:rPr>
        <w:t xml:space="preserve">Director Child Nutrition Maine DOE _________________________________________________ </w:t>
      </w:r>
    </w:p>
    <w:p>
      <w:pPr>
        <w:spacing w:after="33"/>
        <w:ind w:left="1181"/>
        <w:rPr>
          <w:rFonts w:ascii="Times New Roman" w:hAnsi="Times New Roman" w:cs="Times New Roman"/>
          <w:sz w:val="24"/>
          <w:szCs w:val="24"/>
        </w:rPr>
      </w:pPr>
      <w:r>
        <w:rPr>
          <w:rFonts w:ascii="Times New Roman" w:hAnsi="Times New Roman" w:cs="Times New Roman"/>
          <w:sz w:val="24"/>
          <w:szCs w:val="24"/>
        </w:rPr>
        <w:t xml:space="preserve">Title:  </w:t>
      </w:r>
    </w:p>
    <w:p>
      <w:pPr>
        <w:ind w:left="1181"/>
        <w:rPr>
          <w:rFonts w:ascii="Times New Roman" w:hAnsi="Times New Roman" w:cs="Times New Roman"/>
          <w:sz w:val="24"/>
          <w:szCs w:val="24"/>
        </w:rPr>
      </w:pPr>
      <w:r>
        <w:rPr>
          <w:rFonts w:ascii="Times New Roman" w:hAnsi="Times New Roman" w:cs="Times New Roman"/>
          <w:sz w:val="24"/>
          <w:szCs w:val="24"/>
        </w:rPr>
        <w:t xml:space="preserve">Requesting official’s email address for transmission of response:  </w:t>
      </w:r>
      <w:hyperlink r:id="rId17" w:history="1">
        <w:r>
          <w:rPr>
            <w:rStyle w:val="Hyperlink"/>
            <w:rFonts w:ascii="Times New Roman" w:hAnsi="Times New Roman" w:cs="Times New Roman"/>
            <w:sz w:val="24"/>
            <w:szCs w:val="24"/>
          </w:rPr>
          <w:t>walter.beesley@maine.gov</w:t>
        </w:r>
      </w:hyperlink>
      <w:r>
        <w:rPr>
          <w:rFonts w:ascii="Times New Roman" w:hAnsi="Times New Roman" w:cs="Times New Roman"/>
          <w:sz w:val="24"/>
          <w:szCs w:val="24"/>
        </w:rPr>
        <w:t xml:space="preserve"> or Janette.kirk@maine.gov</w:t>
      </w:r>
    </w:p>
    <w:p>
      <w:pPr>
        <w:spacing w:after="0" w:line="259" w:lineRule="auto"/>
        <w:ind w:left="1377"/>
        <w:jc w:val="center"/>
        <w:rPr>
          <w:rFonts w:ascii="Times New Roman" w:hAnsi="Times New Roman" w:cs="Times New Roman"/>
          <w:sz w:val="24"/>
          <w:szCs w:val="24"/>
        </w:rPr>
      </w:pPr>
      <w:r>
        <w:rPr>
          <w:rFonts w:ascii="Times New Roman" w:hAnsi="Times New Roman" w:cs="Times New Roman"/>
          <w:b/>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TO BE COMPLETED BY FNS REGIONAL OFFICE:</w:t>
      </w:r>
      <w:r>
        <w:rPr>
          <w:rFonts w:ascii="Times New Roman" w:hAnsi="Times New Roman" w:cs="Times New Roman"/>
          <w:i/>
          <w:sz w:val="24"/>
          <w:szCs w:val="24"/>
        </w:rPr>
        <w:t xml:space="preserve"> </w:t>
      </w:r>
    </w:p>
    <w:p>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pPr>
        <w:spacing w:after="0" w:line="238" w:lineRule="auto"/>
        <w:ind w:left="360"/>
        <w:rPr>
          <w:rFonts w:ascii="Times New Roman" w:hAnsi="Times New Roman" w:cs="Times New Roman"/>
          <w:sz w:val="24"/>
          <w:szCs w:val="24"/>
        </w:rPr>
      </w:pPr>
      <w:r>
        <w:rPr>
          <w:rFonts w:ascii="Times New Roman" w:hAnsi="Times New Roman" w:cs="Times New Roman"/>
          <w:i/>
          <w:sz w:val="24"/>
          <w:szCs w:val="24"/>
        </w:rPr>
        <w:t xml:space="preserve">FNS Regional Offices are requested to ensure the questions have been adequately addressed by the State agency and formulate an opinion and justification for a response to the waiver request based on their knowledge, </w:t>
      </w:r>
      <w:proofErr w:type="gramStart"/>
      <w:r>
        <w:rPr>
          <w:rFonts w:ascii="Times New Roman" w:hAnsi="Times New Roman" w:cs="Times New Roman"/>
          <w:i/>
          <w:sz w:val="24"/>
          <w:szCs w:val="24"/>
        </w:rPr>
        <w:t>experience</w:t>
      </w:r>
      <w:proofErr w:type="gramEnd"/>
      <w:r>
        <w:rPr>
          <w:rFonts w:ascii="Times New Roman" w:hAnsi="Times New Roman" w:cs="Times New Roman"/>
          <w:i/>
          <w:sz w:val="24"/>
          <w:szCs w:val="24"/>
        </w:rPr>
        <w:t xml:space="preserve"> and work with the State. </w:t>
      </w:r>
    </w:p>
    <w:p>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 xml:space="preserve">Date request was received at Regional Office:   </w:t>
      </w:r>
    </w:p>
    <w:p>
      <w:pPr>
        <w:spacing w:after="12" w:line="248" w:lineRule="auto"/>
        <w:ind w:left="1080" w:right="550" w:hanging="360"/>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Check this box to confirm that the State agency has provided public notice in accordance with Section 12(l)(1)(A)(ii) of the NSLA </w:t>
      </w:r>
    </w:p>
    <w:p>
      <w:pPr>
        <w:spacing w:after="38" w:line="259" w:lineRule="auto"/>
        <w:ind w:left="1080"/>
        <w:rPr>
          <w:rFonts w:ascii="Times New Roman" w:hAnsi="Times New Roman" w:cs="Times New Roman"/>
          <w:sz w:val="24"/>
          <w:szCs w:val="24"/>
        </w:rPr>
      </w:pPr>
      <w:r>
        <w:rPr>
          <w:rFonts w:ascii="Times New Roman" w:hAnsi="Times New Roman" w:cs="Times New Roman"/>
          <w:b/>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Regional Office Analysis and Recommendations:   </w:t>
      </w:r>
    </w:p>
    <w:p>
      <w:pPr>
        <w:spacing w:after="0" w:line="259" w:lineRule="auto"/>
        <w:ind w:left="360"/>
        <w:rPr>
          <w:rFonts w:ascii="Times New Roman" w:hAnsi="Times New Roman" w:cs="Times New Roman"/>
          <w:sz w:val="24"/>
          <w:szCs w:val="24"/>
        </w:rPr>
      </w:pPr>
    </w:p>
    <w:p>
      <w:pPr>
        <w:rPr>
          <w:rFonts w:ascii="Times New Roman" w:hAnsi="Times New Roman" w:cs="Times New Roman"/>
          <w:sz w:val="24"/>
          <w:szCs w:val="24"/>
        </w:rPr>
      </w:pPr>
    </w:p>
    <w:sectPr>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tc>
        <w:tcPr>
          <w:tcW w:w="3120" w:type="dxa"/>
        </w:tcPr>
        <w:p>
          <w:pPr>
            <w:pStyle w:val="Header"/>
            <w:ind w:left="-115"/>
          </w:pPr>
        </w:p>
      </w:tc>
      <w:tc>
        <w:tcPr>
          <w:tcW w:w="3120" w:type="dxa"/>
        </w:tcPr>
        <w:p>
          <w:pPr>
            <w:pStyle w:val="Header"/>
            <w:jc w:val="center"/>
          </w:pPr>
        </w:p>
      </w:tc>
      <w:tc>
        <w:tcPr>
          <w:tcW w:w="3120" w:type="dxa"/>
        </w:tcPr>
        <w:p>
          <w:pPr>
            <w:pStyle w:val="Header"/>
            <w:ind w:right="-115"/>
            <w:jc w:val="right"/>
          </w:pPr>
        </w:p>
      </w:tc>
    </w:tr>
  </w:tbl>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360"/>
        <w:tab w:val="right" w:pos="9720"/>
      </w:tabs>
      <w:ind w:right="-720" w:hanging="540"/>
      <w:rPr>
        <w:rFonts w:ascii="Book Antiqua" w:hAnsi="Book Antiqua"/>
        <w:noProof/>
        <w:color w:val="3333FF"/>
        <w:sz w:val="16"/>
        <w:szCs w:val="16"/>
      </w:rPr>
    </w:pPr>
    <w:r>
      <w:rPr>
        <w:rFonts w:ascii="Book Antiqua" w:hAnsi="Book Antiqua"/>
        <w:noProof/>
        <w:color w:val="3333FF"/>
        <w:sz w:val="18"/>
        <w:szCs w:val="18"/>
      </w:rPr>
      <w:t>OFFICES LOCATED AT THE BURTON M. CROSS STATE OFFICE BUILDING</w:t>
    </w:r>
    <w:r>
      <w:rPr>
        <w:noProof/>
      </w:rPr>
      <w:t xml:space="preserve">                         </w:t>
    </w:r>
    <w:r>
      <w:rPr>
        <w:rFonts w:ascii="Book Antiqua" w:hAnsi="Book Antiqua"/>
        <w:noProof/>
        <w:color w:val="3333FF"/>
        <w:sz w:val="16"/>
        <w:szCs w:val="16"/>
      </w:rPr>
      <w:t>AN EQUAL OPPORTUNITY EMPLOYER</w:t>
    </w:r>
  </w:p>
  <w:p>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PHONE (207) 624-6600     FAX:  (207) 624-6700     TTY USERS CALL MAINE RELAY 711                                     ONLINE:  WWW.MAINE.GOV/DOE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360"/>
        <w:tab w:val="right" w:pos="9720"/>
      </w:tabs>
      <w:ind w:right="-720" w:hanging="540"/>
      <w:rPr>
        <w:rFonts w:ascii="Book Antiqua" w:hAnsi="Book Antiqua"/>
        <w:color w:val="3333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tc>
        <w:tcPr>
          <w:tcW w:w="3120" w:type="dxa"/>
        </w:tcPr>
        <w:p>
          <w:pPr>
            <w:pStyle w:val="Header"/>
            <w:ind w:left="-115"/>
          </w:pPr>
        </w:p>
      </w:tc>
      <w:tc>
        <w:tcPr>
          <w:tcW w:w="3120" w:type="dxa"/>
        </w:tcPr>
        <w:p>
          <w:pPr>
            <w:pStyle w:val="Header"/>
            <w:jc w:val="center"/>
          </w:pPr>
        </w:p>
      </w:tc>
      <w:tc>
        <w:tcPr>
          <w:tcW w:w="3120" w:type="dxa"/>
        </w:tcPr>
        <w:p>
          <w:pPr>
            <w:pStyle w:val="Header"/>
            <w:ind w:right="-115"/>
            <w:jc w:val="right"/>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center"/>
      <w:rPr>
        <w:rFonts w:ascii="Book Antiqua" w:hAnsi="Book Antiqua"/>
        <w:b/>
        <w:color w:val="3333FF"/>
        <w:sz w:val="18"/>
        <w:szCs w:val="18"/>
      </w:rPr>
    </w:pPr>
    <w:r>
      <w:rPr>
        <w:noProof/>
      </w:rPr>
      <w:drawing>
        <wp:anchor distT="0" distB="0" distL="114300" distR="114300" simplePos="0" relativeHeight="251663360" behindDoc="0" locked="0" layoutInCell="1" allowOverlap="1">
          <wp:simplePos x="0" y="0"/>
          <wp:positionH relativeFrom="column">
            <wp:posOffset>-113665</wp:posOffset>
          </wp:positionH>
          <wp:positionV relativeFrom="paragraph">
            <wp:posOffset>106680</wp:posOffset>
          </wp:positionV>
          <wp:extent cx="486410" cy="6108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" filled="f" stroked="f">
              <v:textbox style="mso-fit-shape-to-text:t">
                <w:txbxContent>
                  <w:p/>
                </w:txbxContent>
              </v:textbox>
            </v:shape>
          </w:pict>
        </mc:Fallback>
      </mc:AlternateContent>
    </w:r>
    <w:r>
      <w:rPr>
        <w:rFonts w:ascii="Book Antiqua" w:hAnsi="Book Antiqua"/>
        <w:noProof/>
        <w:color w:val="3333FF"/>
        <w:sz w:val="16"/>
        <w:szCs w:val="16"/>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pt;margin-top:-2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" filled="f" stroked="f">
              <v:textbox>
                <w:txbxContent>
                  <w:p/>
                </w:txbxContent>
              </v:textbox>
            </v:shape>
          </w:pict>
        </mc:Fallback>
      </mc:AlternateContent>
    </w:r>
    <w:r>
      <w:rPr>
        <w:rFonts w:ascii="Book Antiqua" w:hAnsi="Book Antiqua"/>
        <w:b/>
        <w:bCs/>
        <w:color w:val="3333FF"/>
        <w:sz w:val="18"/>
        <w:szCs w:val="18"/>
      </w:rPr>
      <w:t>STATE OF MAINE</w:t>
    </w:r>
  </w:p>
  <w:p>
    <w:pPr>
      <w:pStyle w:val="Header"/>
      <w:jc w:val="center"/>
      <w:rPr>
        <w:rFonts w:ascii="Book Antiqua" w:hAnsi="Book Antiqua"/>
        <w:b/>
        <w:color w:val="3333FF"/>
        <w:sz w:val="18"/>
        <w:szCs w:val="18"/>
      </w:rPr>
    </w:pPr>
    <w:r>
      <w:rPr>
        <w:rFonts w:ascii="Book Antiqua" w:hAnsi="Book Antiqua"/>
        <w:b/>
        <w:color w:val="3333FF"/>
        <w:sz w:val="18"/>
        <w:szCs w:val="18"/>
      </w:rPr>
      <w:t>DEPARTMENT OF EDUCATION</w:t>
    </w:r>
  </w:p>
  <w:p>
    <w:pPr>
      <w:pStyle w:val="Header"/>
      <w:jc w:val="center"/>
      <w:rPr>
        <w:rFonts w:ascii="Book Antiqua" w:hAnsi="Book Antiqua"/>
        <w:b/>
        <w:color w:val="3333FF"/>
        <w:sz w:val="18"/>
        <w:szCs w:val="18"/>
      </w:rPr>
    </w:pPr>
    <w:r>
      <w:rPr>
        <w:rFonts w:ascii="Book Antiqua" w:hAnsi="Book Antiqua"/>
        <w:b/>
        <w:color w:val="3333FF"/>
        <w:sz w:val="18"/>
        <w:szCs w:val="18"/>
      </w:rPr>
      <w:t>23 STATE HOUSE STATION</w:t>
    </w:r>
  </w:p>
  <w:p>
    <w:pPr>
      <w:pStyle w:val="Header"/>
      <w:jc w:val="center"/>
      <w:rPr>
        <w:rFonts w:ascii="Book Antiqua" w:hAnsi="Book Antiqua"/>
        <w:b/>
        <w:color w:val="3333FF"/>
        <w:sz w:val="18"/>
        <w:szCs w:val="18"/>
      </w:rPr>
    </w:pPr>
    <w:r>
      <w:rPr>
        <w:rFonts w:ascii="Book Antiqua" w:hAnsi="Book Antiqua"/>
        <w:b/>
        <w:color w:val="3333FF"/>
        <w:sz w:val="18"/>
        <w:szCs w:val="18"/>
      </w:rPr>
      <w:t>AUGUSTA, ME  04333-0023</w:t>
    </w:r>
  </w:p>
  <w:p>
    <w:pPr>
      <w:pStyle w:val="Header"/>
      <w:jc w:val="center"/>
      <w:rPr>
        <w:rFonts w:ascii="Book Antiqua" w:hAnsi="Book Antiqua"/>
        <w:b/>
        <w:color w:val="3333FF"/>
        <w:sz w:val="18"/>
        <w:szCs w:val="18"/>
      </w:rPr>
    </w:pPr>
  </w:p>
  <w:p>
    <w:pPr>
      <w:pStyle w:val="Header"/>
      <w:tabs>
        <w:tab w:val="clear" w:pos="9360"/>
        <w:tab w:val="right" w:pos="9720"/>
      </w:tabs>
      <w:ind w:right="-720"/>
    </w:pPr>
  </w:p>
  <w:p>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 xml:space="preserve">JANET T. MILLS  </w:t>
    </w:r>
    <w:r>
      <w:rPr>
        <w:rFonts w:ascii="Book Antiqua" w:hAnsi="Book Antiqua"/>
        <w:b/>
        <w:color w:val="3333FF"/>
        <w:sz w:val="18"/>
        <w:szCs w:val="18"/>
      </w:rPr>
      <w:t xml:space="preserve">                                                                                                                                                                  PENDER MAKIN</w:t>
    </w:r>
  </w:p>
  <w:p>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Pr>
        <w:rFonts w:ascii="Book Antiqua" w:hAnsi="Book Antiqua"/>
        <w:b/>
        <w:color w:val="3333FF"/>
        <w:sz w:val="14"/>
        <w:szCs w:val="14"/>
      </w:rPr>
      <w:t xml:space="preserve">GOVERNOR   </w:t>
    </w:r>
    <w:r>
      <w:rPr>
        <w:rFonts w:ascii="Book Antiqua" w:hAnsi="Book Antiqua"/>
        <w:b/>
        <w:color w:val="3333FF"/>
        <w:sz w:val="18"/>
        <w:szCs w:val="18"/>
      </w:rPr>
      <w:t xml:space="preserve">                                                                                                                                                                  </w:t>
    </w:r>
    <w:r>
      <w:rPr>
        <w:rFonts w:ascii="Book Antiqua" w:hAnsi="Book Antiqua"/>
        <w:b/>
        <w:color w:val="3333FF"/>
        <w:sz w:val="14"/>
        <w:szCs w:val="14"/>
      </w:rPr>
      <w:t xml:space="preserve">         COMMISSIONER</w:t>
    </w:r>
  </w:p>
  <w:p>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6338"/>
    <w:multiLevelType w:val="multilevel"/>
    <w:tmpl w:val="642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2FF3"/>
    <w:multiLevelType w:val="hybridMultilevel"/>
    <w:tmpl w:val="359C21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633"/>
    <w:multiLevelType w:val="hybridMultilevel"/>
    <w:tmpl w:val="37DA07DA"/>
    <w:lvl w:ilvl="0" w:tplc="91C4808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75F5"/>
    <w:multiLevelType w:val="hybridMultilevel"/>
    <w:tmpl w:val="F3049E5C"/>
    <w:lvl w:ilvl="0" w:tplc="0409000F">
      <w:start w:val="1"/>
      <w:numFmt w:val="decimal"/>
      <w:lvlText w:val="%1."/>
      <w:lvlJc w:val="left"/>
      <w:pPr>
        <w:ind w:left="705"/>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14BE"/>
    <w:multiLevelType w:val="hybridMultilevel"/>
    <w:tmpl w:val="DFE8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47FA4"/>
    <w:multiLevelType w:val="hybridMultilevel"/>
    <w:tmpl w:val="676CF9DA"/>
    <w:lvl w:ilvl="0" w:tplc="DCA8B10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379C7"/>
    <w:multiLevelType w:val="hybridMultilevel"/>
    <w:tmpl w:val="E9F86476"/>
    <w:lvl w:ilvl="0" w:tplc="5FAE026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20511"/>
    <w:multiLevelType w:val="hybridMultilevel"/>
    <w:tmpl w:val="1690E636"/>
    <w:lvl w:ilvl="0" w:tplc="0409000F">
      <w:start w:val="1"/>
      <w:numFmt w:val="decimal"/>
      <w:lvlText w:val="%1."/>
      <w:lvlJc w:val="left"/>
      <w:pPr>
        <w:ind w:left="630"/>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65A2"/>
    <w:multiLevelType w:val="hybridMultilevel"/>
    <w:tmpl w:val="02026E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7A3443"/>
    <w:multiLevelType w:val="hybridMultilevel"/>
    <w:tmpl w:val="32381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813405"/>
    <w:multiLevelType w:val="hybridMultilevel"/>
    <w:tmpl w:val="E8E429B4"/>
    <w:lvl w:ilvl="0" w:tplc="85FEC43C">
      <w:start w:val="1"/>
      <w:numFmt w:val="bullet"/>
      <w:lvlText w:val=""/>
      <w:lvlJc w:val="left"/>
      <w:pPr>
        <w:tabs>
          <w:tab w:val="num" w:pos="720"/>
        </w:tabs>
        <w:ind w:left="720" w:hanging="360"/>
      </w:pPr>
      <w:rPr>
        <w:rFonts w:ascii="Symbol" w:hAnsi="Symbol" w:hint="default"/>
        <w:sz w:val="20"/>
      </w:rPr>
    </w:lvl>
    <w:lvl w:ilvl="1" w:tplc="DFB0DC64" w:tentative="1">
      <w:start w:val="1"/>
      <w:numFmt w:val="bullet"/>
      <w:lvlText w:val="o"/>
      <w:lvlJc w:val="left"/>
      <w:pPr>
        <w:tabs>
          <w:tab w:val="num" w:pos="1440"/>
        </w:tabs>
        <w:ind w:left="1440" w:hanging="360"/>
      </w:pPr>
      <w:rPr>
        <w:rFonts w:ascii="Courier New" w:hAnsi="Courier New" w:hint="default"/>
        <w:sz w:val="20"/>
      </w:rPr>
    </w:lvl>
    <w:lvl w:ilvl="2" w:tplc="77882CDC" w:tentative="1">
      <w:start w:val="1"/>
      <w:numFmt w:val="bullet"/>
      <w:lvlText w:val=""/>
      <w:lvlJc w:val="left"/>
      <w:pPr>
        <w:tabs>
          <w:tab w:val="num" w:pos="2160"/>
        </w:tabs>
        <w:ind w:left="2160" w:hanging="360"/>
      </w:pPr>
      <w:rPr>
        <w:rFonts w:ascii="Wingdings" w:hAnsi="Wingdings" w:hint="default"/>
        <w:sz w:val="20"/>
      </w:rPr>
    </w:lvl>
    <w:lvl w:ilvl="3" w:tplc="7EB8BACE" w:tentative="1">
      <w:start w:val="1"/>
      <w:numFmt w:val="bullet"/>
      <w:lvlText w:val=""/>
      <w:lvlJc w:val="left"/>
      <w:pPr>
        <w:tabs>
          <w:tab w:val="num" w:pos="2880"/>
        </w:tabs>
        <w:ind w:left="2880" w:hanging="360"/>
      </w:pPr>
      <w:rPr>
        <w:rFonts w:ascii="Wingdings" w:hAnsi="Wingdings" w:hint="default"/>
        <w:sz w:val="20"/>
      </w:rPr>
    </w:lvl>
    <w:lvl w:ilvl="4" w:tplc="DF649D62" w:tentative="1">
      <w:start w:val="1"/>
      <w:numFmt w:val="bullet"/>
      <w:lvlText w:val=""/>
      <w:lvlJc w:val="left"/>
      <w:pPr>
        <w:tabs>
          <w:tab w:val="num" w:pos="3600"/>
        </w:tabs>
        <w:ind w:left="3600" w:hanging="360"/>
      </w:pPr>
      <w:rPr>
        <w:rFonts w:ascii="Wingdings" w:hAnsi="Wingdings" w:hint="default"/>
        <w:sz w:val="20"/>
      </w:rPr>
    </w:lvl>
    <w:lvl w:ilvl="5" w:tplc="69FECAF4" w:tentative="1">
      <w:start w:val="1"/>
      <w:numFmt w:val="bullet"/>
      <w:lvlText w:val=""/>
      <w:lvlJc w:val="left"/>
      <w:pPr>
        <w:tabs>
          <w:tab w:val="num" w:pos="4320"/>
        </w:tabs>
        <w:ind w:left="4320" w:hanging="360"/>
      </w:pPr>
      <w:rPr>
        <w:rFonts w:ascii="Wingdings" w:hAnsi="Wingdings" w:hint="default"/>
        <w:sz w:val="20"/>
      </w:rPr>
    </w:lvl>
    <w:lvl w:ilvl="6" w:tplc="9E2A2268" w:tentative="1">
      <w:start w:val="1"/>
      <w:numFmt w:val="bullet"/>
      <w:lvlText w:val=""/>
      <w:lvlJc w:val="left"/>
      <w:pPr>
        <w:tabs>
          <w:tab w:val="num" w:pos="5040"/>
        </w:tabs>
        <w:ind w:left="5040" w:hanging="360"/>
      </w:pPr>
      <w:rPr>
        <w:rFonts w:ascii="Wingdings" w:hAnsi="Wingdings" w:hint="default"/>
        <w:sz w:val="20"/>
      </w:rPr>
    </w:lvl>
    <w:lvl w:ilvl="7" w:tplc="3ED002DA" w:tentative="1">
      <w:start w:val="1"/>
      <w:numFmt w:val="bullet"/>
      <w:lvlText w:val=""/>
      <w:lvlJc w:val="left"/>
      <w:pPr>
        <w:tabs>
          <w:tab w:val="num" w:pos="5760"/>
        </w:tabs>
        <w:ind w:left="5760" w:hanging="360"/>
      </w:pPr>
      <w:rPr>
        <w:rFonts w:ascii="Wingdings" w:hAnsi="Wingdings" w:hint="default"/>
        <w:sz w:val="20"/>
      </w:rPr>
    </w:lvl>
    <w:lvl w:ilvl="8" w:tplc="DC8227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2456F"/>
    <w:multiLevelType w:val="hybridMultilevel"/>
    <w:tmpl w:val="117C3A38"/>
    <w:lvl w:ilvl="0" w:tplc="D6FAF422">
      <w:start w:val="1"/>
      <w:numFmt w:val="bullet"/>
      <w:lvlText w:val=""/>
      <w:lvlJc w:val="left"/>
      <w:pPr>
        <w:ind w:left="720" w:hanging="360"/>
      </w:pPr>
      <w:rPr>
        <w:rFonts w:ascii="Symbol" w:hAnsi="Symbol" w:hint="default"/>
      </w:rPr>
    </w:lvl>
    <w:lvl w:ilvl="1" w:tplc="4F1AF4C8">
      <w:start w:val="1"/>
      <w:numFmt w:val="bullet"/>
      <w:lvlText w:val="o"/>
      <w:lvlJc w:val="left"/>
      <w:pPr>
        <w:ind w:left="1440" w:hanging="360"/>
      </w:pPr>
      <w:rPr>
        <w:rFonts w:ascii="Courier New" w:hAnsi="Courier New" w:hint="default"/>
      </w:rPr>
    </w:lvl>
    <w:lvl w:ilvl="2" w:tplc="5338F74A">
      <w:start w:val="1"/>
      <w:numFmt w:val="bullet"/>
      <w:lvlText w:val=""/>
      <w:lvlJc w:val="left"/>
      <w:pPr>
        <w:ind w:left="2160" w:hanging="360"/>
      </w:pPr>
      <w:rPr>
        <w:rFonts w:ascii="Wingdings" w:hAnsi="Wingdings" w:hint="default"/>
      </w:rPr>
    </w:lvl>
    <w:lvl w:ilvl="3" w:tplc="79FE8734">
      <w:start w:val="1"/>
      <w:numFmt w:val="bullet"/>
      <w:lvlText w:val=""/>
      <w:lvlJc w:val="left"/>
      <w:pPr>
        <w:ind w:left="2880" w:hanging="360"/>
      </w:pPr>
      <w:rPr>
        <w:rFonts w:ascii="Symbol" w:hAnsi="Symbol" w:hint="default"/>
      </w:rPr>
    </w:lvl>
    <w:lvl w:ilvl="4" w:tplc="38B62852">
      <w:start w:val="1"/>
      <w:numFmt w:val="bullet"/>
      <w:lvlText w:val="o"/>
      <w:lvlJc w:val="left"/>
      <w:pPr>
        <w:ind w:left="3600" w:hanging="360"/>
      </w:pPr>
      <w:rPr>
        <w:rFonts w:ascii="Courier New" w:hAnsi="Courier New" w:hint="default"/>
      </w:rPr>
    </w:lvl>
    <w:lvl w:ilvl="5" w:tplc="4154A1B4">
      <w:start w:val="1"/>
      <w:numFmt w:val="bullet"/>
      <w:lvlText w:val=""/>
      <w:lvlJc w:val="left"/>
      <w:pPr>
        <w:ind w:left="4320" w:hanging="360"/>
      </w:pPr>
      <w:rPr>
        <w:rFonts w:ascii="Wingdings" w:hAnsi="Wingdings" w:hint="default"/>
      </w:rPr>
    </w:lvl>
    <w:lvl w:ilvl="6" w:tplc="09369AE6">
      <w:start w:val="1"/>
      <w:numFmt w:val="bullet"/>
      <w:lvlText w:val=""/>
      <w:lvlJc w:val="left"/>
      <w:pPr>
        <w:ind w:left="5040" w:hanging="360"/>
      </w:pPr>
      <w:rPr>
        <w:rFonts w:ascii="Symbol" w:hAnsi="Symbol" w:hint="default"/>
      </w:rPr>
    </w:lvl>
    <w:lvl w:ilvl="7" w:tplc="0E3C5DB4">
      <w:start w:val="1"/>
      <w:numFmt w:val="bullet"/>
      <w:lvlText w:val="o"/>
      <w:lvlJc w:val="left"/>
      <w:pPr>
        <w:ind w:left="5760" w:hanging="360"/>
      </w:pPr>
      <w:rPr>
        <w:rFonts w:ascii="Courier New" w:hAnsi="Courier New" w:hint="default"/>
      </w:rPr>
    </w:lvl>
    <w:lvl w:ilvl="8" w:tplc="5C92CD0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5"/>
  </w:num>
  <w:num w:numId="6">
    <w:abstractNumId w:val="1"/>
  </w:num>
  <w:num w:numId="7">
    <w:abstractNumId w:val="2"/>
  </w:num>
  <w:num w:numId="8">
    <w:abstractNumId w:val="8"/>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E7E8C96-411A-4B95-965A-9F7E7C9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pPr>
      <w:spacing w:after="0"/>
    </w:pPr>
    <w:rPr>
      <w:rFonts w:ascii="Calibri" w:hAnsi="Calibri" w:cs="Calibri"/>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5519">
      <w:bodyDiv w:val="1"/>
      <w:marLeft w:val="0"/>
      <w:marRight w:val="0"/>
      <w:marTop w:val="0"/>
      <w:marBottom w:val="0"/>
      <w:divBdr>
        <w:top w:val="none" w:sz="0" w:space="0" w:color="auto"/>
        <w:left w:val="none" w:sz="0" w:space="0" w:color="auto"/>
        <w:bottom w:val="none" w:sz="0" w:space="0" w:color="auto"/>
        <w:right w:val="none" w:sz="0" w:space="0" w:color="auto"/>
      </w:divBdr>
    </w:div>
    <w:div w:id="1216620939">
      <w:bodyDiv w:val="1"/>
      <w:marLeft w:val="0"/>
      <w:marRight w:val="0"/>
      <w:marTop w:val="0"/>
      <w:marBottom w:val="0"/>
      <w:divBdr>
        <w:top w:val="none" w:sz="0" w:space="0" w:color="auto"/>
        <w:left w:val="none" w:sz="0" w:space="0" w:color="auto"/>
        <w:bottom w:val="none" w:sz="0" w:space="0" w:color="auto"/>
        <w:right w:val="none" w:sz="0" w:space="0" w:color="auto"/>
      </w:divBdr>
    </w:div>
    <w:div w:id="15515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alter.beesley@maine.gov" TargetMode="External"/><Relationship Id="rId2" Type="http://schemas.openxmlformats.org/officeDocument/2006/relationships/customXml" Target="../customXml/item2.xml"/><Relationship Id="rId16" Type="http://schemas.openxmlformats.org/officeDocument/2006/relationships/hyperlink" Target="https://www.maine.gov/doe/schools/nutrition/la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lter.beesley@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landry\OneDrive%20-%20State%20of%20Maine\Email%20attachments%20from%20Flow\DOE_Letterhead_Feb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3b8a8e-95df-420d-8e50-114f850bf3fd">
      <UserInfo>
        <DisplayName>Tarr, Jennifer L</DisplayName>
        <AccountId>15</AccountId>
        <AccountType/>
      </UserInfo>
      <UserInfo>
        <DisplayName>Landry, Sean</DisplayName>
        <AccountId>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1E70ED4D7D3418DA1AF012516CB0B" ma:contentTypeVersion="9" ma:contentTypeDescription="Create a new document." ma:contentTypeScope="" ma:versionID="581ef7aca4c6b085aceac57b811efc92">
  <xsd:schema xmlns:xsd="http://www.w3.org/2001/XMLSchema" xmlns:xs="http://www.w3.org/2001/XMLSchema" xmlns:p="http://schemas.microsoft.com/office/2006/metadata/properties" xmlns:ns2="f165a909-3f47-4b2d-a855-c3568b6adb82" xmlns:ns3="8a3b8a8e-95df-420d-8e50-114f850bf3fd" targetNamespace="http://schemas.microsoft.com/office/2006/metadata/properties" ma:root="true" ma:fieldsID="7327d6177c1869cd50fb1e0b5a98985f" ns2:_="" ns3:_="">
    <xsd:import namespace="f165a909-3f47-4b2d-a855-c3568b6adb82"/>
    <xsd:import namespace="8a3b8a8e-95df-420d-8e50-114f850b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a909-3f47-4b2d-a855-c3568b6a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ED8F-EFF6-4CBD-8BBD-D582272B8BB5}">
  <ds:schemaRefs>
    <ds:schemaRef ds:uri="http://schemas.microsoft.com/sharepoint/v3/contenttype/forms"/>
  </ds:schemaRefs>
</ds:datastoreItem>
</file>

<file path=customXml/itemProps2.xml><?xml version="1.0" encoding="utf-8"?>
<ds:datastoreItem xmlns:ds="http://schemas.openxmlformats.org/officeDocument/2006/customXml" ds:itemID="{D93BC795-59F3-4D33-8BC1-A093E70FCC8E}">
  <ds:schemaRefs>
    <ds:schemaRef ds:uri="http://schemas.microsoft.com/office/2006/metadata/properties"/>
    <ds:schemaRef ds:uri="http://schemas.microsoft.com/office/infopath/2007/PartnerControls"/>
    <ds:schemaRef ds:uri="8a3b8a8e-95df-420d-8e50-114f850bf3fd"/>
  </ds:schemaRefs>
</ds:datastoreItem>
</file>

<file path=customXml/itemProps3.xml><?xml version="1.0" encoding="utf-8"?>
<ds:datastoreItem xmlns:ds="http://schemas.openxmlformats.org/officeDocument/2006/customXml" ds:itemID="{42EC922B-45A1-4ED8-96AF-DC7F90C0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a909-3f47-4b2d-a855-c3568b6adb82"/>
    <ds:schemaRef ds:uri="8a3b8a8e-95df-420d-8e50-114f850b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330A0-99CC-4822-9BEC-411470BE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DOE_Letterhead_Feb_2019.dotx</Template>
  <TotalTime>2</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Landry, Sean</dc:creator>
  <cp:lastModifiedBy>Beesley, Walter</cp:lastModifiedBy>
  <cp:revision>2</cp:revision>
  <cp:lastPrinted>2019-10-16T13:59:00Z</cp:lastPrinted>
  <dcterms:created xsi:type="dcterms:W3CDTF">2022-05-11T15:28:00Z</dcterms:created>
  <dcterms:modified xsi:type="dcterms:W3CDTF">2022-05-11T15:28:00Z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0x0101001D81E70ED4D7D3418DA1AF012516CB0B</vt:lpwstr>
  </property>
  <property fmtid="{D5CDD505-2E9C-101B-9397-08002B2CF9AE}" pid="3" name="Order">
    <vt:r8>522600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