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8F4" w:rsidRPr="00000881" w:rsidRDefault="008B08F4">
      <w:pPr>
        <w:pStyle w:val="Normal1"/>
        <w:widowControl w:val="0"/>
        <w:pBdr>
          <w:top w:val="nil"/>
          <w:left w:val="nil"/>
          <w:bottom w:val="nil"/>
          <w:right w:val="nil"/>
          <w:between w:val="nil"/>
        </w:pBdr>
        <w:spacing w:after="0"/>
        <w:rPr>
          <w:rFonts w:ascii="Arial" w:eastAsia="Arial" w:hAnsi="Arial" w:cs="Arial"/>
        </w:rPr>
      </w:pPr>
    </w:p>
    <w:tbl>
      <w:tblPr>
        <w:tblStyle w:val="a"/>
        <w:tblW w:w="10800" w:type="dxa"/>
        <w:tblBorders>
          <w:top w:val="nil"/>
          <w:left w:val="nil"/>
          <w:bottom w:val="nil"/>
          <w:right w:val="nil"/>
          <w:insideH w:val="nil"/>
          <w:insideV w:val="nil"/>
        </w:tblBorders>
        <w:tblLayout w:type="fixed"/>
        <w:tblLook w:val="0400" w:firstRow="0" w:lastRow="0" w:firstColumn="0" w:lastColumn="0" w:noHBand="0" w:noVBand="1"/>
      </w:tblPr>
      <w:tblGrid>
        <w:gridCol w:w="3456"/>
        <w:gridCol w:w="7344"/>
      </w:tblGrid>
      <w:tr w:rsidR="00000881" w:rsidRPr="00000881">
        <w:tc>
          <w:tcPr>
            <w:tcW w:w="3456" w:type="dxa"/>
          </w:tcPr>
          <w:p w:rsidR="008B08F4" w:rsidRPr="00000881" w:rsidRDefault="00810348">
            <w:pPr>
              <w:pStyle w:val="Normal1"/>
            </w:pPr>
            <w:r w:rsidRPr="00000881">
              <w:rPr>
                <w:noProof/>
              </w:rPr>
              <w:drawing>
                <wp:inline distT="0" distB="0" distL="0" distR="0">
                  <wp:extent cx="1828800" cy="66683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28800" cy="666835"/>
                          </a:xfrm>
                          <a:prstGeom prst="rect">
                            <a:avLst/>
                          </a:prstGeom>
                          <a:ln/>
                        </pic:spPr>
                      </pic:pic>
                    </a:graphicData>
                  </a:graphic>
                </wp:inline>
              </w:drawing>
            </w:r>
          </w:p>
        </w:tc>
        <w:tc>
          <w:tcPr>
            <w:tcW w:w="7344" w:type="dxa"/>
            <w:vAlign w:val="center"/>
          </w:tcPr>
          <w:p w:rsidR="008B08F4" w:rsidRPr="00000881" w:rsidRDefault="00810348">
            <w:pPr>
              <w:pStyle w:val="Normal1"/>
              <w:rPr>
                <w:rFonts w:ascii="Arial" w:eastAsia="Arial" w:hAnsi="Arial" w:cs="Arial"/>
                <w:sz w:val="24"/>
                <w:szCs w:val="24"/>
              </w:rPr>
            </w:pPr>
            <w:r w:rsidRPr="00000881">
              <w:rPr>
                <w:rFonts w:ascii="Arial" w:eastAsia="Arial" w:hAnsi="Arial" w:cs="Arial"/>
                <w:b/>
                <w:sz w:val="32"/>
                <w:szCs w:val="32"/>
              </w:rPr>
              <w:t>TITLE II, PART A</w:t>
            </w:r>
            <w:r w:rsidRPr="00000881">
              <w:rPr>
                <w:rFonts w:ascii="Arial" w:eastAsia="Arial" w:hAnsi="Arial" w:cs="Arial"/>
                <w:sz w:val="32"/>
                <w:szCs w:val="32"/>
              </w:rPr>
              <w:t xml:space="preserve">: </w:t>
            </w:r>
            <w:r w:rsidRPr="00000881">
              <w:rPr>
                <w:rFonts w:ascii="Arial" w:eastAsia="Arial" w:hAnsi="Arial" w:cs="Arial"/>
                <w:sz w:val="24"/>
                <w:szCs w:val="24"/>
              </w:rPr>
              <w:br/>
            </w:r>
            <w:r w:rsidRPr="00000881">
              <w:rPr>
                <w:rFonts w:ascii="Arial" w:eastAsia="Arial" w:hAnsi="Arial" w:cs="Arial"/>
                <w:sz w:val="20"/>
                <w:szCs w:val="20"/>
              </w:rPr>
              <w:t>PREPARING, TRAINING, AND RECRUITING HIGH-QUALITY TEACHERS, PRINCIPALS, AND OTHER SCHOOL LEADERS</w:t>
            </w:r>
          </w:p>
        </w:tc>
      </w:tr>
      <w:tr w:rsidR="00000881" w:rsidRPr="00000881">
        <w:tc>
          <w:tcPr>
            <w:tcW w:w="3456" w:type="dxa"/>
            <w:tcBorders>
              <w:bottom w:val="single" w:sz="4" w:space="0" w:color="000000"/>
            </w:tcBorders>
            <w:vAlign w:val="center"/>
          </w:tcPr>
          <w:p w:rsidR="008B08F4" w:rsidRPr="00000881" w:rsidRDefault="008B08F4">
            <w:pPr>
              <w:pStyle w:val="Normal1"/>
              <w:rPr>
                <w:sz w:val="20"/>
                <w:szCs w:val="20"/>
              </w:rPr>
            </w:pPr>
          </w:p>
        </w:tc>
        <w:tc>
          <w:tcPr>
            <w:tcW w:w="7344" w:type="dxa"/>
            <w:tcBorders>
              <w:bottom w:val="single" w:sz="4" w:space="0" w:color="000000"/>
            </w:tcBorders>
            <w:vAlign w:val="center"/>
          </w:tcPr>
          <w:p w:rsidR="008B08F4" w:rsidRPr="00000881" w:rsidRDefault="008B08F4">
            <w:pPr>
              <w:pStyle w:val="Normal1"/>
              <w:rPr>
                <w:rFonts w:ascii="Arial" w:eastAsia="Arial" w:hAnsi="Arial" w:cs="Arial"/>
                <w:b/>
                <w:sz w:val="20"/>
                <w:szCs w:val="20"/>
              </w:rPr>
            </w:pPr>
          </w:p>
        </w:tc>
      </w:tr>
    </w:tbl>
    <w:p w:rsidR="008B08F4" w:rsidRPr="00000881" w:rsidRDefault="00810348">
      <w:pPr>
        <w:pStyle w:val="Normal1"/>
        <w:jc w:val="center"/>
        <w:rPr>
          <w:rFonts w:ascii="Arial" w:eastAsia="Arial" w:hAnsi="Arial" w:cs="Arial"/>
          <w:b/>
          <w:sz w:val="24"/>
          <w:szCs w:val="24"/>
        </w:rPr>
      </w:pPr>
      <w:r w:rsidRPr="00000881">
        <w:rPr>
          <w:rFonts w:ascii="Arial" w:eastAsia="Arial" w:hAnsi="Arial" w:cs="Arial"/>
          <w:i/>
          <w:sz w:val="20"/>
          <w:szCs w:val="20"/>
        </w:rPr>
        <w:br/>
      </w:r>
      <w:r w:rsidRPr="00000881">
        <w:rPr>
          <w:rFonts w:ascii="Arial" w:eastAsia="Arial" w:hAnsi="Arial" w:cs="Arial"/>
          <w:b/>
          <w:sz w:val="24"/>
          <w:szCs w:val="24"/>
        </w:rPr>
        <w:t>ESEA Federal Program Spending Snapshot</w:t>
      </w:r>
    </w:p>
    <w:p w:rsidR="008B08F4" w:rsidRPr="00000881" w:rsidRDefault="00810348">
      <w:pPr>
        <w:pStyle w:val="Normal1"/>
        <w:spacing w:after="0" w:line="240" w:lineRule="auto"/>
        <w:rPr>
          <w:rFonts w:ascii="Arial" w:eastAsia="Arial" w:hAnsi="Arial" w:cs="Arial"/>
          <w:sz w:val="20"/>
          <w:szCs w:val="20"/>
        </w:rPr>
      </w:pPr>
      <w:r w:rsidRPr="00000881">
        <w:rPr>
          <w:rFonts w:ascii="Arial" w:eastAsia="Arial" w:hAnsi="Arial" w:cs="Arial"/>
          <w:i/>
          <w:sz w:val="20"/>
          <w:szCs w:val="20"/>
        </w:rPr>
        <w:t>All</w:t>
      </w:r>
      <w:r w:rsidRPr="00000881">
        <w:rPr>
          <w:rFonts w:ascii="Arial" w:eastAsia="Arial" w:hAnsi="Arial" w:cs="Arial"/>
          <w:sz w:val="20"/>
          <w:szCs w:val="20"/>
        </w:rPr>
        <w:t xml:space="preserve"> federally-funded program costs must be:</w:t>
      </w:r>
      <w:r w:rsidRPr="00000881">
        <w:rPr>
          <w:rFonts w:ascii="Arial" w:eastAsia="Arial" w:hAnsi="Arial" w:cs="Arial"/>
          <w:sz w:val="20"/>
          <w:szCs w:val="20"/>
        </w:rPr>
        <w:br/>
      </w:r>
    </w:p>
    <w:p w:rsidR="008B08F4" w:rsidRPr="00000881" w:rsidRDefault="00810348">
      <w:pPr>
        <w:pStyle w:val="Normal1"/>
        <w:spacing w:after="0" w:line="240" w:lineRule="auto"/>
        <w:rPr>
          <w:rFonts w:ascii="Arial" w:eastAsia="Arial" w:hAnsi="Arial" w:cs="Arial"/>
          <w:sz w:val="20"/>
          <w:szCs w:val="20"/>
        </w:rPr>
      </w:pPr>
      <w:r w:rsidRPr="00000881">
        <w:rPr>
          <w:rFonts w:ascii="Arial" w:eastAsia="Arial" w:hAnsi="Arial" w:cs="Arial"/>
          <w:b/>
          <w:i/>
          <w:sz w:val="20"/>
          <w:szCs w:val="20"/>
        </w:rPr>
        <w:t>(1) Reasonable:</w:t>
      </w:r>
      <w:r w:rsidRPr="00000881">
        <w:rPr>
          <w:rFonts w:ascii="Arial" w:eastAsia="Arial" w:hAnsi="Arial" w:cs="Arial"/>
          <w:sz w:val="20"/>
          <w:szCs w:val="20"/>
        </w:rPr>
        <w:t xml:space="preserve"> consistent with prudent business practice and comparable current market value;</w:t>
      </w:r>
      <w:r w:rsidRPr="00000881">
        <w:rPr>
          <w:rFonts w:ascii="Arial" w:eastAsia="Arial" w:hAnsi="Arial" w:cs="Arial"/>
          <w:sz w:val="20"/>
          <w:szCs w:val="20"/>
        </w:rPr>
        <w:br/>
      </w:r>
      <w:r w:rsidRPr="00000881">
        <w:rPr>
          <w:rFonts w:ascii="Arial" w:eastAsia="Arial" w:hAnsi="Arial" w:cs="Arial"/>
          <w:b/>
          <w:i/>
          <w:sz w:val="20"/>
          <w:szCs w:val="20"/>
        </w:rPr>
        <w:t>(2) Necessary:</w:t>
      </w:r>
      <w:r w:rsidRPr="00000881">
        <w:rPr>
          <w:rFonts w:ascii="Arial" w:eastAsia="Arial" w:hAnsi="Arial" w:cs="Arial"/>
          <w:sz w:val="20"/>
          <w:szCs w:val="20"/>
        </w:rPr>
        <w:t xml:space="preserve"> required to carry out the intent and purpose of the Title II, Part A program; and </w:t>
      </w:r>
      <w:r w:rsidRPr="00000881">
        <w:rPr>
          <w:rFonts w:ascii="Arial" w:eastAsia="Arial" w:hAnsi="Arial" w:cs="Arial"/>
          <w:sz w:val="20"/>
          <w:szCs w:val="20"/>
        </w:rPr>
        <w:br/>
      </w:r>
      <w:r w:rsidRPr="00000881">
        <w:rPr>
          <w:rFonts w:ascii="Arial" w:eastAsia="Arial" w:hAnsi="Arial" w:cs="Arial"/>
          <w:b/>
          <w:i/>
          <w:sz w:val="20"/>
          <w:szCs w:val="20"/>
        </w:rPr>
        <w:t>(3) Allocable:</w:t>
      </w:r>
      <w:r w:rsidRPr="00000881">
        <w:rPr>
          <w:rFonts w:ascii="Arial" w:eastAsia="Arial" w:hAnsi="Arial" w:cs="Arial"/>
          <w:sz w:val="20"/>
          <w:szCs w:val="20"/>
        </w:rPr>
        <w:t xml:space="preserve"> chargeable or assignable in accordance with relative benefits received. </w:t>
      </w:r>
      <w:r w:rsidRPr="00000881">
        <w:rPr>
          <w:rFonts w:ascii="Arial" w:eastAsia="Arial" w:hAnsi="Arial" w:cs="Arial"/>
          <w:sz w:val="20"/>
          <w:szCs w:val="20"/>
        </w:rPr>
        <w:br/>
      </w:r>
      <w:r w:rsidRPr="00000881">
        <w:rPr>
          <w:rFonts w:ascii="Arial" w:eastAsia="Arial" w:hAnsi="Arial" w:cs="Arial"/>
          <w:sz w:val="20"/>
          <w:szCs w:val="20"/>
        </w:rPr>
        <w:br/>
        <w:t>In addition, costs must be aligned with generally accepted accounting principles (GAAP) and adequately documented and budgeted within the grant.</w:t>
      </w:r>
      <w:r w:rsidRPr="00000881">
        <w:rPr>
          <w:rFonts w:ascii="Arial" w:eastAsia="Arial" w:hAnsi="Arial" w:cs="Arial"/>
          <w:sz w:val="20"/>
          <w:szCs w:val="20"/>
        </w:rPr>
        <w:br/>
      </w:r>
    </w:p>
    <w:p w:rsidR="008B08F4" w:rsidRPr="00000881" w:rsidRDefault="00810348">
      <w:pPr>
        <w:pStyle w:val="Normal1"/>
        <w:spacing w:after="0" w:line="240" w:lineRule="auto"/>
        <w:rPr>
          <w:rFonts w:ascii="Arial" w:eastAsia="Arial" w:hAnsi="Arial" w:cs="Arial"/>
          <w:sz w:val="20"/>
          <w:szCs w:val="20"/>
        </w:rPr>
      </w:pPr>
      <w:r w:rsidRPr="00000881">
        <w:rPr>
          <w:rFonts w:ascii="Arial" w:eastAsia="Arial" w:hAnsi="Arial" w:cs="Arial"/>
          <w:b/>
          <w:i/>
          <w:sz w:val="20"/>
          <w:szCs w:val="20"/>
        </w:rPr>
        <w:t xml:space="preserve">Supplement vs. Supplant: </w:t>
      </w:r>
      <w:r w:rsidRPr="00000881">
        <w:rPr>
          <w:rFonts w:ascii="Arial" w:eastAsia="Arial" w:hAnsi="Arial" w:cs="Arial"/>
          <w:sz w:val="20"/>
          <w:szCs w:val="20"/>
        </w:rPr>
        <w:t>Title II funds must be used to supplement (increase the level of services) and not supplant (replace) funds from non-federal sources. Any program activity required by state law or local board policy may not be paid with these funds. State or local funds may not be decreased or diverted for other uses merely because of the availability of these funds. District and school personnel must maintain documentation that clearly demonstrates the supplementary nature of these funds. The federal supplement, not supplant, provision is intended to ensure that services provided under Title II, Part A are in addition to, and not in place of, local funds if Title II funds were not available.</w:t>
      </w:r>
    </w:p>
    <w:p w:rsidR="008B08F4" w:rsidRPr="00000881" w:rsidRDefault="008B08F4">
      <w:pPr>
        <w:pStyle w:val="Normal1"/>
        <w:spacing w:after="0" w:line="240" w:lineRule="auto"/>
        <w:rPr>
          <w:rFonts w:ascii="Arial" w:eastAsia="Arial" w:hAnsi="Arial" w:cs="Arial"/>
          <w:sz w:val="20"/>
          <w:szCs w:val="20"/>
        </w:rPr>
      </w:pPr>
    </w:p>
    <w:p w:rsidR="008B08F4" w:rsidRPr="00000881" w:rsidRDefault="00810348">
      <w:pPr>
        <w:pStyle w:val="Normal1"/>
        <w:spacing w:after="0" w:line="240" w:lineRule="auto"/>
        <w:rPr>
          <w:rFonts w:ascii="Arial" w:eastAsia="Arial" w:hAnsi="Arial" w:cs="Arial"/>
          <w:b/>
          <w:i/>
          <w:sz w:val="20"/>
          <w:szCs w:val="20"/>
        </w:rPr>
      </w:pPr>
      <w:r w:rsidRPr="00000881">
        <w:rPr>
          <w:rFonts w:ascii="Arial" w:eastAsia="Arial" w:hAnsi="Arial" w:cs="Arial"/>
          <w:sz w:val="20"/>
          <w:szCs w:val="20"/>
        </w:rPr>
        <w:t xml:space="preserve">In determining whether a particular use of funds would violate the non-supplanting requirement, SEAs and LEAs should consider matters such as whether the cost involved is currently paid for using State or local funds or whether the cost involved is for an activity that is required by State or local law. The SEA or LEA may not decrease the amount of State or local funds used to pay the cost of an activity simply because of the availability of Title II funds. </w:t>
      </w:r>
      <w:r w:rsidRPr="00000881">
        <w:rPr>
          <w:rFonts w:ascii="Arial" w:eastAsia="Arial" w:hAnsi="Arial" w:cs="Arial"/>
          <w:sz w:val="20"/>
          <w:szCs w:val="20"/>
        </w:rPr>
        <w:br/>
      </w:r>
    </w:p>
    <w:p w:rsidR="008B08F4" w:rsidRPr="00000881" w:rsidRDefault="00810348">
      <w:pPr>
        <w:pStyle w:val="Normal1"/>
        <w:spacing w:after="0" w:line="240" w:lineRule="auto"/>
        <w:jc w:val="center"/>
        <w:rPr>
          <w:rFonts w:ascii="Arial" w:eastAsia="Arial" w:hAnsi="Arial" w:cs="Arial"/>
          <w:b/>
          <w:sz w:val="24"/>
          <w:szCs w:val="24"/>
        </w:rPr>
      </w:pPr>
      <w:r w:rsidRPr="00000881">
        <w:rPr>
          <w:rFonts w:ascii="Arial" w:eastAsia="Arial" w:hAnsi="Arial" w:cs="Arial"/>
          <w:b/>
          <w:sz w:val="24"/>
          <w:szCs w:val="24"/>
        </w:rPr>
        <w:t>Title-Specific Expenditures</w:t>
      </w:r>
    </w:p>
    <w:p w:rsidR="008B08F4" w:rsidRPr="00000881" w:rsidRDefault="008B08F4">
      <w:pPr>
        <w:pStyle w:val="Normal1"/>
        <w:spacing w:after="0" w:line="240" w:lineRule="auto"/>
        <w:jc w:val="center"/>
        <w:rPr>
          <w:rFonts w:ascii="Arial" w:eastAsia="Arial" w:hAnsi="Arial" w:cs="Arial"/>
          <w:b/>
          <w:sz w:val="24"/>
          <w:szCs w:val="24"/>
        </w:rPr>
      </w:pPr>
    </w:p>
    <w:p w:rsidR="008B08F4" w:rsidRPr="00000881" w:rsidRDefault="00810348">
      <w:pPr>
        <w:pStyle w:val="Normal1"/>
      </w:pPr>
      <w:r w:rsidRPr="00000881">
        <w:rPr>
          <w:rFonts w:ascii="Arial" w:eastAsia="Arial" w:hAnsi="Arial" w:cs="Arial"/>
          <w:b/>
          <w:i/>
          <w:sz w:val="20"/>
          <w:szCs w:val="20"/>
        </w:rPr>
        <w:t>Professional Development:</w:t>
      </w:r>
    </w:p>
    <w:tbl>
      <w:tblPr>
        <w:tblStyle w:val="a0"/>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4590"/>
      </w:tblGrid>
      <w:tr w:rsidR="00000881" w:rsidRPr="00000881">
        <w:trPr>
          <w:jc w:val="center"/>
        </w:trPr>
        <w:tc>
          <w:tcPr>
            <w:tcW w:w="4860" w:type="dxa"/>
            <w:shd w:val="clear" w:color="auto" w:fill="D9D9D9"/>
          </w:tcPr>
          <w:p w:rsidR="008B08F4" w:rsidRPr="00000881" w:rsidRDefault="00810348">
            <w:pPr>
              <w:pStyle w:val="Normal1"/>
              <w:jc w:val="center"/>
              <w:rPr>
                <w:rFonts w:ascii="Nunito" w:eastAsia="Nunito" w:hAnsi="Nunito" w:cs="Nunito"/>
                <w:b/>
                <w:sz w:val="20"/>
                <w:szCs w:val="20"/>
              </w:rPr>
            </w:pPr>
            <w:r w:rsidRPr="00000881">
              <w:rPr>
                <w:rFonts w:ascii="Nunito" w:eastAsia="Nunito" w:hAnsi="Nunito" w:cs="Nunito"/>
                <w:b/>
                <w:sz w:val="20"/>
                <w:szCs w:val="20"/>
              </w:rPr>
              <w:t>Allowable Uses of Grant Funds</w:t>
            </w:r>
          </w:p>
        </w:tc>
        <w:tc>
          <w:tcPr>
            <w:tcW w:w="4590" w:type="dxa"/>
            <w:shd w:val="clear" w:color="auto" w:fill="D9D9D9"/>
          </w:tcPr>
          <w:p w:rsidR="008B08F4" w:rsidRPr="00000881" w:rsidRDefault="00810348">
            <w:pPr>
              <w:pStyle w:val="Normal1"/>
              <w:jc w:val="center"/>
              <w:rPr>
                <w:rFonts w:ascii="Nunito" w:eastAsia="Nunito" w:hAnsi="Nunito" w:cs="Nunito"/>
                <w:b/>
                <w:sz w:val="20"/>
                <w:szCs w:val="20"/>
              </w:rPr>
            </w:pPr>
            <w:r w:rsidRPr="00000881">
              <w:rPr>
                <w:rFonts w:ascii="Nunito" w:eastAsia="Nunito" w:hAnsi="Nunito" w:cs="Nunito"/>
                <w:b/>
                <w:sz w:val="20"/>
                <w:szCs w:val="20"/>
              </w:rPr>
              <w:t>Unallowable Uses of Grant Funds</w:t>
            </w:r>
          </w:p>
        </w:tc>
      </w:tr>
      <w:tr w:rsidR="008B08F4" w:rsidRPr="00000881">
        <w:trPr>
          <w:jc w:val="center"/>
        </w:trPr>
        <w:tc>
          <w:tcPr>
            <w:tcW w:w="4860" w:type="dxa"/>
          </w:tcPr>
          <w:p w:rsidR="008B08F4" w:rsidRPr="00000881" w:rsidRDefault="00810348">
            <w:pPr>
              <w:pStyle w:val="Normal1"/>
              <w:numPr>
                <w:ilvl w:val="0"/>
                <w:numId w:val="1"/>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Substitutes for teachers, principals, or other school leaders to attend professional development</w:t>
            </w:r>
          </w:p>
          <w:p w:rsidR="008B08F4" w:rsidRPr="00000881" w:rsidRDefault="00810348">
            <w:pPr>
              <w:pStyle w:val="Normal1"/>
              <w:numPr>
                <w:ilvl w:val="0"/>
                <w:numId w:val="1"/>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Tuition reimbursement costs (paid to staff for staff development)</w:t>
            </w:r>
          </w:p>
          <w:p w:rsidR="008B08F4" w:rsidRPr="00000881" w:rsidRDefault="00810348">
            <w:pPr>
              <w:pStyle w:val="Normal1"/>
              <w:numPr>
                <w:ilvl w:val="0"/>
                <w:numId w:val="1"/>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Tuition paid directly to college/university</w:t>
            </w:r>
          </w:p>
          <w:p w:rsidR="008B08F4" w:rsidRPr="00000881" w:rsidRDefault="00810348">
            <w:pPr>
              <w:pStyle w:val="Normal1"/>
              <w:numPr>
                <w:ilvl w:val="0"/>
                <w:numId w:val="1"/>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Purchased services for professional development of teachers, principals, and other school leaders to improve content knowledge and classroom practice</w:t>
            </w:r>
          </w:p>
          <w:p w:rsidR="008B08F4" w:rsidRPr="00000881" w:rsidRDefault="00810348">
            <w:pPr>
              <w:pStyle w:val="Normal1"/>
              <w:numPr>
                <w:ilvl w:val="0"/>
                <w:numId w:val="1"/>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Expenses for transportation, per diem, and lodging, if the costs are reasonable and necessary</w:t>
            </w:r>
          </w:p>
          <w:p w:rsidR="008B08F4" w:rsidRPr="00000881" w:rsidRDefault="00810348">
            <w:pPr>
              <w:pStyle w:val="Normal1"/>
              <w:numPr>
                <w:ilvl w:val="0"/>
                <w:numId w:val="1"/>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Equitable services for private schools</w:t>
            </w:r>
          </w:p>
          <w:p w:rsidR="008B08F4" w:rsidRPr="00000881" w:rsidRDefault="00810348">
            <w:pPr>
              <w:pStyle w:val="Normal1"/>
              <w:numPr>
                <w:ilvl w:val="0"/>
                <w:numId w:val="1"/>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Stipends for teachers, principals, or other school leaders to lead or participate in workshops or training</w:t>
            </w:r>
          </w:p>
          <w:p w:rsidR="008B08F4" w:rsidRPr="00000881" w:rsidRDefault="00810348">
            <w:pPr>
              <w:pStyle w:val="Normal1"/>
              <w:numPr>
                <w:ilvl w:val="0"/>
                <w:numId w:val="1"/>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 xml:space="preserve">Out-of-state workshop (if it is not being offered locally) </w:t>
            </w:r>
          </w:p>
          <w:p w:rsidR="008B08F4" w:rsidRPr="00000881" w:rsidRDefault="00810348">
            <w:pPr>
              <w:pStyle w:val="Normal1"/>
              <w:numPr>
                <w:ilvl w:val="0"/>
                <w:numId w:val="1"/>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Conference registration costs for Title II-funded professional development activities</w:t>
            </w:r>
          </w:p>
          <w:p w:rsidR="008B08F4" w:rsidRPr="00000881" w:rsidRDefault="00810348">
            <w:pPr>
              <w:pStyle w:val="Normal1"/>
              <w:numPr>
                <w:ilvl w:val="0"/>
                <w:numId w:val="1"/>
              </w:numPr>
              <w:pBdr>
                <w:top w:val="nil"/>
                <w:left w:val="nil"/>
                <w:bottom w:val="nil"/>
                <w:right w:val="nil"/>
                <w:between w:val="nil"/>
              </w:pBdr>
              <w:spacing w:after="200" w:line="276" w:lineRule="auto"/>
              <w:contextualSpacing/>
              <w:rPr>
                <w:sz w:val="18"/>
                <w:szCs w:val="18"/>
              </w:rPr>
            </w:pPr>
            <w:r w:rsidRPr="00000881">
              <w:rPr>
                <w:rFonts w:ascii="Arial" w:eastAsia="Arial" w:hAnsi="Arial" w:cs="Arial"/>
                <w:sz w:val="18"/>
                <w:szCs w:val="18"/>
              </w:rPr>
              <w:t>Professional development memberships or subscriptions</w:t>
            </w:r>
          </w:p>
        </w:tc>
        <w:tc>
          <w:tcPr>
            <w:tcW w:w="4590" w:type="dxa"/>
          </w:tcPr>
          <w:p w:rsidR="008B08F4" w:rsidRPr="00000881" w:rsidRDefault="00810348">
            <w:pPr>
              <w:pStyle w:val="Normal1"/>
              <w:numPr>
                <w:ilvl w:val="0"/>
                <w:numId w:val="2"/>
              </w:numPr>
              <w:pBdr>
                <w:top w:val="nil"/>
                <w:left w:val="nil"/>
                <w:bottom w:val="nil"/>
                <w:right w:val="nil"/>
                <w:between w:val="nil"/>
              </w:pBdr>
              <w:spacing w:line="276" w:lineRule="auto"/>
              <w:contextualSpacing/>
              <w:rPr>
                <w:sz w:val="18"/>
                <w:szCs w:val="18"/>
                <w:highlight w:val="lightGray"/>
              </w:rPr>
            </w:pPr>
            <w:r w:rsidRPr="00000881">
              <w:rPr>
                <w:rFonts w:ascii="Arial" w:eastAsia="Arial" w:hAnsi="Arial" w:cs="Arial"/>
                <w:sz w:val="18"/>
                <w:szCs w:val="18"/>
                <w:highlight w:val="lightGray"/>
              </w:rPr>
              <w:t>Food, meals, drinks for professional development (including working lunches)</w:t>
            </w:r>
          </w:p>
          <w:p w:rsidR="008B08F4" w:rsidRPr="00000881" w:rsidRDefault="00810348">
            <w:pPr>
              <w:pStyle w:val="Normal1"/>
              <w:numPr>
                <w:ilvl w:val="0"/>
                <w:numId w:val="2"/>
              </w:numPr>
              <w:pBdr>
                <w:top w:val="nil"/>
                <w:left w:val="nil"/>
                <w:bottom w:val="nil"/>
                <w:right w:val="nil"/>
                <w:between w:val="nil"/>
              </w:pBdr>
              <w:spacing w:line="276" w:lineRule="auto"/>
              <w:contextualSpacing/>
              <w:rPr>
                <w:sz w:val="18"/>
                <w:szCs w:val="18"/>
                <w:highlight w:val="lightGray"/>
              </w:rPr>
            </w:pPr>
            <w:r w:rsidRPr="00000881">
              <w:rPr>
                <w:rFonts w:ascii="Arial" w:eastAsia="Arial" w:hAnsi="Arial" w:cs="Arial"/>
                <w:sz w:val="18"/>
                <w:szCs w:val="18"/>
                <w:highlight w:val="lightGray"/>
              </w:rPr>
              <w:t>Direct reimbursement to private, nonpublic schools</w:t>
            </w:r>
          </w:p>
          <w:p w:rsidR="008B08F4" w:rsidRPr="00000881" w:rsidRDefault="00810348">
            <w:pPr>
              <w:pStyle w:val="Normal1"/>
              <w:numPr>
                <w:ilvl w:val="0"/>
                <w:numId w:val="2"/>
              </w:numPr>
              <w:pBdr>
                <w:top w:val="nil"/>
                <w:left w:val="nil"/>
                <w:bottom w:val="nil"/>
                <w:right w:val="nil"/>
                <w:between w:val="nil"/>
              </w:pBdr>
              <w:spacing w:line="276" w:lineRule="auto"/>
              <w:contextualSpacing/>
              <w:rPr>
                <w:sz w:val="18"/>
                <w:szCs w:val="18"/>
                <w:highlight w:val="lightGray"/>
              </w:rPr>
            </w:pPr>
            <w:r w:rsidRPr="00000881">
              <w:rPr>
                <w:rFonts w:ascii="Arial" w:eastAsia="Arial" w:hAnsi="Arial" w:cs="Arial"/>
                <w:sz w:val="18"/>
                <w:szCs w:val="18"/>
                <w:highlight w:val="lightGray"/>
              </w:rPr>
              <w:t>Professional training of religious or political nature</w:t>
            </w:r>
          </w:p>
          <w:p w:rsidR="008B08F4" w:rsidRPr="00000881" w:rsidRDefault="00810348">
            <w:pPr>
              <w:pStyle w:val="Normal1"/>
              <w:numPr>
                <w:ilvl w:val="0"/>
                <w:numId w:val="2"/>
              </w:numPr>
              <w:pBdr>
                <w:top w:val="nil"/>
                <w:left w:val="nil"/>
                <w:bottom w:val="nil"/>
                <w:right w:val="nil"/>
                <w:between w:val="nil"/>
              </w:pBdr>
              <w:spacing w:line="276" w:lineRule="auto"/>
              <w:contextualSpacing/>
              <w:rPr>
                <w:sz w:val="18"/>
                <w:szCs w:val="18"/>
                <w:highlight w:val="lightGray"/>
              </w:rPr>
            </w:pPr>
            <w:r w:rsidRPr="00000881">
              <w:rPr>
                <w:rFonts w:ascii="Arial" w:eastAsia="Arial" w:hAnsi="Arial" w:cs="Arial"/>
                <w:sz w:val="18"/>
                <w:szCs w:val="18"/>
                <w:highlight w:val="lightGray"/>
              </w:rPr>
              <w:t>Professional training for private schools must meet the specific needs of students enrolled in a private school and not the school itself. Funds may not be used to meet the needs of a private school or the general needs of the students enrolled in the private school</w:t>
            </w:r>
          </w:p>
          <w:p w:rsidR="008B08F4" w:rsidRPr="00000881" w:rsidRDefault="00810348">
            <w:pPr>
              <w:pStyle w:val="Normal1"/>
              <w:numPr>
                <w:ilvl w:val="0"/>
                <w:numId w:val="2"/>
              </w:numPr>
              <w:pBdr>
                <w:top w:val="nil"/>
                <w:left w:val="nil"/>
                <w:bottom w:val="nil"/>
                <w:right w:val="nil"/>
                <w:between w:val="nil"/>
              </w:pBdr>
              <w:spacing w:line="276" w:lineRule="auto"/>
              <w:contextualSpacing/>
              <w:rPr>
                <w:sz w:val="18"/>
                <w:szCs w:val="18"/>
                <w:highlight w:val="lightGray"/>
              </w:rPr>
            </w:pPr>
            <w:r w:rsidRPr="00000881">
              <w:rPr>
                <w:rFonts w:ascii="Arial" w:eastAsia="Arial" w:hAnsi="Arial" w:cs="Arial"/>
                <w:sz w:val="18"/>
                <w:szCs w:val="18"/>
                <w:highlight w:val="lightGray"/>
              </w:rPr>
              <w:t xml:space="preserve">Out-of-country workshop (requires prior written approval from Maine DOE) </w:t>
            </w:r>
          </w:p>
          <w:p w:rsidR="008B08F4" w:rsidRPr="00000881" w:rsidRDefault="008B08F4">
            <w:pPr>
              <w:pStyle w:val="Normal1"/>
              <w:pBdr>
                <w:top w:val="nil"/>
                <w:left w:val="nil"/>
                <w:bottom w:val="nil"/>
                <w:right w:val="nil"/>
                <w:between w:val="nil"/>
              </w:pBdr>
              <w:spacing w:after="200" w:line="276" w:lineRule="auto"/>
              <w:ind w:left="720" w:hanging="720"/>
              <w:rPr>
                <w:rFonts w:ascii="Arial" w:eastAsia="Arial" w:hAnsi="Arial" w:cs="Arial"/>
                <w:sz w:val="18"/>
                <w:szCs w:val="18"/>
                <w:highlight w:val="lightGray"/>
              </w:rPr>
            </w:pPr>
          </w:p>
        </w:tc>
      </w:tr>
    </w:tbl>
    <w:p w:rsidR="008B08F4" w:rsidRPr="00000881" w:rsidRDefault="008B08F4">
      <w:pPr>
        <w:pStyle w:val="Normal1"/>
        <w:spacing w:after="0" w:line="240" w:lineRule="auto"/>
        <w:rPr>
          <w:rFonts w:ascii="Arial" w:eastAsia="Arial" w:hAnsi="Arial" w:cs="Arial"/>
          <w:b/>
          <w:i/>
          <w:sz w:val="20"/>
          <w:szCs w:val="20"/>
        </w:rPr>
      </w:pPr>
    </w:p>
    <w:p w:rsidR="008B08F4" w:rsidRPr="00000881" w:rsidRDefault="00810348">
      <w:pPr>
        <w:pStyle w:val="Normal1"/>
        <w:spacing w:after="0" w:line="240" w:lineRule="auto"/>
        <w:rPr>
          <w:rFonts w:ascii="Arial" w:eastAsia="Arial" w:hAnsi="Arial" w:cs="Arial"/>
          <w:b/>
          <w:sz w:val="24"/>
          <w:szCs w:val="24"/>
        </w:rPr>
      </w:pPr>
      <w:r w:rsidRPr="00000881">
        <w:rPr>
          <w:rFonts w:ascii="Arial" w:eastAsia="Arial" w:hAnsi="Arial" w:cs="Arial"/>
          <w:b/>
          <w:i/>
          <w:sz w:val="20"/>
          <w:szCs w:val="20"/>
        </w:rPr>
        <w:t>Instructional and Administrative Support:</w:t>
      </w:r>
      <w:r w:rsidRPr="00000881">
        <w:rPr>
          <w:rFonts w:ascii="Arial" w:eastAsia="Arial" w:hAnsi="Arial" w:cs="Arial"/>
          <w:b/>
          <w:i/>
          <w:sz w:val="20"/>
          <w:szCs w:val="20"/>
        </w:rPr>
        <w:br/>
      </w:r>
    </w:p>
    <w:tbl>
      <w:tblPr>
        <w:tblStyle w:val="a1"/>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4590"/>
      </w:tblGrid>
      <w:tr w:rsidR="00000881" w:rsidRPr="00000881">
        <w:trPr>
          <w:jc w:val="center"/>
        </w:trPr>
        <w:tc>
          <w:tcPr>
            <w:tcW w:w="4860" w:type="dxa"/>
            <w:shd w:val="clear" w:color="auto" w:fill="D9D9D9"/>
          </w:tcPr>
          <w:p w:rsidR="008B08F4" w:rsidRPr="00000881" w:rsidRDefault="00810348">
            <w:pPr>
              <w:pStyle w:val="Normal1"/>
              <w:jc w:val="center"/>
              <w:rPr>
                <w:rFonts w:ascii="Nunito" w:eastAsia="Nunito" w:hAnsi="Nunito" w:cs="Nunito"/>
                <w:b/>
                <w:sz w:val="20"/>
                <w:szCs w:val="20"/>
              </w:rPr>
            </w:pPr>
            <w:r w:rsidRPr="00000881">
              <w:rPr>
                <w:rFonts w:ascii="Nunito" w:eastAsia="Nunito" w:hAnsi="Nunito" w:cs="Nunito"/>
                <w:b/>
                <w:sz w:val="20"/>
                <w:szCs w:val="20"/>
              </w:rPr>
              <w:t>Allowable Uses of Grant Funds</w:t>
            </w:r>
          </w:p>
        </w:tc>
        <w:tc>
          <w:tcPr>
            <w:tcW w:w="4590" w:type="dxa"/>
            <w:shd w:val="clear" w:color="auto" w:fill="D9D9D9"/>
          </w:tcPr>
          <w:p w:rsidR="008B08F4" w:rsidRPr="00000881" w:rsidRDefault="00810348">
            <w:pPr>
              <w:pStyle w:val="Normal1"/>
              <w:jc w:val="center"/>
              <w:rPr>
                <w:rFonts w:ascii="Nunito" w:eastAsia="Nunito" w:hAnsi="Nunito" w:cs="Nunito"/>
                <w:b/>
                <w:sz w:val="20"/>
                <w:szCs w:val="20"/>
              </w:rPr>
            </w:pPr>
            <w:r w:rsidRPr="00000881">
              <w:rPr>
                <w:rFonts w:ascii="Nunito" w:eastAsia="Nunito" w:hAnsi="Nunito" w:cs="Nunito"/>
                <w:b/>
                <w:sz w:val="20"/>
                <w:szCs w:val="20"/>
              </w:rPr>
              <w:t>Unallowable Uses of Grant Funds</w:t>
            </w:r>
          </w:p>
        </w:tc>
      </w:tr>
      <w:tr w:rsidR="00000881" w:rsidRPr="00000881">
        <w:trPr>
          <w:jc w:val="center"/>
        </w:trPr>
        <w:tc>
          <w:tcPr>
            <w:tcW w:w="4860" w:type="dxa"/>
          </w:tcPr>
          <w:p w:rsidR="008B08F4" w:rsidRPr="00000881" w:rsidRDefault="00810348">
            <w:pPr>
              <w:pStyle w:val="Normal1"/>
              <w:numPr>
                <w:ilvl w:val="0"/>
                <w:numId w:val="1"/>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Academic/instructional coaches</w:t>
            </w:r>
          </w:p>
          <w:p w:rsidR="008B08F4" w:rsidRPr="00000881" w:rsidRDefault="00810348">
            <w:pPr>
              <w:pStyle w:val="Normal1"/>
              <w:numPr>
                <w:ilvl w:val="0"/>
                <w:numId w:val="1"/>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Program administrator, grant manager, professional development coordinator salaries for the portion that provides direct support of Title II allowable activities (ESEA Coordinator)</w:t>
            </w:r>
          </w:p>
          <w:p w:rsidR="008B08F4" w:rsidRPr="00000881" w:rsidRDefault="00810348">
            <w:pPr>
              <w:pStyle w:val="Normal1"/>
              <w:numPr>
                <w:ilvl w:val="0"/>
                <w:numId w:val="1"/>
              </w:numPr>
              <w:pBdr>
                <w:top w:val="nil"/>
                <w:left w:val="nil"/>
                <w:bottom w:val="nil"/>
                <w:right w:val="nil"/>
                <w:between w:val="nil"/>
              </w:pBdr>
              <w:spacing w:after="200" w:line="276" w:lineRule="auto"/>
              <w:contextualSpacing/>
              <w:rPr>
                <w:sz w:val="18"/>
                <w:szCs w:val="18"/>
              </w:rPr>
            </w:pPr>
            <w:r w:rsidRPr="00000881">
              <w:rPr>
                <w:rFonts w:ascii="Arial" w:eastAsia="Arial" w:hAnsi="Arial" w:cs="Arial"/>
                <w:sz w:val="18"/>
                <w:szCs w:val="18"/>
              </w:rPr>
              <w:t>Salaries for certified teachers for class-size reduction</w:t>
            </w:r>
          </w:p>
        </w:tc>
        <w:tc>
          <w:tcPr>
            <w:tcW w:w="4590" w:type="dxa"/>
          </w:tcPr>
          <w:p w:rsidR="008B08F4" w:rsidRPr="00000881" w:rsidRDefault="00810348">
            <w:pPr>
              <w:pStyle w:val="Normal1"/>
              <w:numPr>
                <w:ilvl w:val="0"/>
                <w:numId w:val="2"/>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Salaries for regular classroom teachers</w:t>
            </w:r>
          </w:p>
          <w:p w:rsidR="008B08F4" w:rsidRPr="00000881" w:rsidRDefault="00810348">
            <w:pPr>
              <w:pStyle w:val="Normal1"/>
              <w:numPr>
                <w:ilvl w:val="0"/>
                <w:numId w:val="2"/>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Salaries for paraprofessionals, tutors, and interventionists</w:t>
            </w:r>
          </w:p>
          <w:p w:rsidR="008B08F4" w:rsidRPr="00000881" w:rsidRDefault="00810348">
            <w:pPr>
              <w:pStyle w:val="Normal1"/>
              <w:numPr>
                <w:ilvl w:val="0"/>
                <w:numId w:val="2"/>
              </w:numPr>
              <w:pBdr>
                <w:top w:val="nil"/>
                <w:left w:val="nil"/>
                <w:bottom w:val="nil"/>
                <w:right w:val="nil"/>
                <w:between w:val="nil"/>
              </w:pBdr>
              <w:spacing w:after="200" w:line="276" w:lineRule="auto"/>
              <w:contextualSpacing/>
              <w:rPr>
                <w:sz w:val="18"/>
                <w:szCs w:val="18"/>
              </w:rPr>
            </w:pPr>
            <w:r w:rsidRPr="00000881">
              <w:rPr>
                <w:rFonts w:ascii="Arial" w:eastAsia="Arial" w:hAnsi="Arial" w:cs="Arial"/>
                <w:sz w:val="18"/>
                <w:szCs w:val="18"/>
              </w:rPr>
              <w:t>Base pay for principals (contract hours)</w:t>
            </w:r>
          </w:p>
        </w:tc>
      </w:tr>
    </w:tbl>
    <w:p w:rsidR="008B08F4" w:rsidRPr="00000881" w:rsidRDefault="00810348">
      <w:pPr>
        <w:pStyle w:val="Normal1"/>
      </w:pPr>
      <w:r w:rsidRPr="00000881">
        <w:rPr>
          <w:rFonts w:ascii="Arial" w:eastAsia="Arial" w:hAnsi="Arial" w:cs="Arial"/>
          <w:b/>
          <w:i/>
          <w:sz w:val="20"/>
          <w:szCs w:val="20"/>
        </w:rPr>
        <w:br/>
        <w:t>Recruitment and Retention Activities:</w:t>
      </w:r>
    </w:p>
    <w:tbl>
      <w:tblPr>
        <w:tblStyle w:val="a2"/>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4590"/>
      </w:tblGrid>
      <w:tr w:rsidR="00000881" w:rsidRPr="00000881">
        <w:trPr>
          <w:jc w:val="center"/>
        </w:trPr>
        <w:tc>
          <w:tcPr>
            <w:tcW w:w="4860" w:type="dxa"/>
            <w:shd w:val="clear" w:color="auto" w:fill="D9D9D9"/>
          </w:tcPr>
          <w:p w:rsidR="008B08F4" w:rsidRPr="00000881" w:rsidRDefault="00810348">
            <w:pPr>
              <w:pStyle w:val="Normal1"/>
              <w:jc w:val="center"/>
              <w:rPr>
                <w:rFonts w:ascii="Nunito" w:eastAsia="Nunito" w:hAnsi="Nunito" w:cs="Nunito"/>
                <w:b/>
                <w:sz w:val="20"/>
                <w:szCs w:val="20"/>
              </w:rPr>
            </w:pPr>
            <w:r w:rsidRPr="00000881">
              <w:rPr>
                <w:rFonts w:ascii="Nunito" w:eastAsia="Nunito" w:hAnsi="Nunito" w:cs="Nunito"/>
                <w:b/>
                <w:sz w:val="20"/>
                <w:szCs w:val="20"/>
              </w:rPr>
              <w:t>Allowable Uses of Grant Funds</w:t>
            </w:r>
          </w:p>
        </w:tc>
        <w:tc>
          <w:tcPr>
            <w:tcW w:w="4590" w:type="dxa"/>
            <w:shd w:val="clear" w:color="auto" w:fill="D9D9D9"/>
          </w:tcPr>
          <w:p w:rsidR="008B08F4" w:rsidRPr="00000881" w:rsidRDefault="00810348">
            <w:pPr>
              <w:pStyle w:val="Normal1"/>
              <w:jc w:val="center"/>
              <w:rPr>
                <w:rFonts w:ascii="Nunito" w:eastAsia="Nunito" w:hAnsi="Nunito" w:cs="Nunito"/>
                <w:b/>
                <w:sz w:val="20"/>
                <w:szCs w:val="20"/>
              </w:rPr>
            </w:pPr>
            <w:r w:rsidRPr="00000881">
              <w:rPr>
                <w:rFonts w:ascii="Nunito" w:eastAsia="Nunito" w:hAnsi="Nunito" w:cs="Nunito"/>
                <w:b/>
                <w:sz w:val="20"/>
                <w:szCs w:val="20"/>
              </w:rPr>
              <w:t>Unallowable Uses of Grant Funds</w:t>
            </w:r>
          </w:p>
        </w:tc>
      </w:tr>
      <w:tr w:rsidR="00000881" w:rsidRPr="00000881">
        <w:trPr>
          <w:jc w:val="center"/>
        </w:trPr>
        <w:tc>
          <w:tcPr>
            <w:tcW w:w="4860" w:type="dxa"/>
          </w:tcPr>
          <w:p w:rsidR="008B08F4" w:rsidRPr="00000881" w:rsidRDefault="00810348">
            <w:pPr>
              <w:pStyle w:val="Normal1"/>
              <w:numPr>
                <w:ilvl w:val="0"/>
                <w:numId w:val="1"/>
              </w:numPr>
              <w:pBdr>
                <w:top w:val="nil"/>
                <w:left w:val="nil"/>
                <w:bottom w:val="nil"/>
                <w:right w:val="nil"/>
                <w:between w:val="nil"/>
              </w:pBdr>
              <w:spacing w:line="276" w:lineRule="auto"/>
              <w:contextualSpacing/>
              <w:rPr>
                <w:b/>
                <w:i/>
                <w:sz w:val="24"/>
                <w:szCs w:val="24"/>
              </w:rPr>
            </w:pPr>
            <w:r w:rsidRPr="00000881">
              <w:rPr>
                <w:rFonts w:ascii="Arial" w:eastAsia="Arial" w:hAnsi="Arial" w:cs="Arial"/>
                <w:sz w:val="18"/>
                <w:szCs w:val="18"/>
              </w:rPr>
              <w:t>Cost of state tests to fulfill teaching certificate endorsement requirements (teachers)</w:t>
            </w:r>
          </w:p>
          <w:p w:rsidR="008B08F4" w:rsidRPr="00000881" w:rsidRDefault="00810348">
            <w:pPr>
              <w:pStyle w:val="Normal1"/>
              <w:numPr>
                <w:ilvl w:val="0"/>
                <w:numId w:val="1"/>
              </w:numPr>
              <w:pBdr>
                <w:top w:val="nil"/>
                <w:left w:val="nil"/>
                <w:bottom w:val="nil"/>
                <w:right w:val="nil"/>
                <w:between w:val="nil"/>
              </w:pBdr>
              <w:spacing w:line="276" w:lineRule="auto"/>
              <w:contextualSpacing/>
              <w:rPr>
                <w:sz w:val="24"/>
                <w:szCs w:val="24"/>
              </w:rPr>
            </w:pPr>
            <w:r w:rsidRPr="00000881">
              <w:rPr>
                <w:rFonts w:ascii="Arial" w:eastAsia="Arial" w:hAnsi="Arial" w:cs="Arial"/>
                <w:sz w:val="18"/>
                <w:szCs w:val="18"/>
              </w:rPr>
              <w:t>Recruitment, retention, mentoring, and induction costs</w:t>
            </w:r>
          </w:p>
          <w:p w:rsidR="008B08F4" w:rsidRPr="00000881" w:rsidRDefault="00810348">
            <w:pPr>
              <w:pStyle w:val="Normal1"/>
              <w:numPr>
                <w:ilvl w:val="0"/>
                <w:numId w:val="1"/>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Advertising to recruit effective educators</w:t>
            </w:r>
          </w:p>
          <w:p w:rsidR="008B08F4" w:rsidRPr="00000881" w:rsidRDefault="00810348">
            <w:pPr>
              <w:pStyle w:val="Normal1"/>
              <w:numPr>
                <w:ilvl w:val="0"/>
                <w:numId w:val="1"/>
              </w:numPr>
              <w:pBdr>
                <w:top w:val="nil"/>
                <w:left w:val="nil"/>
                <w:bottom w:val="nil"/>
                <w:right w:val="nil"/>
                <w:between w:val="nil"/>
              </w:pBdr>
              <w:spacing w:after="200" w:line="276" w:lineRule="auto"/>
              <w:contextualSpacing/>
              <w:rPr>
                <w:sz w:val="24"/>
                <w:szCs w:val="24"/>
              </w:rPr>
            </w:pPr>
            <w:r w:rsidRPr="00000881">
              <w:rPr>
                <w:rFonts w:ascii="Arial" w:eastAsia="Arial" w:hAnsi="Arial" w:cs="Arial"/>
                <w:sz w:val="18"/>
                <w:szCs w:val="18"/>
              </w:rPr>
              <w:t>Job fairs and other recruitment events</w:t>
            </w:r>
          </w:p>
        </w:tc>
        <w:tc>
          <w:tcPr>
            <w:tcW w:w="4590" w:type="dxa"/>
          </w:tcPr>
          <w:p w:rsidR="008B08F4" w:rsidRPr="00000881" w:rsidRDefault="00810348">
            <w:pPr>
              <w:pStyle w:val="Normal1"/>
              <w:numPr>
                <w:ilvl w:val="0"/>
                <w:numId w:val="2"/>
              </w:numPr>
              <w:pBdr>
                <w:top w:val="nil"/>
                <w:left w:val="nil"/>
                <w:bottom w:val="nil"/>
                <w:right w:val="nil"/>
                <w:between w:val="nil"/>
              </w:pBdr>
              <w:spacing w:after="200" w:line="276" w:lineRule="auto"/>
              <w:contextualSpacing/>
              <w:rPr>
                <w:sz w:val="18"/>
                <w:szCs w:val="18"/>
              </w:rPr>
            </w:pPr>
            <w:r w:rsidRPr="00000881">
              <w:rPr>
                <w:rFonts w:ascii="Arial" w:eastAsia="Arial" w:hAnsi="Arial" w:cs="Arial"/>
                <w:sz w:val="18"/>
                <w:szCs w:val="18"/>
              </w:rPr>
              <w:t>First year teacher mentors, as required under state law</w:t>
            </w:r>
          </w:p>
        </w:tc>
      </w:tr>
    </w:tbl>
    <w:p w:rsidR="008B08F4" w:rsidRPr="00000881" w:rsidRDefault="00810348">
      <w:pPr>
        <w:pStyle w:val="Normal1"/>
      </w:pPr>
      <w:r w:rsidRPr="00000881">
        <w:rPr>
          <w:rFonts w:ascii="Arial" w:eastAsia="Arial" w:hAnsi="Arial" w:cs="Arial"/>
          <w:b/>
          <w:i/>
          <w:sz w:val="20"/>
          <w:szCs w:val="20"/>
        </w:rPr>
        <w:br/>
        <w:t>Materials, Supplies, and Equipment:</w:t>
      </w:r>
    </w:p>
    <w:tbl>
      <w:tblPr>
        <w:tblStyle w:val="a3"/>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4590"/>
      </w:tblGrid>
      <w:tr w:rsidR="00000881" w:rsidRPr="00000881">
        <w:trPr>
          <w:jc w:val="center"/>
        </w:trPr>
        <w:tc>
          <w:tcPr>
            <w:tcW w:w="4860" w:type="dxa"/>
            <w:shd w:val="clear" w:color="auto" w:fill="D9D9D9"/>
          </w:tcPr>
          <w:p w:rsidR="008B08F4" w:rsidRPr="00000881" w:rsidRDefault="00810348">
            <w:pPr>
              <w:pStyle w:val="Normal1"/>
              <w:jc w:val="center"/>
              <w:rPr>
                <w:rFonts w:ascii="Nunito" w:eastAsia="Nunito" w:hAnsi="Nunito" w:cs="Nunito"/>
                <w:b/>
                <w:sz w:val="20"/>
                <w:szCs w:val="20"/>
              </w:rPr>
            </w:pPr>
            <w:r w:rsidRPr="00000881">
              <w:rPr>
                <w:rFonts w:ascii="Nunito" w:eastAsia="Nunito" w:hAnsi="Nunito" w:cs="Nunito"/>
                <w:b/>
                <w:sz w:val="20"/>
                <w:szCs w:val="20"/>
              </w:rPr>
              <w:t>Allowable Uses of Grant Funds</w:t>
            </w:r>
          </w:p>
        </w:tc>
        <w:tc>
          <w:tcPr>
            <w:tcW w:w="4590" w:type="dxa"/>
            <w:shd w:val="clear" w:color="auto" w:fill="D9D9D9"/>
          </w:tcPr>
          <w:p w:rsidR="008B08F4" w:rsidRPr="00000881" w:rsidRDefault="00810348">
            <w:pPr>
              <w:pStyle w:val="Normal1"/>
              <w:jc w:val="center"/>
              <w:rPr>
                <w:rFonts w:ascii="Nunito" w:eastAsia="Nunito" w:hAnsi="Nunito" w:cs="Nunito"/>
                <w:b/>
                <w:sz w:val="20"/>
                <w:szCs w:val="20"/>
              </w:rPr>
            </w:pPr>
            <w:r w:rsidRPr="00000881">
              <w:rPr>
                <w:rFonts w:ascii="Nunito" w:eastAsia="Nunito" w:hAnsi="Nunito" w:cs="Nunito"/>
                <w:b/>
                <w:sz w:val="20"/>
                <w:szCs w:val="20"/>
              </w:rPr>
              <w:t>Unallowable Uses of Grant Funds</w:t>
            </w:r>
          </w:p>
        </w:tc>
      </w:tr>
      <w:tr w:rsidR="00000881" w:rsidRPr="00000881">
        <w:trPr>
          <w:jc w:val="center"/>
        </w:trPr>
        <w:tc>
          <w:tcPr>
            <w:tcW w:w="4860" w:type="dxa"/>
          </w:tcPr>
          <w:p w:rsidR="008B08F4" w:rsidRPr="00000881" w:rsidRDefault="00810348">
            <w:pPr>
              <w:pStyle w:val="Normal1"/>
              <w:numPr>
                <w:ilvl w:val="0"/>
                <w:numId w:val="1"/>
              </w:numPr>
              <w:pBdr>
                <w:top w:val="nil"/>
                <w:left w:val="nil"/>
                <w:bottom w:val="nil"/>
                <w:right w:val="nil"/>
                <w:between w:val="nil"/>
              </w:pBdr>
              <w:spacing w:line="276" w:lineRule="auto"/>
              <w:contextualSpacing/>
              <w:rPr>
                <w:b/>
                <w:i/>
                <w:sz w:val="18"/>
                <w:szCs w:val="18"/>
              </w:rPr>
            </w:pPr>
            <w:r w:rsidRPr="00000881">
              <w:rPr>
                <w:rFonts w:ascii="Arial" w:eastAsia="Arial" w:hAnsi="Arial" w:cs="Arial"/>
                <w:sz w:val="18"/>
                <w:szCs w:val="18"/>
              </w:rPr>
              <w:t>Supplies or materials to be used strictly for professional development, such as books or instructional resources</w:t>
            </w:r>
            <w:r w:rsidRPr="00000881">
              <w:rPr>
                <w:rFonts w:ascii="Arial" w:eastAsia="Arial" w:hAnsi="Arial" w:cs="Arial"/>
                <w:strike/>
                <w:sz w:val="18"/>
                <w:szCs w:val="18"/>
              </w:rPr>
              <w:t>,</w:t>
            </w:r>
            <w:r w:rsidRPr="00000881">
              <w:rPr>
                <w:rFonts w:ascii="Arial" w:eastAsia="Arial" w:hAnsi="Arial" w:cs="Arial"/>
                <w:sz w:val="18"/>
                <w:szCs w:val="18"/>
              </w:rPr>
              <w:t xml:space="preserve"> directly connected to Title II professional development activities</w:t>
            </w:r>
          </w:p>
          <w:p w:rsidR="008B08F4" w:rsidRPr="00000881" w:rsidRDefault="00810348">
            <w:pPr>
              <w:pStyle w:val="Normal1"/>
              <w:numPr>
                <w:ilvl w:val="0"/>
                <w:numId w:val="1"/>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Portion of software or digital content used as part of a Title II-funded professional development activity</w:t>
            </w:r>
          </w:p>
          <w:p w:rsidR="008B08F4" w:rsidRPr="00000881" w:rsidRDefault="00810348">
            <w:pPr>
              <w:pStyle w:val="Normal1"/>
              <w:numPr>
                <w:ilvl w:val="0"/>
                <w:numId w:val="1"/>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Professional development activity supplies, such as printing or copying, chart paper, pens, binders, easels, folders and other supplies</w:t>
            </w:r>
            <w:r w:rsidRPr="00000881">
              <w:rPr>
                <w:rFonts w:ascii="Arial" w:eastAsia="Arial" w:hAnsi="Arial" w:cs="Arial"/>
                <w:strike/>
                <w:sz w:val="18"/>
                <w:szCs w:val="18"/>
              </w:rPr>
              <w:t xml:space="preserve">, </w:t>
            </w:r>
            <w:r w:rsidRPr="00000881">
              <w:rPr>
                <w:rFonts w:ascii="Arial" w:eastAsia="Arial" w:hAnsi="Arial" w:cs="Arial"/>
                <w:sz w:val="18"/>
                <w:szCs w:val="18"/>
              </w:rPr>
              <w:t>directly connected for use of Title II professional development activities</w:t>
            </w:r>
          </w:p>
          <w:p w:rsidR="008B08F4" w:rsidRPr="00000881" w:rsidRDefault="00810348">
            <w:pPr>
              <w:pStyle w:val="Normal1"/>
              <w:numPr>
                <w:ilvl w:val="0"/>
                <w:numId w:val="1"/>
              </w:numPr>
              <w:pBdr>
                <w:top w:val="nil"/>
                <w:left w:val="nil"/>
                <w:bottom w:val="nil"/>
                <w:right w:val="nil"/>
                <w:between w:val="nil"/>
              </w:pBdr>
              <w:spacing w:after="200" w:line="276" w:lineRule="auto"/>
              <w:contextualSpacing/>
              <w:rPr>
                <w:b/>
                <w:i/>
                <w:sz w:val="24"/>
                <w:szCs w:val="24"/>
              </w:rPr>
            </w:pPr>
            <w:r w:rsidRPr="00000881">
              <w:rPr>
                <w:rFonts w:ascii="Arial" w:eastAsia="Arial" w:hAnsi="Arial" w:cs="Arial"/>
                <w:sz w:val="18"/>
                <w:szCs w:val="18"/>
              </w:rPr>
              <w:t>Periodicals, online subscriptions, and software license fees necessary for PD</w:t>
            </w:r>
          </w:p>
        </w:tc>
        <w:tc>
          <w:tcPr>
            <w:tcW w:w="4590" w:type="dxa"/>
          </w:tcPr>
          <w:p w:rsidR="008B08F4" w:rsidRPr="00000881" w:rsidRDefault="00810348">
            <w:pPr>
              <w:pStyle w:val="Normal1"/>
              <w:numPr>
                <w:ilvl w:val="0"/>
                <w:numId w:val="2"/>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Supplies and materials for classroom or student use</w:t>
            </w:r>
          </w:p>
          <w:p w:rsidR="008B08F4" w:rsidRPr="00000881" w:rsidRDefault="00810348">
            <w:pPr>
              <w:pStyle w:val="Normal1"/>
              <w:numPr>
                <w:ilvl w:val="0"/>
                <w:numId w:val="2"/>
              </w:numPr>
              <w:pBdr>
                <w:top w:val="nil"/>
                <w:left w:val="nil"/>
                <w:bottom w:val="nil"/>
                <w:right w:val="nil"/>
                <w:between w:val="nil"/>
              </w:pBdr>
              <w:spacing w:after="200" w:line="276" w:lineRule="auto"/>
              <w:contextualSpacing/>
              <w:rPr>
                <w:sz w:val="18"/>
                <w:szCs w:val="18"/>
              </w:rPr>
            </w:pPr>
            <w:r w:rsidRPr="00000881">
              <w:rPr>
                <w:rFonts w:ascii="Arial" w:eastAsia="Arial" w:hAnsi="Arial" w:cs="Arial"/>
                <w:sz w:val="18"/>
                <w:szCs w:val="18"/>
              </w:rPr>
              <w:t>Equipment (hardware, computers, or other devices) not related to training activities or for student use</w:t>
            </w:r>
          </w:p>
        </w:tc>
      </w:tr>
    </w:tbl>
    <w:p w:rsidR="008B08F4" w:rsidRPr="00000881" w:rsidRDefault="00810348">
      <w:pPr>
        <w:pStyle w:val="Normal1"/>
      </w:pPr>
      <w:r w:rsidRPr="00000881">
        <w:br/>
      </w:r>
      <w:r w:rsidRPr="00000881">
        <w:rPr>
          <w:rFonts w:ascii="Arial" w:eastAsia="Arial" w:hAnsi="Arial" w:cs="Arial"/>
          <w:b/>
          <w:i/>
          <w:sz w:val="20"/>
          <w:szCs w:val="20"/>
        </w:rPr>
        <w:t>Other:</w:t>
      </w:r>
    </w:p>
    <w:tbl>
      <w:tblPr>
        <w:tblStyle w:val="a4"/>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4590"/>
      </w:tblGrid>
      <w:tr w:rsidR="00000881" w:rsidRPr="00000881">
        <w:trPr>
          <w:jc w:val="center"/>
        </w:trPr>
        <w:tc>
          <w:tcPr>
            <w:tcW w:w="4860" w:type="dxa"/>
            <w:shd w:val="clear" w:color="auto" w:fill="D9D9D9"/>
          </w:tcPr>
          <w:p w:rsidR="008B08F4" w:rsidRPr="00000881" w:rsidRDefault="00810348">
            <w:pPr>
              <w:pStyle w:val="Normal1"/>
              <w:jc w:val="center"/>
              <w:rPr>
                <w:rFonts w:ascii="Nunito" w:eastAsia="Nunito" w:hAnsi="Nunito" w:cs="Nunito"/>
                <w:b/>
                <w:sz w:val="20"/>
                <w:szCs w:val="20"/>
              </w:rPr>
            </w:pPr>
            <w:r w:rsidRPr="00000881">
              <w:rPr>
                <w:rFonts w:ascii="Nunito" w:eastAsia="Nunito" w:hAnsi="Nunito" w:cs="Nunito"/>
                <w:b/>
                <w:sz w:val="20"/>
                <w:szCs w:val="20"/>
              </w:rPr>
              <w:t>Allowable Uses of Grant Funds</w:t>
            </w:r>
          </w:p>
        </w:tc>
        <w:tc>
          <w:tcPr>
            <w:tcW w:w="4590" w:type="dxa"/>
            <w:shd w:val="clear" w:color="auto" w:fill="D9D9D9"/>
          </w:tcPr>
          <w:p w:rsidR="008B08F4" w:rsidRPr="00000881" w:rsidRDefault="00810348">
            <w:pPr>
              <w:pStyle w:val="Normal1"/>
              <w:jc w:val="center"/>
              <w:rPr>
                <w:rFonts w:ascii="Nunito" w:eastAsia="Nunito" w:hAnsi="Nunito" w:cs="Nunito"/>
                <w:b/>
                <w:sz w:val="20"/>
                <w:szCs w:val="20"/>
              </w:rPr>
            </w:pPr>
            <w:r w:rsidRPr="00000881">
              <w:rPr>
                <w:rFonts w:ascii="Nunito" w:eastAsia="Nunito" w:hAnsi="Nunito" w:cs="Nunito"/>
                <w:b/>
                <w:sz w:val="20"/>
                <w:szCs w:val="20"/>
              </w:rPr>
              <w:t>Unallowable Uses of Grant Funds</w:t>
            </w:r>
          </w:p>
        </w:tc>
      </w:tr>
      <w:tr w:rsidR="00000881" w:rsidRPr="00000881">
        <w:trPr>
          <w:jc w:val="center"/>
        </w:trPr>
        <w:tc>
          <w:tcPr>
            <w:tcW w:w="4860" w:type="dxa"/>
          </w:tcPr>
          <w:p w:rsidR="008B08F4" w:rsidRPr="00000881" w:rsidRDefault="00810348">
            <w:pPr>
              <w:pStyle w:val="Normal1"/>
              <w:numPr>
                <w:ilvl w:val="0"/>
                <w:numId w:val="1"/>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Professional development regarding the implementation of the district’s selected evaluation and support system for teachers, principals, or other school leaders</w:t>
            </w:r>
          </w:p>
          <w:p w:rsidR="008B08F4" w:rsidRPr="00000881" w:rsidRDefault="00810348">
            <w:pPr>
              <w:pStyle w:val="Normal1"/>
              <w:numPr>
                <w:ilvl w:val="0"/>
                <w:numId w:val="1"/>
              </w:numPr>
              <w:pBdr>
                <w:top w:val="nil"/>
                <w:left w:val="nil"/>
                <w:bottom w:val="nil"/>
                <w:right w:val="nil"/>
                <w:between w:val="nil"/>
              </w:pBdr>
              <w:spacing w:after="200" w:line="276" w:lineRule="auto"/>
              <w:contextualSpacing/>
              <w:rPr>
                <w:sz w:val="18"/>
                <w:szCs w:val="18"/>
              </w:rPr>
            </w:pPr>
            <w:bookmarkStart w:id="0" w:name="_gjdgxs" w:colFirst="0" w:colLast="0"/>
            <w:bookmarkEnd w:id="0"/>
            <w:r w:rsidRPr="00000881">
              <w:rPr>
                <w:rFonts w:ascii="Arial" w:eastAsia="Arial" w:hAnsi="Arial" w:cs="Arial"/>
                <w:sz w:val="18"/>
                <w:szCs w:val="18"/>
              </w:rPr>
              <w:t>Indirect costs per restricted rate identified for LEA</w:t>
            </w:r>
          </w:p>
        </w:tc>
        <w:tc>
          <w:tcPr>
            <w:tcW w:w="4590" w:type="dxa"/>
          </w:tcPr>
          <w:p w:rsidR="008B08F4" w:rsidRPr="00000881" w:rsidRDefault="00810348">
            <w:pPr>
              <w:pStyle w:val="Normal1"/>
              <w:numPr>
                <w:ilvl w:val="0"/>
                <w:numId w:val="2"/>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Social events, recreation, entertainment, non-educational trips, etc.</w:t>
            </w:r>
          </w:p>
          <w:p w:rsidR="008B08F4" w:rsidRPr="00000881" w:rsidRDefault="00810348">
            <w:pPr>
              <w:pStyle w:val="Normal1"/>
              <w:numPr>
                <w:ilvl w:val="0"/>
                <w:numId w:val="2"/>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Fundraising, raffles, prizes, gifts, and awards</w:t>
            </w:r>
          </w:p>
          <w:p w:rsidR="008B08F4" w:rsidRPr="00000881" w:rsidRDefault="00810348">
            <w:pPr>
              <w:pStyle w:val="Normal1"/>
              <w:numPr>
                <w:ilvl w:val="0"/>
                <w:numId w:val="2"/>
              </w:numPr>
              <w:pBdr>
                <w:top w:val="nil"/>
                <w:left w:val="nil"/>
                <w:bottom w:val="nil"/>
                <w:right w:val="nil"/>
                <w:between w:val="nil"/>
              </w:pBdr>
              <w:spacing w:line="276" w:lineRule="auto"/>
              <w:contextualSpacing/>
              <w:rPr>
                <w:sz w:val="18"/>
                <w:szCs w:val="18"/>
              </w:rPr>
            </w:pPr>
            <w:r w:rsidRPr="00000881">
              <w:rPr>
                <w:rFonts w:ascii="Arial" w:eastAsia="Arial" w:hAnsi="Arial" w:cs="Arial"/>
                <w:sz w:val="18"/>
                <w:szCs w:val="18"/>
              </w:rPr>
              <w:t>Promotional items such as T-shirts, caps, tote bags, imprinted pens and keychains, souvenirs, incentives</w:t>
            </w:r>
          </w:p>
          <w:p w:rsidR="008B08F4" w:rsidRPr="00000881" w:rsidRDefault="00810348">
            <w:pPr>
              <w:pStyle w:val="Normal1"/>
              <w:numPr>
                <w:ilvl w:val="0"/>
                <w:numId w:val="2"/>
              </w:numPr>
              <w:pBdr>
                <w:top w:val="nil"/>
                <w:left w:val="nil"/>
                <w:bottom w:val="nil"/>
                <w:right w:val="nil"/>
                <w:between w:val="nil"/>
              </w:pBdr>
              <w:spacing w:after="200" w:line="276" w:lineRule="auto"/>
              <w:contextualSpacing/>
              <w:rPr>
                <w:sz w:val="18"/>
                <w:szCs w:val="18"/>
              </w:rPr>
            </w:pPr>
            <w:r w:rsidRPr="00000881">
              <w:rPr>
                <w:rFonts w:ascii="Arial" w:eastAsia="Arial" w:hAnsi="Arial" w:cs="Arial"/>
                <w:sz w:val="18"/>
                <w:szCs w:val="18"/>
              </w:rPr>
              <w:t xml:space="preserve">Building construction, structural alterations, </w:t>
            </w:r>
            <w:r w:rsidRPr="00000881">
              <w:rPr>
                <w:rFonts w:ascii="Arial" w:eastAsia="Arial" w:hAnsi="Arial" w:cs="Arial"/>
                <w:sz w:val="18"/>
                <w:szCs w:val="18"/>
              </w:rPr>
              <w:lastRenderedPageBreak/>
              <w:t>building maintenance, or repairs</w:t>
            </w:r>
          </w:p>
        </w:tc>
      </w:tr>
    </w:tbl>
    <w:p w:rsidR="008B08F4" w:rsidRPr="00000881" w:rsidRDefault="008B08F4" w:rsidP="00000881">
      <w:pPr>
        <w:pStyle w:val="Normal1"/>
        <w:spacing w:after="0" w:line="240" w:lineRule="auto"/>
        <w:rPr>
          <w:rFonts w:ascii="Arial" w:eastAsia="Arial" w:hAnsi="Arial" w:cs="Arial"/>
          <w:b/>
        </w:rPr>
      </w:pPr>
      <w:bookmarkStart w:id="1" w:name="_GoBack"/>
      <w:bookmarkEnd w:id="1"/>
    </w:p>
    <w:sectPr w:rsidR="008B08F4" w:rsidRPr="0000088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Nunit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0CCF"/>
    <w:multiLevelType w:val="multilevel"/>
    <w:tmpl w:val="2F16B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3D2551"/>
    <w:multiLevelType w:val="multilevel"/>
    <w:tmpl w:val="B07E4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F4"/>
    <w:rsid w:val="00000881"/>
    <w:rsid w:val="00810348"/>
    <w:rsid w:val="008B0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2202F"/>
  <w15:docId w15:val="{6FC41325-3099-4C66-B8AD-8B8F07A2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288" w:type="dxa"/>
        <w:right w:w="288" w:type="dxa"/>
      </w:tblCellMar>
    </w:tblPr>
  </w:style>
  <w:style w:type="table" w:customStyle="1" w:styleId="a0">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1">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2">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3">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4">
    <w:basedOn w:val="TableNormal"/>
    <w:pPr>
      <w:spacing w:after="0" w:line="240" w:lineRule="auto"/>
    </w:pPr>
    <w:tblPr>
      <w:tblStyleRowBandSize w:val="1"/>
      <w:tblStyleColBandSize w:val="1"/>
      <w:tblCellMar>
        <w:top w:w="72" w:type="dxa"/>
        <w:left w:w="72" w:type="dxa"/>
        <w:bottom w:w="72" w:type="dxa"/>
        <w:right w:w="72" w:type="dxa"/>
      </w:tblCellMar>
    </w:tblPr>
  </w:style>
  <w:style w:type="paragraph" w:styleId="BalloonText">
    <w:name w:val="Balloon Text"/>
    <w:basedOn w:val="Normal"/>
    <w:link w:val="BalloonTextChar"/>
    <w:uiPriority w:val="99"/>
    <w:semiHidden/>
    <w:unhideWhenUsed/>
    <w:rsid w:val="008103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3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Fortin, Chelsey A</dc:creator>
  <cp:lastModifiedBy>Fortin, Chelsey A</cp:lastModifiedBy>
  <cp:revision>2</cp:revision>
  <dcterms:created xsi:type="dcterms:W3CDTF">2018-09-28T15:12:00Z</dcterms:created>
  <dcterms:modified xsi:type="dcterms:W3CDTF">2018-09-28T15:12:00Z</dcterms:modified>
</cp:coreProperties>
</file>