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D887" w14:textId="7466F4A3" w:rsidR="00AE2D4A" w:rsidRPr="00726DB8" w:rsidRDefault="17EFC07E" w:rsidP="17EFC07E">
      <w:pPr>
        <w:rPr>
          <w:rFonts w:ascii="Times New Roman" w:hAnsi="Times New Roman" w:cs="Times New Roman"/>
          <w:b/>
          <w:bCs/>
        </w:rPr>
      </w:pPr>
      <w:bookmarkStart w:id="0" w:name="_GoBack"/>
      <w:bookmarkEnd w:id="0"/>
      <w:r w:rsidRPr="00726DB8">
        <w:rPr>
          <w:rFonts w:ascii="Times New Roman" w:hAnsi="Times New Roman" w:cs="Times New Roman"/>
          <w:b/>
          <w:bCs/>
        </w:rPr>
        <w:t xml:space="preserve">COVID-19 </w:t>
      </w:r>
      <w:r w:rsidR="00113ED4" w:rsidRPr="00726DB8">
        <w:rPr>
          <w:rFonts w:ascii="Times New Roman" w:hAnsi="Times New Roman" w:cs="Times New Roman"/>
          <w:b/>
          <w:bCs/>
        </w:rPr>
        <w:t xml:space="preserve">Guidance for </w:t>
      </w:r>
      <w:r w:rsidRPr="00726DB8">
        <w:rPr>
          <w:rFonts w:ascii="Times New Roman" w:hAnsi="Times New Roman" w:cs="Times New Roman"/>
          <w:b/>
          <w:bCs/>
        </w:rPr>
        <w:t>Provider</w:t>
      </w:r>
      <w:r w:rsidR="00113ED4" w:rsidRPr="00726DB8">
        <w:rPr>
          <w:rFonts w:ascii="Times New Roman" w:hAnsi="Times New Roman" w:cs="Times New Roman"/>
          <w:b/>
          <w:bCs/>
        </w:rPr>
        <w:t>s</w:t>
      </w:r>
      <w:r w:rsidRPr="00726DB8">
        <w:rPr>
          <w:rFonts w:ascii="Times New Roman" w:hAnsi="Times New Roman" w:cs="Times New Roman"/>
          <w:b/>
          <w:bCs/>
        </w:rPr>
        <w:t xml:space="preserve"> of Behavioral</w:t>
      </w:r>
      <w:r w:rsidR="00267808">
        <w:rPr>
          <w:rFonts w:ascii="Times New Roman" w:hAnsi="Times New Roman" w:cs="Times New Roman"/>
          <w:b/>
          <w:bCs/>
        </w:rPr>
        <w:t xml:space="preserve"> H</w:t>
      </w:r>
      <w:r w:rsidRPr="00726DB8">
        <w:rPr>
          <w:rFonts w:ascii="Times New Roman" w:hAnsi="Times New Roman" w:cs="Times New Roman"/>
          <w:b/>
          <w:bCs/>
        </w:rPr>
        <w:t>ealth, Community Support, and Rehabilitative and Community Support Services</w:t>
      </w:r>
      <w:r w:rsidR="00CA1E17">
        <w:rPr>
          <w:rFonts w:ascii="Times New Roman" w:hAnsi="Times New Roman" w:cs="Times New Roman"/>
          <w:b/>
          <w:bCs/>
        </w:rPr>
        <w:t xml:space="preserve"> </w:t>
      </w:r>
      <w:r w:rsidR="00B556D6" w:rsidRPr="004214C6">
        <w:rPr>
          <w:rFonts w:ascii="Times New Roman" w:hAnsi="Times New Roman" w:cs="Times New Roman"/>
          <w:b/>
          <w:bCs/>
          <w:color w:val="FF0000"/>
        </w:rPr>
        <w:t>(March 20, 2020)</w:t>
      </w:r>
      <w:r w:rsidRPr="00726DB8">
        <w:rPr>
          <w:rFonts w:ascii="Times New Roman" w:hAnsi="Times New Roman" w:cs="Times New Roman"/>
          <w:b/>
          <w:bCs/>
        </w:rPr>
        <w:t>:</w:t>
      </w:r>
    </w:p>
    <w:p w14:paraId="256CAFBA" w14:textId="49C5D0A2" w:rsidR="004B5B46" w:rsidRPr="00726DB8" w:rsidRDefault="17EFC07E" w:rsidP="17F56C2B">
      <w:pPr>
        <w:rPr>
          <w:rFonts w:ascii="Times New Roman" w:hAnsi="Times New Roman" w:cs="Times New Roman"/>
        </w:rPr>
      </w:pPr>
      <w:r w:rsidRPr="00726DB8">
        <w:rPr>
          <w:rFonts w:ascii="Times New Roman" w:hAnsi="Times New Roman" w:cs="Times New Roman"/>
        </w:rPr>
        <w:t>This document will serve as supplementary guidance to MaineCare policy during the health crisis associated with COVID-19. This document is not intended to replace or supplant existing MaineCare policy. Please see Section 65 Behavioral Health Services, Section 17 Community Support Services, or Section 28 Rehabilitative and Community Support Services for Children with Cognitive Impairment and Functional Limitations for regulatory requirements of those Sections.  See Chapter I, Section 4: Telehealth Services in the MaineCare Benefits Manual for more information regarding the rules for providing services via telehealth. The Department is reviewing the applicability of this guidance past the emergency period associate</w:t>
      </w:r>
      <w:r w:rsidR="00654EF3" w:rsidRPr="00726DB8">
        <w:rPr>
          <w:rFonts w:ascii="Times New Roman" w:hAnsi="Times New Roman" w:cs="Times New Roman"/>
        </w:rPr>
        <w:t>d</w:t>
      </w:r>
      <w:r w:rsidRPr="00726DB8">
        <w:rPr>
          <w:rFonts w:ascii="Times New Roman" w:hAnsi="Times New Roman" w:cs="Times New Roman"/>
        </w:rPr>
        <w:t xml:space="preserve"> with COVID-19.</w:t>
      </w:r>
      <w:r w:rsidR="00227EBA" w:rsidRPr="00726DB8">
        <w:rPr>
          <w:rFonts w:ascii="Times New Roman" w:hAnsi="Times New Roman" w:cs="Times New Roman"/>
        </w:rPr>
        <w:t xml:space="preserve"> Additionally, the Department is promulgating emergency rulemaking addressing the COVID -19 health crisis. See</w:t>
      </w:r>
      <w:r w:rsidR="00497407" w:rsidRPr="00726DB8">
        <w:rPr>
          <w:rFonts w:ascii="Times New Roman" w:hAnsi="Times New Roman" w:cs="Times New Roman"/>
        </w:rPr>
        <w:t xml:space="preserve"> the following </w:t>
      </w:r>
      <w:r w:rsidR="00316289" w:rsidRPr="00726DB8">
        <w:rPr>
          <w:rFonts w:ascii="Times New Roman" w:hAnsi="Times New Roman" w:cs="Times New Roman"/>
        </w:rPr>
        <w:t>link for detail on the emergency rule:</w:t>
      </w:r>
    </w:p>
    <w:p w14:paraId="226F3A86" w14:textId="75C3773B" w:rsidR="00316289" w:rsidRPr="00726DB8" w:rsidRDefault="00CE3603" w:rsidP="17F56C2B">
      <w:pPr>
        <w:rPr>
          <w:rFonts w:ascii="Times New Roman" w:hAnsi="Times New Roman" w:cs="Times New Roman"/>
        </w:rPr>
      </w:pPr>
      <w:hyperlink r:id="rId10" w:history="1">
        <w:r w:rsidR="00316289" w:rsidRPr="00726DB8">
          <w:rPr>
            <w:rStyle w:val="Hyperlink"/>
            <w:rFonts w:ascii="Times New Roman" w:hAnsi="Times New Roman" w:cs="Times New Roman"/>
          </w:rPr>
          <w:t>http://www.maine.gov/dhhs/oms/rules/adopted.shtml</w:t>
        </w:r>
      </w:hyperlink>
    </w:p>
    <w:p w14:paraId="66342C47" w14:textId="541A0679" w:rsidR="17EFC07E" w:rsidRPr="00726DB8" w:rsidRDefault="17EFC07E" w:rsidP="17EFC07E">
      <w:pPr>
        <w:rPr>
          <w:rStyle w:val="Hyperlink"/>
          <w:rFonts w:ascii="Times New Roman" w:hAnsi="Times New Roman" w:cs="Times New Roman"/>
        </w:rPr>
      </w:pPr>
      <w:r w:rsidRPr="00726DB8">
        <w:rPr>
          <w:rFonts w:ascii="Times New Roman" w:hAnsi="Times New Roman" w:cs="Times New Roman"/>
        </w:rPr>
        <w:t xml:space="preserve">Guidance will be updated as new information becomes available. Check back frequently. Information and resources are available on the DHHS website, including a link where you can sign up for COVID-19 updates. </w:t>
      </w:r>
      <w:hyperlink r:id="rId11" w:anchor="GI">
        <w:r w:rsidRPr="00726DB8">
          <w:rPr>
            <w:rStyle w:val="Hyperlink"/>
            <w:rFonts w:ascii="Times New Roman" w:hAnsi="Times New Roman" w:cs="Times New Roman"/>
          </w:rPr>
          <w:t>https://www.maine.gov/dhhs/oms/COVID-19.shtml#GI</w:t>
        </w:r>
      </w:hyperlink>
    </w:p>
    <w:p w14:paraId="1BB4B9EA" w14:textId="3759B3BE" w:rsidR="17EFC07E" w:rsidRPr="00726DB8" w:rsidRDefault="17EFC07E" w:rsidP="17EFC07E">
      <w:pPr>
        <w:rPr>
          <w:rFonts w:ascii="Times New Roman" w:hAnsi="Times New Roman" w:cs="Times New Roman"/>
          <w:b/>
          <w:bCs/>
        </w:rPr>
      </w:pPr>
      <w:r w:rsidRPr="00726DB8">
        <w:rPr>
          <w:rFonts w:ascii="Times New Roman" w:hAnsi="Times New Roman" w:cs="Times New Roman"/>
          <w:b/>
          <w:bCs/>
        </w:rPr>
        <w:t>GENERAL GUIDANCE:</w:t>
      </w:r>
    </w:p>
    <w:p w14:paraId="5ED5C16A" w14:textId="20854885" w:rsidR="17F56C2B" w:rsidRPr="00726DB8" w:rsidRDefault="00F832FC" w:rsidP="17F56C2B">
      <w:pPr>
        <w:rPr>
          <w:rFonts w:ascii="Times New Roman" w:hAnsi="Times New Roman" w:cs="Times New Roman"/>
        </w:rPr>
      </w:pPr>
      <w:r w:rsidRPr="00726DB8">
        <w:rPr>
          <w:rFonts w:ascii="Times New Roman" w:hAnsi="Times New Roman" w:cs="Times New Roman"/>
          <w:b/>
          <w:bCs/>
        </w:rPr>
        <w:t xml:space="preserve">Do I have to charge members </w:t>
      </w:r>
      <w:r w:rsidR="00814346" w:rsidRPr="00726DB8">
        <w:rPr>
          <w:rFonts w:ascii="Times New Roman" w:hAnsi="Times New Roman" w:cs="Times New Roman"/>
          <w:b/>
          <w:bCs/>
        </w:rPr>
        <w:t>c</w:t>
      </w:r>
      <w:r w:rsidR="17F56C2B" w:rsidRPr="00726DB8">
        <w:rPr>
          <w:rFonts w:ascii="Times New Roman" w:hAnsi="Times New Roman" w:cs="Times New Roman"/>
          <w:b/>
          <w:bCs/>
        </w:rPr>
        <w:t>opays</w:t>
      </w:r>
      <w:r w:rsidRPr="00726DB8">
        <w:rPr>
          <w:rFonts w:ascii="Times New Roman" w:hAnsi="Times New Roman" w:cs="Times New Roman"/>
          <w:b/>
          <w:bCs/>
        </w:rPr>
        <w:t xml:space="preserve"> during the emergency period?</w:t>
      </w:r>
    </w:p>
    <w:p w14:paraId="097255B1" w14:textId="5C62EB74" w:rsidR="17F56C2B" w:rsidRPr="00726DB8" w:rsidRDefault="17F56C2B" w:rsidP="17F56C2B">
      <w:pPr>
        <w:rPr>
          <w:rFonts w:ascii="Times New Roman" w:hAnsi="Times New Roman" w:cs="Times New Roman"/>
          <w:b/>
          <w:bCs/>
        </w:rPr>
      </w:pPr>
      <w:r w:rsidRPr="00726DB8">
        <w:rPr>
          <w:rFonts w:ascii="Times New Roman" w:hAnsi="Times New Roman" w:cs="Times New Roman"/>
        </w:rPr>
        <w:t>During the emergency period associated with COVID-19, all copays are waived for Section 65, Behavioral Health Services. No copays are required for Section 17 or 28 services</w:t>
      </w:r>
      <w:r w:rsidR="00CF61AC" w:rsidRPr="00726DB8">
        <w:rPr>
          <w:rFonts w:ascii="Times New Roman" w:hAnsi="Times New Roman" w:cs="Times New Roman"/>
        </w:rPr>
        <w:t xml:space="preserve"> as a matter of general MaineCare policy</w:t>
      </w:r>
      <w:r w:rsidRPr="00726DB8">
        <w:rPr>
          <w:rFonts w:ascii="Times New Roman" w:hAnsi="Times New Roman" w:cs="Times New Roman"/>
        </w:rPr>
        <w:t>.</w:t>
      </w:r>
    </w:p>
    <w:p w14:paraId="44BAEE33" w14:textId="77777777" w:rsidR="00B61323" w:rsidRPr="00726DB8" w:rsidRDefault="00373688" w:rsidP="17F56C2B">
      <w:pPr>
        <w:rPr>
          <w:rFonts w:ascii="Times New Roman" w:hAnsi="Times New Roman" w:cs="Times New Roman"/>
          <w:b/>
          <w:bCs/>
        </w:rPr>
      </w:pPr>
      <w:r w:rsidRPr="00726DB8">
        <w:rPr>
          <w:rFonts w:ascii="Times New Roman" w:hAnsi="Times New Roman" w:cs="Times New Roman"/>
          <w:b/>
          <w:bCs/>
        </w:rPr>
        <w:t xml:space="preserve">Can I have flexibility on </w:t>
      </w:r>
      <w:r w:rsidR="007E1AF1" w:rsidRPr="00726DB8">
        <w:rPr>
          <w:rFonts w:ascii="Times New Roman" w:hAnsi="Times New Roman" w:cs="Times New Roman"/>
          <w:b/>
          <w:bCs/>
        </w:rPr>
        <w:t>obtaining sign</w:t>
      </w:r>
      <w:r w:rsidR="00B61323" w:rsidRPr="00726DB8">
        <w:rPr>
          <w:rFonts w:ascii="Times New Roman" w:hAnsi="Times New Roman" w:cs="Times New Roman"/>
          <w:b/>
          <w:bCs/>
        </w:rPr>
        <w:t>atures for required documentation?</w:t>
      </w:r>
    </w:p>
    <w:p w14:paraId="27AE1D05" w14:textId="27119D73" w:rsidR="17F56C2B" w:rsidRPr="00726DB8" w:rsidRDefault="17EFC07E" w:rsidP="17F56C2B">
      <w:pPr>
        <w:rPr>
          <w:rFonts w:ascii="Times New Roman" w:hAnsi="Times New Roman" w:cs="Times New Roman"/>
          <w:b/>
          <w:bCs/>
        </w:rPr>
      </w:pPr>
      <w:r w:rsidRPr="00726DB8">
        <w:rPr>
          <w:rFonts w:ascii="Times New Roman" w:hAnsi="Times New Roman" w:cs="Times New Roman"/>
        </w:rPr>
        <w:t xml:space="preserve">The nature of COVID-19 has presented unique challenges for providers to attain required signatures for critical treatment documentation necessary for the provision of services. The Department recognizes these challenges. In the event a signature is </w:t>
      </w:r>
      <w:r w:rsidR="00EC58E1" w:rsidRPr="00726DB8">
        <w:rPr>
          <w:rFonts w:ascii="Times New Roman" w:hAnsi="Times New Roman" w:cs="Times New Roman"/>
        </w:rPr>
        <w:t xml:space="preserve">normally </w:t>
      </w:r>
      <w:r w:rsidRPr="00726DB8">
        <w:rPr>
          <w:rFonts w:ascii="Times New Roman" w:hAnsi="Times New Roman" w:cs="Times New Roman"/>
        </w:rPr>
        <w:t>required for an assessment or treatment plan and electronic signatures available through a unique logon and time stamp is not available, The Department offers the following resolutions:</w:t>
      </w:r>
    </w:p>
    <w:p w14:paraId="1C5F30C3" w14:textId="054BF669" w:rsidR="17F56C2B" w:rsidRPr="00726DB8" w:rsidRDefault="17EFC07E" w:rsidP="17F56C2B">
      <w:pPr>
        <w:pStyle w:val="ListParagraph"/>
        <w:numPr>
          <w:ilvl w:val="0"/>
          <w:numId w:val="6"/>
        </w:numPr>
        <w:rPr>
          <w:rFonts w:ascii="Times New Roman" w:hAnsi="Times New Roman" w:cs="Times New Roman"/>
        </w:rPr>
      </w:pPr>
      <w:r w:rsidRPr="00726DB8">
        <w:rPr>
          <w:rFonts w:ascii="Times New Roman" w:eastAsiaTheme="minorEastAsia" w:hAnsi="Times New Roman" w:cs="Times New Roman"/>
        </w:rPr>
        <w:t>Until further notice, OMS will consider signatures obtained within 45 days as contemporaneous.</w:t>
      </w:r>
    </w:p>
    <w:p w14:paraId="0A664F29" w14:textId="50D438D6" w:rsidR="17F56C2B" w:rsidRPr="00726DB8" w:rsidRDefault="17EFC07E" w:rsidP="17F56C2B">
      <w:pPr>
        <w:pStyle w:val="ListParagraph"/>
        <w:numPr>
          <w:ilvl w:val="0"/>
          <w:numId w:val="6"/>
        </w:numPr>
        <w:rPr>
          <w:rFonts w:ascii="Times New Roman" w:hAnsi="Times New Roman" w:cs="Times New Roman"/>
        </w:rPr>
      </w:pPr>
      <w:r w:rsidRPr="00726DB8">
        <w:rPr>
          <w:rFonts w:ascii="Times New Roman" w:hAnsi="Times New Roman" w:cs="Times New Roman"/>
        </w:rPr>
        <w:t>Providers may accept email notification from the member/parent/guardian and internal clinical approval as proof of approval of the assessment or treatment/service plan. The email providing consent must be kept in the member’s record. Signature must be attained when that becomes possible.</w:t>
      </w:r>
    </w:p>
    <w:p w14:paraId="07E9395A" w14:textId="343F349B" w:rsidR="17F56C2B" w:rsidRPr="00726DB8" w:rsidRDefault="17EFC07E" w:rsidP="17EFC07E">
      <w:pPr>
        <w:pStyle w:val="ListParagraph"/>
        <w:numPr>
          <w:ilvl w:val="0"/>
          <w:numId w:val="6"/>
        </w:numPr>
        <w:rPr>
          <w:rFonts w:ascii="Times New Roman" w:hAnsi="Times New Roman" w:cs="Times New Roman"/>
        </w:rPr>
      </w:pPr>
      <w:r w:rsidRPr="00726DB8">
        <w:rPr>
          <w:rFonts w:ascii="Times New Roman" w:hAnsi="Times New Roman" w:cs="Times New Roman"/>
        </w:rPr>
        <w:t xml:space="preserve">For members who do not have access to email or internet, signatures obtained via hard copy </w:t>
      </w:r>
      <w:r w:rsidR="00415686" w:rsidRPr="00726DB8">
        <w:rPr>
          <w:rFonts w:ascii="Times New Roman" w:hAnsi="Times New Roman" w:cs="Times New Roman"/>
        </w:rPr>
        <w:t xml:space="preserve">and </w:t>
      </w:r>
      <w:r w:rsidRPr="00726DB8">
        <w:rPr>
          <w:rFonts w:ascii="Times New Roman" w:hAnsi="Times New Roman" w:cs="Times New Roman"/>
        </w:rPr>
        <w:t>sent by mail will be considered contemporaneous when received within the timeframe stated above.</w:t>
      </w:r>
    </w:p>
    <w:p w14:paraId="08A49853" w14:textId="48EAF95A" w:rsidR="17F56C2B" w:rsidRPr="00726DB8" w:rsidRDefault="17EFC07E" w:rsidP="17EFC07E">
      <w:pPr>
        <w:pStyle w:val="ListParagraph"/>
        <w:numPr>
          <w:ilvl w:val="0"/>
          <w:numId w:val="6"/>
        </w:numPr>
        <w:rPr>
          <w:rFonts w:ascii="Times New Roman" w:hAnsi="Times New Roman" w:cs="Times New Roman"/>
        </w:rPr>
      </w:pPr>
      <w:r w:rsidRPr="00726DB8">
        <w:rPr>
          <w:rFonts w:ascii="Times New Roman" w:hAnsi="Times New Roman" w:cs="Times New Roman"/>
        </w:rPr>
        <w:lastRenderedPageBreak/>
        <w:t xml:space="preserve">Verbal approval of assessments or treatment/service plans is </w:t>
      </w:r>
      <w:r w:rsidRPr="00726DB8">
        <w:rPr>
          <w:rFonts w:ascii="Times New Roman" w:hAnsi="Times New Roman" w:cs="Times New Roman"/>
          <w:u w:val="single"/>
        </w:rPr>
        <w:t>not</w:t>
      </w:r>
      <w:r w:rsidRPr="00726DB8">
        <w:rPr>
          <w:rFonts w:ascii="Times New Roman" w:hAnsi="Times New Roman" w:cs="Times New Roman"/>
        </w:rPr>
        <w:t xml:space="preserve"> an acceptable form of approval under MaineCare policy</w:t>
      </w:r>
      <w:r w:rsidR="00B773DA" w:rsidRPr="00726DB8">
        <w:rPr>
          <w:rFonts w:ascii="Times New Roman" w:hAnsi="Times New Roman" w:cs="Times New Roman"/>
        </w:rPr>
        <w:t>, with exception to servi</w:t>
      </w:r>
      <w:r w:rsidR="004037F9" w:rsidRPr="00726DB8">
        <w:rPr>
          <w:rFonts w:ascii="Times New Roman" w:hAnsi="Times New Roman" w:cs="Times New Roman"/>
        </w:rPr>
        <w:t xml:space="preserve">cing members who are homeless and have no other means of obtaining written approval. </w:t>
      </w:r>
      <w:r w:rsidR="00F54E2E" w:rsidRPr="00726DB8">
        <w:rPr>
          <w:rFonts w:ascii="Times New Roman" w:hAnsi="Times New Roman" w:cs="Times New Roman"/>
        </w:rPr>
        <w:t>Signature must be attained when that becomes possible.</w:t>
      </w:r>
    </w:p>
    <w:p w14:paraId="49ECC2F2" w14:textId="1CD6588E" w:rsidR="17EFC07E" w:rsidRPr="00726DB8" w:rsidRDefault="17EFC07E" w:rsidP="17EFC07E">
      <w:pPr>
        <w:rPr>
          <w:rFonts w:ascii="Times New Roman" w:hAnsi="Times New Roman" w:cs="Times New Roman"/>
          <w:b/>
          <w:bCs/>
        </w:rPr>
      </w:pPr>
      <w:r w:rsidRPr="00726DB8">
        <w:rPr>
          <w:rFonts w:ascii="Times New Roman" w:hAnsi="Times New Roman" w:cs="Times New Roman"/>
          <w:b/>
          <w:bCs/>
        </w:rPr>
        <w:t>SERVICE-SPECIFIC GUIDANCE</w:t>
      </w:r>
    </w:p>
    <w:p w14:paraId="55B956CC" w14:textId="5EFCCBFD" w:rsidR="17EFC07E" w:rsidRPr="00726DB8" w:rsidRDefault="17EFC07E" w:rsidP="17EFC07E">
      <w:pPr>
        <w:rPr>
          <w:rFonts w:ascii="Times New Roman" w:hAnsi="Times New Roman" w:cs="Times New Roman"/>
        </w:rPr>
      </w:pPr>
      <w:r w:rsidRPr="00726DB8">
        <w:rPr>
          <w:rFonts w:ascii="Times New Roman" w:hAnsi="Times New Roman" w:cs="Times New Roman"/>
          <w:b/>
          <w:bCs/>
        </w:rPr>
        <w:t>Telehealth Services (Chapter I, Section 4)</w:t>
      </w:r>
    </w:p>
    <w:p w14:paraId="3E8D30BB" w14:textId="582487CC" w:rsidR="000F30B5" w:rsidRPr="00726DB8" w:rsidRDefault="17EFC07E" w:rsidP="000F30B5">
      <w:pPr>
        <w:rPr>
          <w:rFonts w:ascii="Times New Roman" w:hAnsi="Times New Roman" w:cs="Times New Roman"/>
        </w:rPr>
      </w:pPr>
      <w:r w:rsidRPr="00726DB8">
        <w:rPr>
          <w:rFonts w:ascii="Times New Roman" w:hAnsi="Times New Roman" w:cs="Times New Roman"/>
        </w:rPr>
        <w:t xml:space="preserve">Telehealth can be used to deliver many appropriate services. </w:t>
      </w:r>
      <w:r w:rsidR="000F30B5" w:rsidRPr="00726DB8">
        <w:rPr>
          <w:rFonts w:ascii="Times New Roman" w:hAnsi="Times New Roman" w:cs="Times New Roman"/>
        </w:rPr>
        <w:t>General guidance on Telehealth</w:t>
      </w:r>
      <w:r w:rsidR="00227E33" w:rsidRPr="00726DB8">
        <w:rPr>
          <w:rFonts w:ascii="Times New Roman" w:hAnsi="Times New Roman" w:cs="Times New Roman"/>
        </w:rPr>
        <w:t xml:space="preserve"> may be found at:</w:t>
      </w:r>
    </w:p>
    <w:p w14:paraId="325C2C43" w14:textId="77777777" w:rsidR="004B4D6C" w:rsidRPr="004B4D6C" w:rsidRDefault="00CE3603" w:rsidP="000F30B5">
      <w:pPr>
        <w:rPr>
          <w:rFonts w:ascii="Times New Roman" w:hAnsi="Times New Roman" w:cs="Times New Roman"/>
        </w:rPr>
      </w:pPr>
      <w:hyperlink r:id="rId12" w:history="1">
        <w:r w:rsidR="004B4D6C" w:rsidRPr="004B4D6C">
          <w:rPr>
            <w:rStyle w:val="Hyperlink"/>
            <w:rFonts w:ascii="Times New Roman" w:hAnsi="Times New Roman" w:cs="Times New Roman"/>
          </w:rPr>
          <w:t>https://www.maine.gov/dhhs/oms/COVID-19.shtml#Pro</w:t>
        </w:r>
      </w:hyperlink>
    </w:p>
    <w:p w14:paraId="216B0832" w14:textId="426C58E4" w:rsidR="00227E33" w:rsidRPr="00726DB8" w:rsidRDefault="00227E33" w:rsidP="000F30B5">
      <w:pPr>
        <w:rPr>
          <w:rFonts w:ascii="Times New Roman" w:hAnsi="Times New Roman" w:cs="Times New Roman"/>
        </w:rPr>
      </w:pPr>
      <w:r w:rsidRPr="00726DB8">
        <w:rPr>
          <w:rFonts w:ascii="Times New Roman" w:hAnsi="Times New Roman" w:cs="Times New Roman"/>
        </w:rPr>
        <w:t>Service specific information is made available below.</w:t>
      </w:r>
    </w:p>
    <w:p w14:paraId="3D75A97E" w14:textId="1A57C2FC" w:rsidR="004F6534" w:rsidRPr="00726DB8" w:rsidRDefault="17EFC07E" w:rsidP="17EFC07E">
      <w:pPr>
        <w:widowControl w:val="0"/>
        <w:tabs>
          <w:tab w:val="left" w:pos="720"/>
          <w:tab w:val="left" w:pos="720"/>
          <w:tab w:val="left" w:pos="1800"/>
          <w:tab w:val="left" w:pos="2520"/>
          <w:tab w:val="left" w:pos="3600"/>
          <w:tab w:val="left" w:pos="4320"/>
        </w:tabs>
        <w:spacing w:after="0" w:line="240" w:lineRule="auto"/>
        <w:ind w:right="-180"/>
        <w:rPr>
          <w:rFonts w:ascii="Times New Roman" w:eastAsia="Times New Roman" w:hAnsi="Times New Roman" w:cs="Times New Roman"/>
          <w:u w:val="single"/>
        </w:rPr>
      </w:pPr>
      <w:r w:rsidRPr="00726DB8">
        <w:rPr>
          <w:rFonts w:ascii="Times New Roman" w:eastAsia="Times New Roman" w:hAnsi="Times New Roman" w:cs="Times New Roman"/>
          <w:u w:val="single"/>
        </w:rPr>
        <w:t>Telehealth Interpretive Guidance</w:t>
      </w:r>
      <w:r w:rsidR="00E97C1C" w:rsidRPr="00726DB8">
        <w:rPr>
          <w:rFonts w:ascii="Times New Roman" w:eastAsia="Times New Roman" w:hAnsi="Times New Roman" w:cs="Times New Roman"/>
          <w:u w:val="single"/>
        </w:rPr>
        <w:t xml:space="preserve"> for Behavioral Health Services</w:t>
      </w:r>
      <w:r w:rsidRPr="00726DB8">
        <w:rPr>
          <w:rFonts w:ascii="Times New Roman" w:eastAsia="Times New Roman" w:hAnsi="Times New Roman" w:cs="Times New Roman"/>
          <w:u w:val="single"/>
        </w:rPr>
        <w:t>:</w:t>
      </w:r>
    </w:p>
    <w:p w14:paraId="03CEA91D" w14:textId="1A53961B" w:rsidR="17EFC07E" w:rsidRPr="00726DB8" w:rsidRDefault="17EFC07E" w:rsidP="17EFC07E">
      <w:pPr>
        <w:spacing w:after="0" w:line="240" w:lineRule="auto"/>
        <w:ind w:right="-180"/>
        <w:rPr>
          <w:rFonts w:ascii="Times New Roman" w:eastAsia="Times New Roman" w:hAnsi="Times New Roman" w:cs="Times New Roman"/>
          <w:b/>
          <w:bCs/>
        </w:rPr>
      </w:pPr>
    </w:p>
    <w:p w14:paraId="7D4D2D5E" w14:textId="77777777" w:rsidR="001E6F14" w:rsidRPr="00726DB8" w:rsidRDefault="17EFC07E" w:rsidP="00E06486">
      <w:pPr>
        <w:pStyle w:val="NoSpacing"/>
        <w:ind w:firstLine="720"/>
        <w:rPr>
          <w:rFonts w:ascii="Times New Roman" w:hAnsi="Times New Roman" w:cs="Times New Roman"/>
          <w:b/>
          <w:bCs/>
          <w:i/>
          <w:iCs/>
        </w:rPr>
      </w:pPr>
      <w:r w:rsidRPr="00726DB8">
        <w:rPr>
          <w:rFonts w:ascii="Times New Roman" w:hAnsi="Times New Roman" w:cs="Times New Roman"/>
          <w:b/>
          <w:bCs/>
          <w:i/>
          <w:iCs/>
        </w:rPr>
        <w:t xml:space="preserve">Which services </w:t>
      </w:r>
      <w:proofErr w:type="gramStart"/>
      <w:r w:rsidRPr="00726DB8">
        <w:rPr>
          <w:rFonts w:ascii="Times New Roman" w:hAnsi="Times New Roman" w:cs="Times New Roman"/>
          <w:b/>
          <w:bCs/>
          <w:i/>
          <w:iCs/>
        </w:rPr>
        <w:t>are allowed to</w:t>
      </w:r>
      <w:proofErr w:type="gramEnd"/>
      <w:r w:rsidRPr="00726DB8">
        <w:rPr>
          <w:rFonts w:ascii="Times New Roman" w:hAnsi="Times New Roman" w:cs="Times New Roman"/>
          <w:b/>
          <w:bCs/>
          <w:i/>
          <w:iCs/>
        </w:rPr>
        <w:t xml:space="preserve"> use telehealth?  </w:t>
      </w:r>
    </w:p>
    <w:p w14:paraId="39505A5A" w14:textId="77777777" w:rsidR="001E6F14" w:rsidRPr="00726DB8" w:rsidRDefault="001E6F14" w:rsidP="17EFC07E">
      <w:pPr>
        <w:pStyle w:val="NoSpacing"/>
        <w:rPr>
          <w:rFonts w:ascii="Times New Roman" w:hAnsi="Times New Roman" w:cs="Times New Roman"/>
          <w:b/>
          <w:bCs/>
          <w:i/>
          <w:iCs/>
        </w:rPr>
      </w:pPr>
    </w:p>
    <w:p w14:paraId="1EDEF4F3" w14:textId="22B5B0A4" w:rsidR="001F4A00" w:rsidRPr="00726DB8" w:rsidRDefault="17EFC07E" w:rsidP="00E06486">
      <w:pPr>
        <w:pStyle w:val="NoSpacing"/>
        <w:ind w:left="1080"/>
        <w:rPr>
          <w:rStyle w:val="Hyperlink"/>
          <w:rFonts w:ascii="Times New Roman" w:hAnsi="Times New Roman" w:cs="Times New Roman"/>
          <w:color w:val="auto"/>
          <w:u w:val="none"/>
        </w:rPr>
      </w:pPr>
      <w:r w:rsidRPr="00726DB8">
        <w:rPr>
          <w:rStyle w:val="Hyperlink"/>
          <w:rFonts w:ascii="Times New Roman" w:hAnsi="Times New Roman" w:cs="Times New Roman"/>
          <w:color w:val="auto"/>
          <w:u w:val="none"/>
        </w:rPr>
        <w:t xml:space="preserve">There is no restriction on utilizing telehealth for any service available through Sections 17, 28, or 65. However, providers should consider the following in determining </w:t>
      </w:r>
      <w:r w:rsidR="008E3D1E" w:rsidRPr="00726DB8">
        <w:rPr>
          <w:rStyle w:val="Hyperlink"/>
          <w:rFonts w:ascii="Times New Roman" w:hAnsi="Times New Roman" w:cs="Times New Roman"/>
          <w:color w:val="auto"/>
          <w:u w:val="none"/>
        </w:rPr>
        <w:t>if</w:t>
      </w:r>
      <w:r w:rsidRPr="00726DB8">
        <w:rPr>
          <w:rStyle w:val="Hyperlink"/>
          <w:rFonts w:ascii="Times New Roman" w:hAnsi="Times New Roman" w:cs="Times New Roman"/>
          <w:color w:val="auto"/>
          <w:u w:val="none"/>
        </w:rPr>
        <w:t xml:space="preserve"> telehealth </w:t>
      </w:r>
      <w:r w:rsidR="0039142B" w:rsidRPr="00726DB8">
        <w:rPr>
          <w:rStyle w:val="Hyperlink"/>
          <w:rFonts w:ascii="Times New Roman" w:hAnsi="Times New Roman" w:cs="Times New Roman"/>
          <w:color w:val="auto"/>
          <w:u w:val="none"/>
        </w:rPr>
        <w:t xml:space="preserve">may be delivered in comparable quality </w:t>
      </w:r>
      <w:r w:rsidR="003C5518" w:rsidRPr="00726DB8">
        <w:rPr>
          <w:rStyle w:val="Hyperlink"/>
          <w:rFonts w:ascii="Times New Roman" w:hAnsi="Times New Roman" w:cs="Times New Roman"/>
          <w:color w:val="auto"/>
          <w:u w:val="none"/>
        </w:rPr>
        <w:t xml:space="preserve">to what it would be </w:t>
      </w:r>
      <w:proofErr w:type="spellStart"/>
      <w:r w:rsidR="003C5518" w:rsidRPr="00726DB8">
        <w:rPr>
          <w:rStyle w:val="Hyperlink"/>
          <w:rFonts w:ascii="Times New Roman" w:hAnsi="Times New Roman" w:cs="Times New Roman"/>
          <w:color w:val="auto"/>
          <w:u w:val="none"/>
        </w:rPr>
        <w:t>were</w:t>
      </w:r>
      <w:proofErr w:type="spellEnd"/>
      <w:r w:rsidR="003C5518" w:rsidRPr="00726DB8">
        <w:rPr>
          <w:rStyle w:val="Hyperlink"/>
          <w:rFonts w:ascii="Times New Roman" w:hAnsi="Times New Roman" w:cs="Times New Roman"/>
          <w:color w:val="auto"/>
          <w:u w:val="none"/>
        </w:rPr>
        <w:t xml:space="preserve"> it delivered in person</w:t>
      </w:r>
      <w:r w:rsidRPr="00726DB8">
        <w:rPr>
          <w:rStyle w:val="Hyperlink"/>
          <w:rFonts w:ascii="Times New Roman" w:hAnsi="Times New Roman" w:cs="Times New Roman"/>
          <w:color w:val="auto"/>
          <w:u w:val="none"/>
        </w:rPr>
        <w:t>:</w:t>
      </w:r>
    </w:p>
    <w:p w14:paraId="4989CD10" w14:textId="77777777" w:rsidR="00A65201" w:rsidRPr="00726DB8" w:rsidRDefault="00A65201" w:rsidP="17EFC07E">
      <w:pPr>
        <w:pStyle w:val="NoSpacing"/>
        <w:rPr>
          <w:rStyle w:val="Hyperlink"/>
          <w:rFonts w:ascii="Times New Roman" w:hAnsi="Times New Roman" w:cs="Times New Roman"/>
          <w:b/>
          <w:bCs/>
          <w:i/>
          <w:iCs/>
          <w:color w:val="auto"/>
          <w:u w:val="none"/>
        </w:rPr>
      </w:pPr>
    </w:p>
    <w:p w14:paraId="4767590C" w14:textId="5A64FC50" w:rsidR="009C798E" w:rsidRPr="00726DB8" w:rsidRDefault="17EFC07E" w:rsidP="00E06486">
      <w:pPr>
        <w:pStyle w:val="ListParagraph"/>
        <w:numPr>
          <w:ilvl w:val="0"/>
          <w:numId w:val="11"/>
        </w:numPr>
        <w:ind w:left="1440"/>
        <w:rPr>
          <w:rFonts w:ascii="Times New Roman" w:hAnsi="Times New Roman" w:cs="Times New Roman"/>
        </w:rPr>
      </w:pPr>
      <w:r w:rsidRPr="00726DB8">
        <w:rPr>
          <w:rFonts w:ascii="Times New Roman" w:hAnsi="Times New Roman" w:cs="Times New Roman"/>
        </w:rPr>
        <w:t>Is telehealth clinically appropriate for the service being delivered?  While some services, like community integration and outpatient therapy may be appropriate for telehealth, other services, based on member need, may not be. For example, a child receiving Specialized RCS who has intensive behavioral concerns requiring frequent hand-over-hand cuing may not be an appropriate candidate for telehealth. Providers must use their clinical expertise and judgment to evaluate the appropriateness of telehealth based on the member’s needs and goals as identified in their treatment plan.</w:t>
      </w:r>
    </w:p>
    <w:p w14:paraId="30FF38E7" w14:textId="04106CEC" w:rsidR="00917CCE" w:rsidRPr="00726DB8" w:rsidRDefault="17EFC07E" w:rsidP="00E06486">
      <w:pPr>
        <w:pStyle w:val="ListParagraph"/>
        <w:numPr>
          <w:ilvl w:val="2"/>
          <w:numId w:val="12"/>
        </w:numPr>
        <w:ind w:left="1440"/>
        <w:rPr>
          <w:rFonts w:ascii="Times New Roman" w:hAnsi="Times New Roman" w:cs="Times New Roman"/>
        </w:rPr>
      </w:pPr>
      <w:r w:rsidRPr="00726DB8">
        <w:rPr>
          <w:rFonts w:ascii="Times New Roman" w:hAnsi="Times New Roman" w:cs="Times New Roman"/>
        </w:rPr>
        <w:t>Can the treatment plan goals and objectives be reasonably addressed via telehealth?</w:t>
      </w:r>
    </w:p>
    <w:p w14:paraId="1A47114D" w14:textId="3C394A14" w:rsidR="17F56C2B" w:rsidRPr="00726DB8" w:rsidRDefault="17EFC07E" w:rsidP="00E06486">
      <w:pPr>
        <w:pStyle w:val="ListParagraph"/>
        <w:numPr>
          <w:ilvl w:val="2"/>
          <w:numId w:val="12"/>
        </w:numPr>
        <w:ind w:left="1440"/>
        <w:rPr>
          <w:rFonts w:ascii="Times New Roman" w:hAnsi="Times New Roman" w:cs="Times New Roman"/>
        </w:rPr>
      </w:pPr>
      <w:r w:rsidRPr="00726DB8">
        <w:rPr>
          <w:rFonts w:ascii="Times New Roman" w:hAnsi="Times New Roman" w:cs="Times New Roman"/>
        </w:rPr>
        <w:t xml:space="preserve">Does the member </w:t>
      </w:r>
      <w:proofErr w:type="gramStart"/>
      <w:r w:rsidRPr="00726DB8">
        <w:rPr>
          <w:rFonts w:ascii="Times New Roman" w:hAnsi="Times New Roman" w:cs="Times New Roman"/>
        </w:rPr>
        <w:t>have the ability to</w:t>
      </w:r>
      <w:proofErr w:type="gramEnd"/>
      <w:r w:rsidRPr="00726DB8">
        <w:rPr>
          <w:rFonts w:ascii="Times New Roman" w:hAnsi="Times New Roman" w:cs="Times New Roman"/>
        </w:rPr>
        <w:t xml:space="preserve"> communicate effectively using telehealth?  For example, a young child or a member with expressive and/or receptive communication challenges may not be best served by telehealth. </w:t>
      </w:r>
    </w:p>
    <w:p w14:paraId="5D0B7302" w14:textId="2F46527B" w:rsidR="17F56C2B" w:rsidRPr="00726DB8" w:rsidRDefault="17EFC07E" w:rsidP="00E06486">
      <w:pPr>
        <w:pStyle w:val="ListParagraph"/>
        <w:numPr>
          <w:ilvl w:val="2"/>
          <w:numId w:val="12"/>
        </w:numPr>
        <w:ind w:left="1440"/>
        <w:rPr>
          <w:rFonts w:ascii="Times New Roman" w:hAnsi="Times New Roman" w:cs="Times New Roman"/>
        </w:rPr>
      </w:pPr>
      <w:r w:rsidRPr="00726DB8">
        <w:rPr>
          <w:rFonts w:ascii="Times New Roman" w:hAnsi="Times New Roman" w:cs="Times New Roman"/>
        </w:rPr>
        <w:t>As with face-to-face encounters, progress notes should document how the intervention(s) provided over telehealth directly addressed treatment plan goals and objectives.</w:t>
      </w:r>
    </w:p>
    <w:p w14:paraId="2573AACA" w14:textId="77777777" w:rsidR="00D33E1D" w:rsidRPr="00726DB8" w:rsidRDefault="00D33E1D" w:rsidP="00D33E1D">
      <w:pPr>
        <w:pStyle w:val="ListParagraph"/>
        <w:spacing w:after="0" w:line="240" w:lineRule="auto"/>
        <w:ind w:left="2160"/>
        <w:rPr>
          <w:rFonts w:ascii="Times New Roman" w:hAnsi="Times New Roman" w:cs="Times New Roman"/>
        </w:rPr>
      </w:pPr>
    </w:p>
    <w:p w14:paraId="616BCEF0" w14:textId="799BC347" w:rsidR="00D33E1D" w:rsidRPr="00726DB8" w:rsidRDefault="00682E2E" w:rsidP="00D33E1D">
      <w:pPr>
        <w:pStyle w:val="ListParagraph"/>
        <w:spacing w:after="0" w:line="240" w:lineRule="auto"/>
        <w:ind w:left="1080"/>
        <w:rPr>
          <w:rFonts w:ascii="Times New Roman" w:hAnsi="Times New Roman" w:cs="Times New Roman"/>
        </w:rPr>
      </w:pPr>
      <w:r w:rsidRPr="00726DB8">
        <w:rPr>
          <w:rFonts w:ascii="Times New Roman" w:hAnsi="Times New Roman" w:cs="Times New Roman"/>
        </w:rPr>
        <w:t xml:space="preserve">During the </w:t>
      </w:r>
      <w:r w:rsidR="00620A99" w:rsidRPr="00726DB8">
        <w:rPr>
          <w:rFonts w:ascii="Times New Roman" w:hAnsi="Times New Roman" w:cs="Times New Roman"/>
        </w:rPr>
        <w:t>period of the</w:t>
      </w:r>
      <w:r w:rsidR="00591AD4" w:rsidRPr="00726DB8">
        <w:rPr>
          <w:rFonts w:ascii="Times New Roman" w:hAnsi="Times New Roman" w:cs="Times New Roman"/>
        </w:rPr>
        <w:t xml:space="preserve"> COVID-19 </w:t>
      </w:r>
      <w:r w:rsidR="00620A99" w:rsidRPr="00726DB8">
        <w:rPr>
          <w:rFonts w:ascii="Times New Roman" w:hAnsi="Times New Roman" w:cs="Times New Roman"/>
        </w:rPr>
        <w:t xml:space="preserve">emergency </w:t>
      </w:r>
      <w:r w:rsidR="00591AD4" w:rsidRPr="00726DB8">
        <w:rPr>
          <w:rFonts w:ascii="Times New Roman" w:hAnsi="Times New Roman" w:cs="Times New Roman"/>
        </w:rPr>
        <w:t xml:space="preserve">period only, </w:t>
      </w:r>
      <w:r w:rsidR="00D33E1D" w:rsidRPr="00726DB8">
        <w:rPr>
          <w:rFonts w:ascii="Times New Roman" w:hAnsi="Times New Roman" w:cs="Times New Roman"/>
        </w:rPr>
        <w:t xml:space="preserve">The Department, at its discretion, may waive the requirement under Ch. 1, Section 4, Telehealth, Sec. 4.04-1(2), requiring Interactive Telehealth Services be of comparable quality to what they would be </w:t>
      </w:r>
      <w:proofErr w:type="spellStart"/>
      <w:r w:rsidR="00D33E1D" w:rsidRPr="00726DB8">
        <w:rPr>
          <w:rFonts w:ascii="Times New Roman" w:hAnsi="Times New Roman" w:cs="Times New Roman"/>
        </w:rPr>
        <w:t>were</w:t>
      </w:r>
      <w:proofErr w:type="spellEnd"/>
      <w:r w:rsidR="00D33E1D" w:rsidRPr="00726DB8">
        <w:rPr>
          <w:rFonts w:ascii="Times New Roman" w:hAnsi="Times New Roman" w:cs="Times New Roman"/>
        </w:rPr>
        <w:t xml:space="preserve"> they delivered in person. Requests will be handed on a case-by-case basis through a clinical review by the Department to determine whether members may face imminent harm in the absence of a telehealth mode of delivery for a </w:t>
      </w:r>
      <w:proofErr w:type="gramStart"/>
      <w:r w:rsidR="00D33E1D" w:rsidRPr="00726DB8">
        <w:rPr>
          <w:rFonts w:ascii="Times New Roman" w:hAnsi="Times New Roman" w:cs="Times New Roman"/>
        </w:rPr>
        <w:t>particular service</w:t>
      </w:r>
      <w:proofErr w:type="gramEnd"/>
      <w:r w:rsidR="00D33E1D" w:rsidRPr="00726DB8">
        <w:rPr>
          <w:rFonts w:ascii="Times New Roman" w:hAnsi="Times New Roman" w:cs="Times New Roman"/>
        </w:rPr>
        <w:t>, given the inability due to the public health emergency for that member to receive the service in-person.</w:t>
      </w:r>
    </w:p>
    <w:p w14:paraId="5C1F332F" w14:textId="77777777" w:rsidR="00D33E1D" w:rsidRPr="00726DB8" w:rsidRDefault="00D33E1D" w:rsidP="00D33E1D">
      <w:pPr>
        <w:pStyle w:val="ListParagraph"/>
        <w:spacing w:after="0" w:line="240" w:lineRule="auto"/>
        <w:ind w:left="1080"/>
        <w:rPr>
          <w:rFonts w:ascii="Times New Roman" w:hAnsi="Times New Roman" w:cs="Times New Roman"/>
        </w:rPr>
      </w:pPr>
    </w:p>
    <w:p w14:paraId="39410155" w14:textId="77777777" w:rsidR="00370D3E" w:rsidRDefault="00370D3E" w:rsidP="17EFC07E">
      <w:pPr>
        <w:rPr>
          <w:rFonts w:ascii="Times New Roman" w:eastAsia="Calibri" w:hAnsi="Times New Roman" w:cs="Times New Roman"/>
          <w:b/>
          <w:bCs/>
        </w:rPr>
      </w:pPr>
    </w:p>
    <w:p w14:paraId="14E45FDD" w14:textId="77777777" w:rsidR="00FC4366" w:rsidRDefault="00FC4366" w:rsidP="17EFC07E">
      <w:pPr>
        <w:rPr>
          <w:rFonts w:ascii="Times New Roman" w:eastAsia="Calibri" w:hAnsi="Times New Roman" w:cs="Times New Roman"/>
          <w:b/>
          <w:bCs/>
        </w:rPr>
      </w:pPr>
    </w:p>
    <w:p w14:paraId="71AA1CDB" w14:textId="46F73621" w:rsidR="17EFC07E" w:rsidRPr="00726DB8" w:rsidRDefault="17EFC07E" w:rsidP="17EFC07E">
      <w:pPr>
        <w:rPr>
          <w:rFonts w:ascii="Times New Roman" w:eastAsia="Calibri" w:hAnsi="Times New Roman" w:cs="Times New Roman"/>
          <w:b/>
          <w:bCs/>
        </w:rPr>
      </w:pPr>
      <w:r w:rsidRPr="00726DB8">
        <w:rPr>
          <w:rFonts w:ascii="Times New Roman" w:eastAsia="Calibri" w:hAnsi="Times New Roman" w:cs="Times New Roman"/>
          <w:b/>
          <w:bCs/>
        </w:rPr>
        <w:lastRenderedPageBreak/>
        <w:t>PNMI Residential Providers (Section 97)</w:t>
      </w:r>
    </w:p>
    <w:p w14:paraId="6C215B66" w14:textId="32BA0E80" w:rsidR="17EFC07E" w:rsidRPr="00726DB8" w:rsidRDefault="17EFC07E" w:rsidP="17EFC07E">
      <w:pPr>
        <w:rPr>
          <w:rFonts w:ascii="Times New Roman" w:eastAsia="Calibri" w:hAnsi="Times New Roman" w:cs="Times New Roman"/>
          <w:u w:val="single"/>
        </w:rPr>
      </w:pPr>
      <w:r w:rsidRPr="00726DB8">
        <w:rPr>
          <w:rFonts w:ascii="Times New Roman" w:eastAsia="Calibri" w:hAnsi="Times New Roman" w:cs="Times New Roman"/>
          <w:i/>
          <w:iCs/>
          <w:u w:val="single"/>
        </w:rPr>
        <w:t>General Guidance</w:t>
      </w:r>
    </w:p>
    <w:p w14:paraId="26647385" w14:textId="6344F917" w:rsidR="17EFC07E" w:rsidRPr="00726DB8" w:rsidRDefault="17EFC07E" w:rsidP="00834D9F">
      <w:pPr>
        <w:ind w:left="360"/>
        <w:rPr>
          <w:rFonts w:ascii="Times New Roman" w:eastAsia="Calibri" w:hAnsi="Times New Roman" w:cs="Times New Roman"/>
        </w:rPr>
      </w:pPr>
      <w:r w:rsidRPr="00726DB8">
        <w:rPr>
          <w:rFonts w:ascii="Times New Roman" w:eastAsia="Calibri" w:hAnsi="Times New Roman" w:cs="Times New Roman"/>
        </w:rPr>
        <w:t xml:space="preserve">The Department understands that COVID-19 is creating unique challenges to residential program providers of services to children and adults across the state.  </w:t>
      </w:r>
    </w:p>
    <w:p w14:paraId="60AEE2AA" w14:textId="1FC80DCB" w:rsidR="17EFC07E" w:rsidRPr="00726DB8" w:rsidRDefault="17EFC07E" w:rsidP="00834D9F">
      <w:pPr>
        <w:pStyle w:val="ListParagraph"/>
        <w:numPr>
          <w:ilvl w:val="0"/>
          <w:numId w:val="1"/>
        </w:numPr>
        <w:ind w:left="1080"/>
        <w:rPr>
          <w:rFonts w:ascii="Times New Roman" w:hAnsi="Times New Roman" w:cs="Times New Roman"/>
        </w:rPr>
      </w:pPr>
      <w:r w:rsidRPr="00726DB8">
        <w:rPr>
          <w:rFonts w:ascii="Times New Roman" w:eastAsia="Calibri" w:hAnsi="Times New Roman" w:cs="Times New Roman"/>
        </w:rPr>
        <w:t>It is expected that the PNMI will support their members to facilitate access to telehealth for any services the member requires, i.e. therapy, medication management, etc...</w:t>
      </w:r>
    </w:p>
    <w:p w14:paraId="325B724F" w14:textId="5EA229AE" w:rsidR="17EFC07E" w:rsidRPr="00726DB8" w:rsidRDefault="17EFC07E" w:rsidP="00834D9F">
      <w:pPr>
        <w:pStyle w:val="ListParagraph"/>
        <w:numPr>
          <w:ilvl w:val="0"/>
          <w:numId w:val="1"/>
        </w:numPr>
        <w:ind w:left="1080"/>
        <w:rPr>
          <w:rFonts w:ascii="Times New Roman" w:hAnsi="Times New Roman" w:cs="Times New Roman"/>
        </w:rPr>
      </w:pPr>
      <w:r w:rsidRPr="00726DB8">
        <w:rPr>
          <w:rFonts w:ascii="Times New Roman" w:eastAsia="Calibri" w:hAnsi="Times New Roman" w:cs="Times New Roman"/>
        </w:rPr>
        <w:t>Agencies may utilize telehealth and telephonic communication to satisfy staff supervision requirements.</w:t>
      </w:r>
    </w:p>
    <w:p w14:paraId="5471EC39" w14:textId="62C8BE1C" w:rsidR="17EFC07E" w:rsidRPr="00726DB8" w:rsidRDefault="17EFC07E" w:rsidP="00834D9F">
      <w:pPr>
        <w:pStyle w:val="ListParagraph"/>
        <w:numPr>
          <w:ilvl w:val="0"/>
          <w:numId w:val="1"/>
        </w:numPr>
        <w:ind w:left="1080"/>
        <w:rPr>
          <w:rFonts w:ascii="Times New Roman" w:hAnsi="Times New Roman" w:cs="Times New Roman"/>
        </w:rPr>
      </w:pPr>
      <w:r w:rsidRPr="00726DB8">
        <w:rPr>
          <w:rFonts w:ascii="Times New Roman" w:eastAsia="Calibri" w:hAnsi="Times New Roman" w:cs="Times New Roman"/>
        </w:rPr>
        <w:t>Members may have community goals that may not be feasible during this health crisis. PNMI providers will not be held to working on these goals during the crisis. When the health crisis is over community goals may be safely resumed.</w:t>
      </w:r>
    </w:p>
    <w:p w14:paraId="081997E4" w14:textId="3ED4CD5E" w:rsidR="17EFC07E" w:rsidRPr="00726DB8" w:rsidRDefault="17EFC07E" w:rsidP="17EFC07E">
      <w:pPr>
        <w:rPr>
          <w:rFonts w:ascii="Times New Roman" w:eastAsia="Calibri" w:hAnsi="Times New Roman" w:cs="Times New Roman"/>
          <w:i/>
          <w:iCs/>
          <w:u w:val="single"/>
        </w:rPr>
      </w:pPr>
      <w:r w:rsidRPr="00726DB8">
        <w:rPr>
          <w:rFonts w:ascii="Times New Roman" w:eastAsia="Calibri" w:hAnsi="Times New Roman" w:cs="Times New Roman"/>
          <w:i/>
          <w:iCs/>
          <w:u w:val="single"/>
        </w:rPr>
        <w:t>PNMI-Section 97 Program Specific Guidance</w:t>
      </w:r>
    </w:p>
    <w:p w14:paraId="52957A1D" w14:textId="0ADDDFE5" w:rsidR="17EFC07E" w:rsidRPr="00726DB8" w:rsidRDefault="17EFC07E" w:rsidP="00834D9F">
      <w:pPr>
        <w:ind w:firstLine="360"/>
        <w:rPr>
          <w:rFonts w:ascii="Times New Roman" w:eastAsia="Calibri" w:hAnsi="Times New Roman" w:cs="Times New Roman"/>
          <w:b/>
          <w:bCs/>
        </w:rPr>
      </w:pPr>
      <w:r w:rsidRPr="00726DB8">
        <w:rPr>
          <w:rFonts w:ascii="Times New Roman" w:eastAsia="Calibri" w:hAnsi="Times New Roman" w:cs="Times New Roman"/>
          <w:b/>
          <w:bCs/>
        </w:rPr>
        <w:t>Appendix B Programs</w:t>
      </w:r>
    </w:p>
    <w:p w14:paraId="25B6DF2C" w14:textId="77777777" w:rsidR="0006103A" w:rsidRPr="00726DB8" w:rsidRDefault="0006103A" w:rsidP="0006103A">
      <w:pPr>
        <w:pStyle w:val="ListParagraph"/>
        <w:numPr>
          <w:ilvl w:val="0"/>
          <w:numId w:val="3"/>
        </w:numPr>
        <w:rPr>
          <w:rFonts w:ascii="Times New Roman" w:hAnsi="Times New Roman" w:cs="Times New Roman"/>
        </w:rPr>
      </w:pPr>
      <w:r w:rsidRPr="00726DB8">
        <w:rPr>
          <w:rFonts w:ascii="Times New Roman" w:eastAsia="Calibri" w:hAnsi="Times New Roman" w:cs="Times New Roman"/>
        </w:rPr>
        <w:t>Guidance will be provided as necessary.</w:t>
      </w:r>
    </w:p>
    <w:p w14:paraId="4F9087E2" w14:textId="140B4A1E" w:rsidR="17EFC07E" w:rsidRPr="00726DB8" w:rsidRDefault="17EFC07E" w:rsidP="00834D9F">
      <w:pPr>
        <w:ind w:firstLine="360"/>
        <w:rPr>
          <w:rFonts w:ascii="Times New Roman" w:eastAsia="Calibri" w:hAnsi="Times New Roman" w:cs="Times New Roman"/>
          <w:b/>
          <w:bCs/>
        </w:rPr>
      </w:pPr>
      <w:r w:rsidRPr="00726DB8">
        <w:rPr>
          <w:rFonts w:ascii="Times New Roman" w:eastAsia="Calibri" w:hAnsi="Times New Roman" w:cs="Times New Roman"/>
          <w:b/>
          <w:bCs/>
        </w:rPr>
        <w:t>Appendix C Programs</w:t>
      </w:r>
    </w:p>
    <w:p w14:paraId="09D8CBFC" w14:textId="7C908696" w:rsidR="17EFC07E" w:rsidRPr="00726DB8" w:rsidRDefault="0006103A" w:rsidP="17EFC07E">
      <w:pPr>
        <w:pStyle w:val="ListParagraph"/>
        <w:numPr>
          <w:ilvl w:val="0"/>
          <w:numId w:val="3"/>
        </w:numPr>
        <w:rPr>
          <w:rFonts w:ascii="Times New Roman" w:hAnsi="Times New Roman" w:cs="Times New Roman"/>
        </w:rPr>
      </w:pPr>
      <w:r w:rsidRPr="00726DB8">
        <w:rPr>
          <w:rFonts w:ascii="Times New Roman" w:eastAsia="Calibri" w:hAnsi="Times New Roman" w:cs="Times New Roman"/>
        </w:rPr>
        <w:t>Guidance will be provided as necessary.</w:t>
      </w:r>
    </w:p>
    <w:p w14:paraId="4F96B1EE" w14:textId="23320D04" w:rsidR="17EFC07E" w:rsidRPr="00726DB8" w:rsidRDefault="17EFC07E" w:rsidP="00834D9F">
      <w:pPr>
        <w:ind w:firstLine="360"/>
        <w:rPr>
          <w:rFonts w:ascii="Times New Roman" w:eastAsia="Calibri" w:hAnsi="Times New Roman" w:cs="Times New Roman"/>
          <w:b/>
          <w:bCs/>
        </w:rPr>
      </w:pPr>
      <w:r w:rsidRPr="00726DB8">
        <w:rPr>
          <w:rFonts w:ascii="Times New Roman" w:eastAsia="Calibri" w:hAnsi="Times New Roman" w:cs="Times New Roman"/>
          <w:b/>
          <w:bCs/>
        </w:rPr>
        <w:t>Appendix D Programs</w:t>
      </w:r>
    </w:p>
    <w:p w14:paraId="0E1699ED" w14:textId="434C682A" w:rsidR="17EFC07E" w:rsidRPr="00726DB8" w:rsidRDefault="17EFC07E" w:rsidP="00834D9F">
      <w:pPr>
        <w:ind w:left="720"/>
        <w:rPr>
          <w:rFonts w:ascii="Times New Roman" w:eastAsia="Calibri" w:hAnsi="Times New Roman" w:cs="Times New Roman"/>
        </w:rPr>
      </w:pPr>
      <w:r w:rsidRPr="00726DB8">
        <w:rPr>
          <w:rFonts w:ascii="Times New Roman" w:eastAsia="Calibri" w:hAnsi="Times New Roman" w:cs="Times New Roman"/>
        </w:rPr>
        <w:t>The Department understands that families may not wish for their child to return to the program during the COVID-19 crisis. In these situations, the Department suggests utilizing telehealth:</w:t>
      </w:r>
    </w:p>
    <w:p w14:paraId="61018792" w14:textId="0FFD6C97" w:rsidR="17EFC07E" w:rsidRPr="00726DB8" w:rsidRDefault="17EFC07E" w:rsidP="17EFC07E">
      <w:pPr>
        <w:pStyle w:val="ListParagraph"/>
        <w:numPr>
          <w:ilvl w:val="0"/>
          <w:numId w:val="4"/>
        </w:numPr>
        <w:rPr>
          <w:rFonts w:ascii="Times New Roman" w:hAnsi="Times New Roman" w:cs="Times New Roman"/>
        </w:rPr>
      </w:pPr>
      <w:r w:rsidRPr="00726DB8">
        <w:rPr>
          <w:rFonts w:ascii="Times New Roman" w:eastAsia="Calibri" w:hAnsi="Times New Roman" w:cs="Times New Roman"/>
        </w:rPr>
        <w:t>PNMI providers should conduct daily check-ins, when appropriate,</w:t>
      </w:r>
    </w:p>
    <w:p w14:paraId="2A84E848" w14:textId="66EF27F3" w:rsidR="17EFC07E" w:rsidRPr="00726DB8" w:rsidRDefault="17EFC07E" w:rsidP="17EFC07E">
      <w:pPr>
        <w:pStyle w:val="ListParagraph"/>
        <w:numPr>
          <w:ilvl w:val="0"/>
          <w:numId w:val="4"/>
        </w:numPr>
        <w:rPr>
          <w:rFonts w:ascii="Times New Roman" w:hAnsi="Times New Roman" w:cs="Times New Roman"/>
        </w:rPr>
      </w:pPr>
      <w:r w:rsidRPr="00726DB8">
        <w:rPr>
          <w:rFonts w:ascii="Times New Roman" w:eastAsia="Calibri" w:hAnsi="Times New Roman" w:cs="Times New Roman"/>
        </w:rPr>
        <w:t>Continue therapy sessions, as required by policy as prescribed in the member’s treatment plan</w:t>
      </w:r>
    </w:p>
    <w:p w14:paraId="70D70255" w14:textId="21CC6797" w:rsidR="17EFC07E" w:rsidRPr="00726DB8" w:rsidRDefault="17EFC07E" w:rsidP="17EFC07E">
      <w:pPr>
        <w:rPr>
          <w:rFonts w:ascii="Times New Roman" w:eastAsia="Calibri" w:hAnsi="Times New Roman" w:cs="Times New Roman"/>
          <w:b/>
          <w:bCs/>
        </w:rPr>
      </w:pPr>
      <w:r w:rsidRPr="00726DB8">
        <w:rPr>
          <w:rFonts w:ascii="Times New Roman" w:eastAsia="Calibri" w:hAnsi="Times New Roman" w:cs="Times New Roman"/>
          <w:b/>
          <w:bCs/>
        </w:rPr>
        <w:t>Appendix E Programs</w:t>
      </w:r>
    </w:p>
    <w:p w14:paraId="4D805BAE" w14:textId="77777777" w:rsidR="0006103A" w:rsidRPr="00726DB8" w:rsidRDefault="0006103A" w:rsidP="0006103A">
      <w:pPr>
        <w:pStyle w:val="ListParagraph"/>
        <w:numPr>
          <w:ilvl w:val="0"/>
          <w:numId w:val="3"/>
        </w:numPr>
        <w:rPr>
          <w:rFonts w:ascii="Times New Roman" w:hAnsi="Times New Roman" w:cs="Times New Roman"/>
        </w:rPr>
      </w:pPr>
      <w:r w:rsidRPr="00726DB8">
        <w:rPr>
          <w:rFonts w:ascii="Times New Roman" w:eastAsia="Calibri" w:hAnsi="Times New Roman" w:cs="Times New Roman"/>
        </w:rPr>
        <w:t>Guidance will be provided as necessary.</w:t>
      </w:r>
    </w:p>
    <w:p w14:paraId="74454DE5" w14:textId="36F1DB5F" w:rsidR="17EFC07E" w:rsidRPr="00726DB8" w:rsidRDefault="17EFC07E" w:rsidP="17EFC07E">
      <w:pPr>
        <w:rPr>
          <w:rFonts w:ascii="Times New Roman" w:eastAsia="Calibri" w:hAnsi="Times New Roman" w:cs="Times New Roman"/>
          <w:b/>
          <w:bCs/>
        </w:rPr>
      </w:pPr>
      <w:r w:rsidRPr="00726DB8">
        <w:rPr>
          <w:rFonts w:ascii="Times New Roman" w:eastAsia="Calibri" w:hAnsi="Times New Roman" w:cs="Times New Roman"/>
          <w:b/>
          <w:bCs/>
        </w:rPr>
        <w:t>Appendix F Programs</w:t>
      </w:r>
    </w:p>
    <w:p w14:paraId="4FBA0D40" w14:textId="77777777" w:rsidR="0006103A" w:rsidRPr="00726DB8" w:rsidRDefault="0006103A" w:rsidP="0006103A">
      <w:pPr>
        <w:pStyle w:val="ListParagraph"/>
        <w:numPr>
          <w:ilvl w:val="0"/>
          <w:numId w:val="3"/>
        </w:numPr>
        <w:rPr>
          <w:rFonts w:ascii="Times New Roman" w:hAnsi="Times New Roman" w:cs="Times New Roman"/>
        </w:rPr>
      </w:pPr>
      <w:r w:rsidRPr="00726DB8">
        <w:rPr>
          <w:rFonts w:ascii="Times New Roman" w:eastAsia="Calibri" w:hAnsi="Times New Roman" w:cs="Times New Roman"/>
        </w:rPr>
        <w:t>Guidance will be provided as necessary.</w:t>
      </w:r>
    </w:p>
    <w:p w14:paraId="110D71E6" w14:textId="5DC81D3C" w:rsidR="17EFC07E" w:rsidRPr="00726DB8" w:rsidRDefault="00BA1CA4" w:rsidP="17EFC07E">
      <w:pPr>
        <w:rPr>
          <w:rFonts w:ascii="Times New Roman" w:eastAsia="Calibri" w:hAnsi="Times New Roman" w:cs="Times New Roman"/>
          <w:b/>
          <w:bCs/>
        </w:rPr>
      </w:pPr>
      <w:r w:rsidRPr="00726DB8">
        <w:rPr>
          <w:rFonts w:ascii="Times New Roman" w:eastAsia="Calibri" w:hAnsi="Times New Roman" w:cs="Times New Roman"/>
          <w:b/>
          <w:bCs/>
        </w:rPr>
        <w:t xml:space="preserve">Can </w:t>
      </w:r>
      <w:r w:rsidR="17EFC07E" w:rsidRPr="00726DB8">
        <w:rPr>
          <w:rFonts w:ascii="Times New Roman" w:eastAsia="Calibri" w:hAnsi="Times New Roman" w:cs="Times New Roman"/>
          <w:b/>
          <w:bCs/>
        </w:rPr>
        <w:t>Children’s Home &amp; Community-Based Treatment (HCT)</w:t>
      </w:r>
      <w:r w:rsidR="000C76DA" w:rsidRPr="00726DB8">
        <w:rPr>
          <w:rFonts w:ascii="Times New Roman" w:eastAsia="Calibri" w:hAnsi="Times New Roman" w:cs="Times New Roman"/>
          <w:b/>
          <w:bCs/>
        </w:rPr>
        <w:t xml:space="preserve"> be delivered via telehealth?</w:t>
      </w:r>
    </w:p>
    <w:p w14:paraId="4ACFEF41" w14:textId="3AA20C4A" w:rsidR="17EFC07E" w:rsidRPr="00726DB8" w:rsidRDefault="17EFC07E" w:rsidP="00834D9F">
      <w:pPr>
        <w:ind w:left="720"/>
        <w:rPr>
          <w:rFonts w:ascii="Times New Roman" w:hAnsi="Times New Roman" w:cs="Times New Roman"/>
          <w:b/>
          <w:bCs/>
        </w:rPr>
      </w:pPr>
      <w:r w:rsidRPr="00726DB8">
        <w:rPr>
          <w:rFonts w:ascii="Times New Roman" w:eastAsia="Calibri" w:hAnsi="Times New Roman" w:cs="Times New Roman"/>
        </w:rPr>
        <w:t>Telehealth is approved for use in children’s HCT programs</w:t>
      </w:r>
      <w:r w:rsidR="00337D3D" w:rsidRPr="00726DB8">
        <w:rPr>
          <w:rFonts w:ascii="Times New Roman" w:eastAsia="Calibri" w:hAnsi="Times New Roman" w:cs="Times New Roman"/>
        </w:rPr>
        <w:t>, including MST and FFT programs</w:t>
      </w:r>
      <w:r w:rsidRPr="00726DB8">
        <w:rPr>
          <w:rFonts w:ascii="Times New Roman" w:eastAsia="Calibri" w:hAnsi="Times New Roman" w:cs="Times New Roman"/>
        </w:rPr>
        <w:t xml:space="preserve"> for clinicians and Behavioral Health Professionals (BHPs), where face-to-face contact is not available. As noted above, the provider’s clinical judgment should inform the appropriateness of using telehealth as a mode of service delivery for the member. </w:t>
      </w:r>
    </w:p>
    <w:p w14:paraId="20BB655C" w14:textId="4FA5A135" w:rsidR="17EFC07E" w:rsidRPr="00726DB8" w:rsidRDefault="000C76DA" w:rsidP="17EFC07E">
      <w:pPr>
        <w:rPr>
          <w:rFonts w:ascii="Times New Roman" w:eastAsia="Calibri" w:hAnsi="Times New Roman" w:cs="Times New Roman"/>
        </w:rPr>
      </w:pPr>
      <w:r w:rsidRPr="00726DB8">
        <w:rPr>
          <w:rFonts w:ascii="Times New Roman" w:eastAsia="Calibri" w:hAnsi="Times New Roman" w:cs="Times New Roman"/>
          <w:b/>
          <w:bCs/>
        </w:rPr>
        <w:t xml:space="preserve">Can </w:t>
      </w:r>
      <w:r w:rsidR="17EFC07E" w:rsidRPr="00726DB8">
        <w:rPr>
          <w:rFonts w:ascii="Times New Roman" w:eastAsia="Calibri" w:hAnsi="Times New Roman" w:cs="Times New Roman"/>
          <w:b/>
          <w:bCs/>
        </w:rPr>
        <w:t>Intensive Outpatient Therapy (IOP)</w:t>
      </w:r>
      <w:r w:rsidRPr="00726DB8">
        <w:rPr>
          <w:rFonts w:ascii="Times New Roman" w:eastAsia="Calibri" w:hAnsi="Times New Roman" w:cs="Times New Roman"/>
          <w:b/>
          <w:bCs/>
        </w:rPr>
        <w:t xml:space="preserve"> be delivered via telehealth?</w:t>
      </w:r>
    </w:p>
    <w:p w14:paraId="1F07D591" w14:textId="5701CCBD" w:rsidR="17EFC07E" w:rsidRPr="00726DB8" w:rsidRDefault="17EFC07E" w:rsidP="00834D9F">
      <w:pPr>
        <w:ind w:left="720"/>
        <w:rPr>
          <w:rFonts w:ascii="Times New Roman" w:eastAsia="Calibri" w:hAnsi="Times New Roman" w:cs="Times New Roman"/>
        </w:rPr>
      </w:pPr>
      <w:r w:rsidRPr="00726DB8">
        <w:rPr>
          <w:rFonts w:ascii="Times New Roman" w:eastAsia="Calibri" w:hAnsi="Times New Roman" w:cs="Times New Roman"/>
        </w:rPr>
        <w:t xml:space="preserve">During the period of </w:t>
      </w:r>
      <w:r w:rsidR="00805021" w:rsidRPr="00726DB8">
        <w:rPr>
          <w:rFonts w:ascii="Times New Roman" w:eastAsia="Calibri" w:hAnsi="Times New Roman" w:cs="Times New Roman"/>
        </w:rPr>
        <w:t xml:space="preserve">the COVID-19 </w:t>
      </w:r>
      <w:r w:rsidRPr="00726DB8">
        <w:rPr>
          <w:rFonts w:ascii="Times New Roman" w:eastAsia="Calibri" w:hAnsi="Times New Roman" w:cs="Times New Roman"/>
        </w:rPr>
        <w:t xml:space="preserve">emergency only, IOP Services have been approved to be deliverable via </w:t>
      </w:r>
      <w:r w:rsidR="00805021" w:rsidRPr="00726DB8">
        <w:rPr>
          <w:rFonts w:ascii="Times New Roman" w:eastAsia="Calibri" w:hAnsi="Times New Roman" w:cs="Times New Roman"/>
        </w:rPr>
        <w:t>t</w:t>
      </w:r>
      <w:r w:rsidRPr="00726DB8">
        <w:rPr>
          <w:rFonts w:ascii="Times New Roman" w:eastAsia="Calibri" w:hAnsi="Times New Roman" w:cs="Times New Roman"/>
        </w:rPr>
        <w:t>elehealth.</w:t>
      </w:r>
    </w:p>
    <w:p w14:paraId="73DB7E88" w14:textId="505FA6EE" w:rsidR="17EFC07E" w:rsidRPr="00726DB8" w:rsidRDefault="000C76DA" w:rsidP="17EFC07E">
      <w:pPr>
        <w:rPr>
          <w:rFonts w:ascii="Times New Roman" w:eastAsia="Calibri" w:hAnsi="Times New Roman" w:cs="Times New Roman"/>
        </w:rPr>
      </w:pPr>
      <w:r w:rsidRPr="00726DB8">
        <w:rPr>
          <w:rFonts w:ascii="Times New Roman" w:eastAsia="Calibri" w:hAnsi="Times New Roman" w:cs="Times New Roman"/>
          <w:b/>
          <w:bCs/>
        </w:rPr>
        <w:lastRenderedPageBreak/>
        <w:t xml:space="preserve">Can </w:t>
      </w:r>
      <w:r w:rsidR="17EFC07E" w:rsidRPr="00726DB8">
        <w:rPr>
          <w:rFonts w:ascii="Times New Roman" w:eastAsia="Calibri" w:hAnsi="Times New Roman" w:cs="Times New Roman"/>
          <w:b/>
          <w:bCs/>
        </w:rPr>
        <w:t>Opioid Health Homes (OHH)</w:t>
      </w:r>
      <w:r w:rsidRPr="00726DB8">
        <w:rPr>
          <w:rFonts w:ascii="Times New Roman" w:eastAsia="Calibri" w:hAnsi="Times New Roman" w:cs="Times New Roman"/>
          <w:b/>
          <w:bCs/>
        </w:rPr>
        <w:t xml:space="preserve"> be delivered via telehealth?</w:t>
      </w:r>
    </w:p>
    <w:p w14:paraId="57316A4D" w14:textId="7045A9C7" w:rsidR="17EFC07E" w:rsidRPr="00726DB8" w:rsidRDefault="17EFC07E" w:rsidP="00834D9F">
      <w:pPr>
        <w:ind w:left="720"/>
        <w:rPr>
          <w:rFonts w:ascii="Times New Roman" w:eastAsia="Calibri" w:hAnsi="Times New Roman" w:cs="Times New Roman"/>
        </w:rPr>
      </w:pPr>
      <w:r w:rsidRPr="00726DB8">
        <w:rPr>
          <w:rFonts w:ascii="Times New Roman" w:eastAsia="Calibri" w:hAnsi="Times New Roman" w:cs="Times New Roman"/>
        </w:rPr>
        <w:t xml:space="preserve">During the period of emergency only, OHH Services have been approved to be deliverable via </w:t>
      </w:r>
      <w:r w:rsidR="00805021" w:rsidRPr="00726DB8">
        <w:rPr>
          <w:rFonts w:ascii="Times New Roman" w:eastAsia="Calibri" w:hAnsi="Times New Roman" w:cs="Times New Roman"/>
        </w:rPr>
        <w:t>t</w:t>
      </w:r>
      <w:r w:rsidRPr="00726DB8">
        <w:rPr>
          <w:rFonts w:ascii="Times New Roman" w:eastAsia="Calibri" w:hAnsi="Times New Roman" w:cs="Times New Roman"/>
        </w:rPr>
        <w:t>elehealth.</w:t>
      </w:r>
    </w:p>
    <w:p w14:paraId="330E63D0" w14:textId="211D7CA7" w:rsidR="17EFC07E" w:rsidRPr="00726DB8" w:rsidRDefault="000C76DA" w:rsidP="17EFC07E">
      <w:pPr>
        <w:rPr>
          <w:rFonts w:ascii="Times New Roman" w:eastAsia="Calibri" w:hAnsi="Times New Roman" w:cs="Times New Roman"/>
          <w:b/>
          <w:bCs/>
        </w:rPr>
      </w:pPr>
      <w:r w:rsidRPr="00726DB8">
        <w:rPr>
          <w:rFonts w:ascii="Times New Roman" w:eastAsia="Calibri" w:hAnsi="Times New Roman" w:cs="Times New Roman"/>
          <w:b/>
          <w:bCs/>
        </w:rPr>
        <w:t xml:space="preserve">Can </w:t>
      </w:r>
      <w:r w:rsidR="00E20427" w:rsidRPr="00726DB8">
        <w:rPr>
          <w:rFonts w:ascii="Times New Roman" w:eastAsia="Calibri" w:hAnsi="Times New Roman" w:cs="Times New Roman"/>
          <w:b/>
          <w:bCs/>
        </w:rPr>
        <w:t>Section 28 RCS – Basic and Specialized</w:t>
      </w:r>
      <w:r w:rsidRPr="00726DB8">
        <w:rPr>
          <w:rFonts w:ascii="Times New Roman" w:eastAsia="Calibri" w:hAnsi="Times New Roman" w:cs="Times New Roman"/>
          <w:b/>
          <w:bCs/>
        </w:rPr>
        <w:t xml:space="preserve"> be delivered via telehealth?</w:t>
      </w:r>
    </w:p>
    <w:p w14:paraId="2A0CD7F8" w14:textId="2B7009F1" w:rsidR="00E20427" w:rsidRPr="00726DB8" w:rsidRDefault="1D79A5F0" w:rsidP="00E20427">
      <w:pPr>
        <w:ind w:left="720"/>
        <w:rPr>
          <w:rFonts w:ascii="Times New Roman" w:hAnsi="Times New Roman" w:cs="Times New Roman"/>
          <w:b/>
          <w:bCs/>
        </w:rPr>
      </w:pPr>
      <w:r w:rsidRPr="00726DB8">
        <w:rPr>
          <w:rFonts w:ascii="Times New Roman" w:eastAsia="Calibri" w:hAnsi="Times New Roman" w:cs="Times New Roman"/>
        </w:rPr>
        <w:t xml:space="preserve">Telehealth is approved for use in RCS BCBAs and Behavioral Health Professionals (BHPs), where face-to-face contact is not available. As noted above, the provider’s clinical judgment should inform the appropriateness of using telehealth as a mode of service delivery based on the member’s needs and goals identified in the treatment plan. </w:t>
      </w:r>
    </w:p>
    <w:p w14:paraId="6DA1FF75" w14:textId="436ABE18" w:rsidR="1D79A5F0" w:rsidRPr="00726DB8" w:rsidRDefault="000C76DA" w:rsidP="1D79A5F0">
      <w:pPr>
        <w:rPr>
          <w:rFonts w:ascii="Times New Roman" w:eastAsia="Calibri" w:hAnsi="Times New Roman" w:cs="Times New Roman"/>
          <w:b/>
          <w:bCs/>
        </w:rPr>
      </w:pPr>
      <w:r w:rsidRPr="00726DB8">
        <w:rPr>
          <w:rFonts w:ascii="Times New Roman" w:eastAsia="Calibri" w:hAnsi="Times New Roman" w:cs="Times New Roman"/>
          <w:b/>
          <w:bCs/>
        </w:rPr>
        <w:t xml:space="preserve">Can </w:t>
      </w:r>
      <w:r w:rsidR="1D79A5F0" w:rsidRPr="00726DB8">
        <w:rPr>
          <w:rFonts w:ascii="Times New Roman" w:eastAsia="Calibri" w:hAnsi="Times New Roman" w:cs="Times New Roman"/>
          <w:b/>
          <w:bCs/>
        </w:rPr>
        <w:t>Behavioral Health Day Treatment (BHDT)</w:t>
      </w:r>
      <w:r w:rsidRPr="00726DB8">
        <w:rPr>
          <w:rFonts w:ascii="Times New Roman" w:eastAsia="Calibri" w:hAnsi="Times New Roman" w:cs="Times New Roman"/>
          <w:b/>
          <w:bCs/>
        </w:rPr>
        <w:t xml:space="preserve"> be delivered via telehealth?</w:t>
      </w:r>
    </w:p>
    <w:p w14:paraId="58760A81" w14:textId="337C6D07" w:rsidR="1D79A5F0" w:rsidRPr="00726DB8" w:rsidRDefault="1D79A5F0" w:rsidP="1D79A5F0">
      <w:pPr>
        <w:ind w:left="720"/>
        <w:rPr>
          <w:rFonts w:ascii="Times New Roman" w:hAnsi="Times New Roman" w:cs="Times New Roman"/>
          <w:b/>
          <w:bCs/>
        </w:rPr>
      </w:pPr>
      <w:r w:rsidRPr="00726DB8">
        <w:rPr>
          <w:rFonts w:ascii="Times New Roman" w:eastAsia="Calibri" w:hAnsi="Times New Roman" w:cs="Times New Roman"/>
        </w:rPr>
        <w:t>Telehealth is approved for use in Behavioral Health Day Treatment for Behavioral Health Professionals (BHPs) and Clinicians, where face-to-face contact is not available. As noted above, the provider’s clinical judgment should inform the appropriateness of using telehealth as a mode of service delivery based on the member’s needs and goals identified in the treatment plan. Telehealth or BHDT may not be used solely for academic purposes.</w:t>
      </w:r>
    </w:p>
    <w:p w14:paraId="3B084DF2" w14:textId="45E8750A" w:rsidR="1D79A5F0" w:rsidRPr="004C2036" w:rsidRDefault="00B46097" w:rsidP="00B46097">
      <w:pPr>
        <w:rPr>
          <w:rFonts w:ascii="Times New Roman" w:eastAsia="Calibri" w:hAnsi="Times New Roman" w:cs="Times New Roman"/>
          <w:b/>
          <w:bCs/>
        </w:rPr>
      </w:pPr>
      <w:r w:rsidRPr="004C2036">
        <w:rPr>
          <w:rFonts w:ascii="Times New Roman" w:hAnsi="Times New Roman" w:cs="Times New Roman"/>
          <w:b/>
        </w:rPr>
        <w:t xml:space="preserve">MaineCare providers with questions related to this guidance and/or policies should contact their </w:t>
      </w:r>
      <w:hyperlink r:id="rId13" w:history="1">
        <w:r w:rsidRPr="00CE1E64">
          <w:rPr>
            <w:rStyle w:val="Hyperlink"/>
            <w:rFonts w:ascii="Times New Roman" w:hAnsi="Times New Roman" w:cs="Times New Roman"/>
            <w:b/>
          </w:rPr>
          <w:t>provider relations specialist</w:t>
        </w:r>
      </w:hyperlink>
      <w:r w:rsidRPr="004C2036">
        <w:rPr>
          <w:rFonts w:ascii="Times New Roman" w:hAnsi="Times New Roman" w:cs="Times New Roman"/>
          <w:b/>
        </w:rPr>
        <w:t xml:space="preserve"> or call Provider Services at 1-866-690-5585.</w:t>
      </w:r>
    </w:p>
    <w:sectPr w:rsidR="1D79A5F0" w:rsidRPr="004C2036" w:rsidSect="00370D3E">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F33B" w14:textId="77777777" w:rsidR="00447E4E" w:rsidRDefault="00447E4E" w:rsidP="00537835">
      <w:pPr>
        <w:spacing w:after="0" w:line="240" w:lineRule="auto"/>
      </w:pPr>
      <w:r>
        <w:separator/>
      </w:r>
    </w:p>
  </w:endnote>
  <w:endnote w:type="continuationSeparator" w:id="0">
    <w:p w14:paraId="65B00AFB" w14:textId="77777777" w:rsidR="00447E4E" w:rsidRDefault="00447E4E" w:rsidP="00537835">
      <w:pPr>
        <w:spacing w:after="0" w:line="240" w:lineRule="auto"/>
      </w:pPr>
      <w:r>
        <w:continuationSeparator/>
      </w:r>
    </w:p>
  </w:endnote>
  <w:endnote w:type="continuationNotice" w:id="1">
    <w:p w14:paraId="42F97B10" w14:textId="77777777" w:rsidR="00447E4E" w:rsidRDefault="00447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DB379" w14:textId="77777777" w:rsidR="00447E4E" w:rsidRDefault="00447E4E" w:rsidP="00537835">
      <w:pPr>
        <w:spacing w:after="0" w:line="240" w:lineRule="auto"/>
      </w:pPr>
      <w:r>
        <w:separator/>
      </w:r>
    </w:p>
  </w:footnote>
  <w:footnote w:type="continuationSeparator" w:id="0">
    <w:p w14:paraId="51BFA270" w14:textId="77777777" w:rsidR="00447E4E" w:rsidRDefault="00447E4E" w:rsidP="00537835">
      <w:pPr>
        <w:spacing w:after="0" w:line="240" w:lineRule="auto"/>
      </w:pPr>
      <w:r>
        <w:continuationSeparator/>
      </w:r>
    </w:p>
  </w:footnote>
  <w:footnote w:type="continuationNotice" w:id="1">
    <w:p w14:paraId="622C6248" w14:textId="77777777" w:rsidR="00447E4E" w:rsidRDefault="00447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50D9" w14:textId="28119E6B" w:rsidR="00F42902" w:rsidRPr="00F42902" w:rsidRDefault="00F42902" w:rsidP="00F42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E914" w14:textId="77777777" w:rsidR="00F42902" w:rsidRPr="00CF1DE4" w:rsidRDefault="00F42902" w:rsidP="00F42902">
    <w:pPr>
      <w:ind w:left="3600"/>
      <w:rPr>
        <w:rFonts w:ascii="Times New Roman" w:hAnsi="Times New Roman" w:cs="Times New Roman"/>
        <w:sz w:val="24"/>
        <w:szCs w:val="24"/>
      </w:rPr>
    </w:pPr>
    <w:r w:rsidRPr="00CF1DE4">
      <w:rPr>
        <w:rFonts w:ascii="Times New Roman" w:hAnsi="Times New Roman" w:cs="Times New Roman"/>
        <w:noProof/>
        <w:sz w:val="24"/>
        <w:szCs w:val="24"/>
      </w:rPr>
      <mc:AlternateContent>
        <mc:Choice Requires="wps">
          <w:drawing>
            <wp:anchor distT="45720" distB="45720" distL="114300" distR="114300" simplePos="0" relativeHeight="251658241" behindDoc="0" locked="0" layoutInCell="1" allowOverlap="1" wp14:anchorId="3A2686F2" wp14:editId="7313D438">
              <wp:simplePos x="0" y="0"/>
              <wp:positionH relativeFrom="margin">
                <wp:posOffset>-196850</wp:posOffset>
              </wp:positionH>
              <wp:positionV relativeFrom="paragraph">
                <wp:posOffset>44450</wp:posOffset>
              </wp:positionV>
              <wp:extent cx="1124585" cy="501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501650"/>
                      </a:xfrm>
                      <a:prstGeom prst="rect">
                        <a:avLst/>
                      </a:prstGeom>
                      <a:solidFill>
                        <a:srgbClr val="FFFFFF"/>
                      </a:solidFill>
                      <a:ln w="9525">
                        <a:noFill/>
                        <a:miter lim="800000"/>
                        <a:headEnd/>
                        <a:tailEnd/>
                      </a:ln>
                    </wps:spPr>
                    <wps:txbx>
                      <w:txbxContent>
                        <w:p w14:paraId="24F5A89F" w14:textId="77777777" w:rsidR="00F42902" w:rsidRPr="00726DB8" w:rsidRDefault="00F42902" w:rsidP="00F42902">
                          <w:pPr>
                            <w:spacing w:after="0" w:line="240" w:lineRule="auto"/>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Janet T. Mills</w:t>
                          </w:r>
                        </w:p>
                        <w:p w14:paraId="7F52A6E9" w14:textId="77777777" w:rsidR="00F42902" w:rsidRPr="00726DB8" w:rsidRDefault="00F42902" w:rsidP="00F42902">
                          <w:pPr>
                            <w:spacing w:after="0" w:line="240" w:lineRule="auto"/>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Governor</w:t>
                          </w:r>
                        </w:p>
                        <w:p w14:paraId="20DA3FF8" w14:textId="77777777" w:rsidR="00F42902" w:rsidRDefault="00F42902" w:rsidP="00F42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686F2" id="_x0000_t202" coordsize="21600,21600" o:spt="202" path="m,l,21600r21600,l21600,xe">
              <v:stroke joinstyle="miter"/>
              <v:path gradientshapeok="t" o:connecttype="rect"/>
            </v:shapetype>
            <v:shape id="Text Box 2" o:spid="_x0000_s1026" type="#_x0000_t202" style="position:absolute;left:0;text-align:left;margin-left:-15.5pt;margin-top:3.5pt;width:88.55pt;height:39.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" stroked="f">
              <v:textbox>
                <w:txbxContent>
                  <w:p w14:paraId="24F5A89F" w14:textId="77777777" w:rsidR="00F42902" w:rsidRPr="00726DB8" w:rsidRDefault="00F42902" w:rsidP="00F42902">
                    <w:pPr>
                      <w:spacing w:after="0" w:line="240" w:lineRule="auto"/>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Janet T. Mills</w:t>
                    </w:r>
                  </w:p>
                  <w:p w14:paraId="7F52A6E9" w14:textId="77777777" w:rsidR="00F42902" w:rsidRPr="00726DB8" w:rsidRDefault="00F42902" w:rsidP="00F42902">
                    <w:pPr>
                      <w:spacing w:after="0" w:line="240" w:lineRule="auto"/>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Governor</w:t>
                    </w:r>
                  </w:p>
                  <w:p w14:paraId="20DA3FF8" w14:textId="77777777" w:rsidR="00F42902" w:rsidRDefault="00F42902" w:rsidP="00F42902"/>
                </w:txbxContent>
              </v:textbox>
              <w10:wrap type="square" anchorx="margin"/>
            </v:shape>
          </w:pict>
        </mc:Fallback>
      </mc:AlternateContent>
    </w:r>
    <w:r w:rsidRPr="00CF1DE4">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5AC14E2C" wp14:editId="44E0C221">
              <wp:simplePos x="0" y="0"/>
              <wp:positionH relativeFrom="column">
                <wp:posOffset>3398520</wp:posOffset>
              </wp:positionH>
              <wp:positionV relativeFrom="paragraph">
                <wp:posOffset>7620</wp:posOffset>
              </wp:positionV>
              <wp:extent cx="2945765" cy="1041400"/>
              <wp:effectExtent l="0" t="0" r="6985"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14:paraId="50316F9B" w14:textId="77777777" w:rsidR="00F42902" w:rsidRPr="00726DB8" w:rsidRDefault="00F42902" w:rsidP="00F42902">
                          <w:pPr>
                            <w:spacing w:after="0" w:line="240" w:lineRule="auto"/>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Maine Department of Health and Human Services</w:t>
                          </w:r>
                        </w:p>
                        <w:p w14:paraId="13937709" w14:textId="77777777" w:rsidR="00F42902" w:rsidRPr="00726DB8" w:rsidRDefault="00F42902" w:rsidP="00F42902">
                          <w:pPr>
                            <w:spacing w:after="0" w:line="240" w:lineRule="auto"/>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MaineCare Services</w:t>
                          </w:r>
                        </w:p>
                        <w:p w14:paraId="1B4A5310" w14:textId="77777777" w:rsidR="00F42902" w:rsidRPr="00726DB8" w:rsidRDefault="00F42902" w:rsidP="00F42902">
                          <w:pPr>
                            <w:spacing w:after="0" w:line="240" w:lineRule="auto"/>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Policy Division</w:t>
                          </w:r>
                        </w:p>
                        <w:p w14:paraId="0D614889" w14:textId="77777777" w:rsidR="00F42902" w:rsidRPr="00726DB8" w:rsidRDefault="00F42902" w:rsidP="00F42902">
                          <w:pPr>
                            <w:spacing w:after="0" w:line="240" w:lineRule="auto"/>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11 State House Station</w:t>
                          </w:r>
                        </w:p>
                        <w:p w14:paraId="68285A54" w14:textId="77777777" w:rsidR="00F42902" w:rsidRPr="00726DB8" w:rsidRDefault="00F42902" w:rsidP="00F42902">
                          <w:pPr>
                            <w:spacing w:after="0" w:line="240" w:lineRule="auto"/>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Augusta, Maine 04333-0011</w:t>
                          </w:r>
                        </w:p>
                        <w:p w14:paraId="6F1E28F2" w14:textId="77777777" w:rsidR="00F42902" w:rsidRPr="00726DB8" w:rsidRDefault="00F42902" w:rsidP="00F42902">
                          <w:pPr>
                            <w:spacing w:after="0" w:line="240" w:lineRule="auto"/>
                            <w:ind w:left="720"/>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Tel: (207) 624-4050; Fax: (207) 287-6106</w:t>
                          </w:r>
                        </w:p>
                        <w:p w14:paraId="7315C359" w14:textId="77777777" w:rsidR="00F42902" w:rsidRPr="00726DB8" w:rsidRDefault="00F42902" w:rsidP="00F42902">
                          <w:pPr>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 xml:space="preserve">TTY: Dial 711 (Maine Relay) </w:t>
                          </w:r>
                        </w:p>
                        <w:p w14:paraId="24F41BDA" w14:textId="77777777" w:rsidR="00F42902" w:rsidRPr="00287C76" w:rsidRDefault="00F42902" w:rsidP="00F42902">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4E2C" id="Text Box 4" o:spid="_x0000_s1027" type="#_x0000_t202" style="position:absolute;left:0;text-align:left;margin-left:267.6pt;margin-top:.6pt;width:231.95pt;height:8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" stroked="f">
              <v:textbox>
                <w:txbxContent>
                  <w:p w14:paraId="50316F9B" w14:textId="77777777" w:rsidR="00F42902" w:rsidRPr="00726DB8" w:rsidRDefault="00F42902" w:rsidP="00F42902">
                    <w:pPr>
                      <w:spacing w:after="0" w:line="240" w:lineRule="auto"/>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Maine Department of Health and Human Services</w:t>
                    </w:r>
                  </w:p>
                  <w:p w14:paraId="13937709" w14:textId="77777777" w:rsidR="00F42902" w:rsidRPr="00726DB8" w:rsidRDefault="00F42902" w:rsidP="00F42902">
                    <w:pPr>
                      <w:spacing w:after="0" w:line="240" w:lineRule="auto"/>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MaineCare Services</w:t>
                    </w:r>
                  </w:p>
                  <w:p w14:paraId="1B4A5310" w14:textId="77777777" w:rsidR="00F42902" w:rsidRPr="00726DB8" w:rsidRDefault="00F42902" w:rsidP="00F42902">
                    <w:pPr>
                      <w:spacing w:after="0" w:line="240" w:lineRule="auto"/>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Policy Division</w:t>
                    </w:r>
                  </w:p>
                  <w:p w14:paraId="0D614889" w14:textId="77777777" w:rsidR="00F42902" w:rsidRPr="00726DB8" w:rsidRDefault="00F42902" w:rsidP="00F42902">
                    <w:pPr>
                      <w:spacing w:after="0" w:line="240" w:lineRule="auto"/>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11 State House Station</w:t>
                    </w:r>
                  </w:p>
                  <w:p w14:paraId="68285A54" w14:textId="77777777" w:rsidR="00F42902" w:rsidRPr="00726DB8" w:rsidRDefault="00F42902" w:rsidP="00F42902">
                    <w:pPr>
                      <w:spacing w:after="0" w:line="240" w:lineRule="auto"/>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Augusta, Maine 04333-0011</w:t>
                    </w:r>
                  </w:p>
                  <w:p w14:paraId="6F1E28F2" w14:textId="77777777" w:rsidR="00F42902" w:rsidRPr="00726DB8" w:rsidRDefault="00F42902" w:rsidP="00F42902">
                    <w:pPr>
                      <w:spacing w:after="0" w:line="240" w:lineRule="auto"/>
                      <w:ind w:left="720"/>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Tel: (207) 624-4050; Fax: (207) 287-6106</w:t>
                    </w:r>
                  </w:p>
                  <w:p w14:paraId="7315C359" w14:textId="77777777" w:rsidR="00F42902" w:rsidRPr="00726DB8" w:rsidRDefault="00F42902" w:rsidP="00F42902">
                    <w:pPr>
                      <w:jc w:val="right"/>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 xml:space="preserve">TTY: Dial 711 (Maine Relay) </w:t>
                    </w:r>
                  </w:p>
                  <w:p w14:paraId="24F41BDA" w14:textId="77777777" w:rsidR="00F42902" w:rsidRPr="00287C76" w:rsidRDefault="00F42902" w:rsidP="00F42902">
                    <w:pPr>
                      <w:jc w:val="right"/>
                      <w:rPr>
                        <w:sz w:val="18"/>
                        <w:szCs w:val="18"/>
                      </w:rPr>
                    </w:pPr>
                  </w:p>
                </w:txbxContent>
              </v:textbox>
              <w10:wrap type="square"/>
            </v:shape>
          </w:pict>
        </mc:Fallback>
      </mc:AlternateContent>
    </w:r>
    <w:r w:rsidRPr="00CF1DE4">
      <w:rPr>
        <w:rFonts w:ascii="Times New Roman" w:hAnsi="Times New Roman" w:cs="Times New Roman"/>
        <w:noProof/>
        <w:sz w:val="24"/>
        <w:szCs w:val="24"/>
      </w:rPr>
      <mc:AlternateContent>
        <mc:Choice Requires="wps">
          <w:drawing>
            <wp:anchor distT="45720" distB="45720" distL="114300" distR="114300" simplePos="0" relativeHeight="251658242" behindDoc="0" locked="0" layoutInCell="1" allowOverlap="1" wp14:anchorId="7D844526" wp14:editId="565DC8DA">
              <wp:simplePos x="0" y="0"/>
              <wp:positionH relativeFrom="margin">
                <wp:posOffset>-213360</wp:posOffset>
              </wp:positionH>
              <wp:positionV relativeFrom="paragraph">
                <wp:posOffset>464820</wp:posOffset>
              </wp:positionV>
              <wp:extent cx="1607820" cy="3683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1C7AB41E" w14:textId="77777777" w:rsidR="00F42902" w:rsidRPr="00726DB8" w:rsidRDefault="00F42902" w:rsidP="00F42902">
                          <w:pPr>
                            <w:tabs>
                              <w:tab w:val="left" w:pos="7560"/>
                            </w:tabs>
                            <w:spacing w:after="0" w:line="240" w:lineRule="auto"/>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Jeanne M. Lambrew, Ph.D.</w:t>
                          </w:r>
                        </w:p>
                        <w:p w14:paraId="2A5CA151" w14:textId="77777777" w:rsidR="00F42902" w:rsidRPr="00726DB8" w:rsidRDefault="00F42902" w:rsidP="00F42902">
                          <w:pPr>
                            <w:tabs>
                              <w:tab w:val="left" w:pos="7560"/>
                            </w:tabs>
                            <w:spacing w:after="0" w:line="240" w:lineRule="auto"/>
                            <w:rPr>
                              <w:rFonts w:ascii="Times New Roman" w:hAnsi="Times New Roman" w:cs="Times New Roman"/>
                              <w:sz w:val="18"/>
                              <w:szCs w:val="18"/>
                            </w:rPr>
                          </w:pPr>
                          <w:r w:rsidRPr="00726DB8">
                            <w:rPr>
                              <w:rFonts w:ascii="Times New Roman" w:hAnsi="Times New Roman" w:cs="Times New Roman"/>
                              <w:b/>
                              <w:color w:val="2F5496" w:themeColor="accent1" w:themeShade="BF"/>
                              <w:sz w:val="18"/>
                              <w:szCs w:val="18"/>
                            </w:rPr>
                            <w:t>Commissioner</w:t>
                          </w:r>
                        </w:p>
                        <w:p w14:paraId="3EA55FAA" w14:textId="77777777" w:rsidR="00F42902" w:rsidRPr="00287C76" w:rsidRDefault="00F42902" w:rsidP="00F42902">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44526" id="_x0000_s1028" type="#_x0000_t202" style="position:absolute;left:0;text-align:left;margin-left:-16.8pt;margin-top:36.6pt;width:126.6pt;height:2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&#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SEcmdyACAAAiBAAADgAAAAAAAAAAAAAAAAAuAgAAZHJzL2Uyb0RvYy54bWxQ&#10;SwECLQAUAAYACAAAACEA6YdKeN4AAAAKAQAADwAAAAAAAAAAAAAAAAB6BAAAZHJzL2Rvd25yZXYu&#10;eG1sUEsFBgAAAAAEAAQA8wAAAIUFAAAAAA==&#10;" stroked="f">
              <v:textbox>
                <w:txbxContent>
                  <w:p w14:paraId="1C7AB41E" w14:textId="77777777" w:rsidR="00F42902" w:rsidRPr="00726DB8" w:rsidRDefault="00F42902" w:rsidP="00F42902">
                    <w:pPr>
                      <w:tabs>
                        <w:tab w:val="left" w:pos="7560"/>
                      </w:tabs>
                      <w:spacing w:after="0" w:line="240" w:lineRule="auto"/>
                      <w:rPr>
                        <w:rFonts w:ascii="Times New Roman" w:hAnsi="Times New Roman" w:cs="Times New Roman"/>
                        <w:b/>
                        <w:color w:val="2F5496" w:themeColor="accent1" w:themeShade="BF"/>
                        <w:sz w:val="18"/>
                        <w:szCs w:val="18"/>
                      </w:rPr>
                    </w:pPr>
                    <w:r w:rsidRPr="00726DB8">
                      <w:rPr>
                        <w:rFonts w:ascii="Times New Roman" w:hAnsi="Times New Roman" w:cs="Times New Roman"/>
                        <w:b/>
                        <w:color w:val="2F5496" w:themeColor="accent1" w:themeShade="BF"/>
                        <w:sz w:val="18"/>
                        <w:szCs w:val="18"/>
                      </w:rPr>
                      <w:t>Jeanne M. Lambrew, Ph.D.</w:t>
                    </w:r>
                  </w:p>
                  <w:p w14:paraId="2A5CA151" w14:textId="77777777" w:rsidR="00F42902" w:rsidRPr="00726DB8" w:rsidRDefault="00F42902" w:rsidP="00F42902">
                    <w:pPr>
                      <w:tabs>
                        <w:tab w:val="left" w:pos="7560"/>
                      </w:tabs>
                      <w:spacing w:after="0" w:line="240" w:lineRule="auto"/>
                      <w:rPr>
                        <w:rFonts w:ascii="Times New Roman" w:hAnsi="Times New Roman" w:cs="Times New Roman"/>
                        <w:sz w:val="18"/>
                        <w:szCs w:val="18"/>
                      </w:rPr>
                    </w:pPr>
                    <w:r w:rsidRPr="00726DB8">
                      <w:rPr>
                        <w:rFonts w:ascii="Times New Roman" w:hAnsi="Times New Roman" w:cs="Times New Roman"/>
                        <w:b/>
                        <w:color w:val="2F5496" w:themeColor="accent1" w:themeShade="BF"/>
                        <w:sz w:val="18"/>
                        <w:szCs w:val="18"/>
                      </w:rPr>
                      <w:t>Commissioner</w:t>
                    </w:r>
                  </w:p>
                  <w:p w14:paraId="3EA55FAA" w14:textId="77777777" w:rsidR="00F42902" w:rsidRPr="00287C76" w:rsidRDefault="00F42902" w:rsidP="00F42902">
                    <w:pPr>
                      <w:tabs>
                        <w:tab w:val="left" w:pos="7560"/>
                      </w:tabs>
                      <w:rPr>
                        <w:sz w:val="18"/>
                        <w:szCs w:val="18"/>
                      </w:rPr>
                    </w:pPr>
                  </w:p>
                </w:txbxContent>
              </v:textbox>
              <w10:wrap type="square" anchorx="margin"/>
            </v:shape>
          </w:pict>
        </mc:Fallback>
      </mc:AlternateContent>
    </w:r>
    <w:r w:rsidRPr="00CF1DE4">
      <w:rPr>
        <w:rFonts w:ascii="Times New Roman" w:hAnsi="Times New Roman" w:cs="Times New Roman"/>
        <w:noProof/>
        <w:sz w:val="24"/>
        <w:szCs w:val="24"/>
      </w:rPr>
      <w:drawing>
        <wp:inline distT="0" distB="0" distL="0" distR="0" wp14:anchorId="66EF2B62" wp14:editId="006046CA">
          <wp:extent cx="704063" cy="792480"/>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p>
  <w:p w14:paraId="05B99CF6" w14:textId="77777777" w:rsidR="00370D3E" w:rsidRPr="00F42902" w:rsidRDefault="00370D3E" w:rsidP="00F4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30"/>
    <w:multiLevelType w:val="hybridMultilevel"/>
    <w:tmpl w:val="47702B10"/>
    <w:lvl w:ilvl="0" w:tplc="931AC1BE">
      <w:start w:val="1"/>
      <w:numFmt w:val="bullet"/>
      <w:lvlText w:val=""/>
      <w:lvlJc w:val="left"/>
      <w:pPr>
        <w:ind w:left="1080" w:hanging="360"/>
      </w:pPr>
      <w:rPr>
        <w:rFonts w:ascii="Symbol" w:hAnsi="Symbol" w:hint="default"/>
      </w:rPr>
    </w:lvl>
    <w:lvl w:ilvl="1" w:tplc="2004B95E">
      <w:start w:val="1"/>
      <w:numFmt w:val="bullet"/>
      <w:lvlText w:val="o"/>
      <w:lvlJc w:val="left"/>
      <w:pPr>
        <w:ind w:left="1800" w:hanging="360"/>
      </w:pPr>
      <w:rPr>
        <w:rFonts w:ascii="Courier New" w:hAnsi="Courier New" w:hint="default"/>
      </w:rPr>
    </w:lvl>
    <w:lvl w:ilvl="2" w:tplc="C1A80354">
      <w:start w:val="1"/>
      <w:numFmt w:val="bullet"/>
      <w:lvlText w:val=""/>
      <w:lvlJc w:val="left"/>
      <w:pPr>
        <w:ind w:left="2520" w:hanging="360"/>
      </w:pPr>
      <w:rPr>
        <w:rFonts w:ascii="Wingdings" w:hAnsi="Wingdings" w:hint="default"/>
      </w:rPr>
    </w:lvl>
    <w:lvl w:ilvl="3" w:tplc="2B0CE3F0">
      <w:start w:val="1"/>
      <w:numFmt w:val="bullet"/>
      <w:lvlText w:val=""/>
      <w:lvlJc w:val="left"/>
      <w:pPr>
        <w:ind w:left="3240" w:hanging="360"/>
      </w:pPr>
      <w:rPr>
        <w:rFonts w:ascii="Symbol" w:hAnsi="Symbol" w:hint="default"/>
      </w:rPr>
    </w:lvl>
    <w:lvl w:ilvl="4" w:tplc="14D81FA6">
      <w:start w:val="1"/>
      <w:numFmt w:val="bullet"/>
      <w:lvlText w:val="o"/>
      <w:lvlJc w:val="left"/>
      <w:pPr>
        <w:ind w:left="3960" w:hanging="360"/>
      </w:pPr>
      <w:rPr>
        <w:rFonts w:ascii="Courier New" w:hAnsi="Courier New" w:hint="default"/>
      </w:rPr>
    </w:lvl>
    <w:lvl w:ilvl="5" w:tplc="ADC29D14">
      <w:start w:val="1"/>
      <w:numFmt w:val="bullet"/>
      <w:lvlText w:val=""/>
      <w:lvlJc w:val="left"/>
      <w:pPr>
        <w:ind w:left="4680" w:hanging="360"/>
      </w:pPr>
      <w:rPr>
        <w:rFonts w:ascii="Wingdings" w:hAnsi="Wingdings" w:hint="default"/>
      </w:rPr>
    </w:lvl>
    <w:lvl w:ilvl="6" w:tplc="8280020A">
      <w:start w:val="1"/>
      <w:numFmt w:val="bullet"/>
      <w:lvlText w:val=""/>
      <w:lvlJc w:val="left"/>
      <w:pPr>
        <w:ind w:left="5400" w:hanging="360"/>
      </w:pPr>
      <w:rPr>
        <w:rFonts w:ascii="Symbol" w:hAnsi="Symbol" w:hint="default"/>
      </w:rPr>
    </w:lvl>
    <w:lvl w:ilvl="7" w:tplc="8A428C74">
      <w:start w:val="1"/>
      <w:numFmt w:val="bullet"/>
      <w:lvlText w:val="o"/>
      <w:lvlJc w:val="left"/>
      <w:pPr>
        <w:ind w:left="6120" w:hanging="360"/>
      </w:pPr>
      <w:rPr>
        <w:rFonts w:ascii="Courier New" w:hAnsi="Courier New" w:hint="default"/>
      </w:rPr>
    </w:lvl>
    <w:lvl w:ilvl="8" w:tplc="CE6EC86C">
      <w:start w:val="1"/>
      <w:numFmt w:val="bullet"/>
      <w:lvlText w:val=""/>
      <w:lvlJc w:val="left"/>
      <w:pPr>
        <w:ind w:left="6840" w:hanging="360"/>
      </w:pPr>
      <w:rPr>
        <w:rFonts w:ascii="Wingdings" w:hAnsi="Wingdings" w:hint="default"/>
      </w:rPr>
    </w:lvl>
  </w:abstractNum>
  <w:abstractNum w:abstractNumId="1" w15:restartNumberingAfterBreak="0">
    <w:nsid w:val="07AA2534"/>
    <w:multiLevelType w:val="hybridMultilevel"/>
    <w:tmpl w:val="00A0457A"/>
    <w:lvl w:ilvl="0" w:tplc="ABAEC024">
      <w:start w:val="1"/>
      <w:numFmt w:val="bullet"/>
      <w:lvlText w:val=""/>
      <w:lvlJc w:val="left"/>
      <w:pPr>
        <w:ind w:left="720" w:hanging="360"/>
      </w:pPr>
      <w:rPr>
        <w:rFonts w:ascii="Symbol" w:hAnsi="Symbol" w:hint="default"/>
      </w:rPr>
    </w:lvl>
    <w:lvl w:ilvl="1" w:tplc="961C47EA">
      <w:start w:val="1"/>
      <w:numFmt w:val="bullet"/>
      <w:lvlText w:val="o"/>
      <w:lvlJc w:val="left"/>
      <w:pPr>
        <w:ind w:left="1440" w:hanging="360"/>
      </w:pPr>
      <w:rPr>
        <w:rFonts w:ascii="Courier New" w:hAnsi="Courier New" w:hint="default"/>
      </w:rPr>
    </w:lvl>
    <w:lvl w:ilvl="2" w:tplc="5D921D94">
      <w:start w:val="1"/>
      <w:numFmt w:val="bullet"/>
      <w:lvlText w:val=""/>
      <w:lvlJc w:val="left"/>
      <w:pPr>
        <w:ind w:left="2160" w:hanging="360"/>
      </w:pPr>
      <w:rPr>
        <w:rFonts w:ascii="Wingdings" w:hAnsi="Wingdings" w:hint="default"/>
      </w:rPr>
    </w:lvl>
    <w:lvl w:ilvl="3" w:tplc="071AED28">
      <w:start w:val="1"/>
      <w:numFmt w:val="bullet"/>
      <w:lvlText w:val=""/>
      <w:lvlJc w:val="left"/>
      <w:pPr>
        <w:ind w:left="2880" w:hanging="360"/>
      </w:pPr>
      <w:rPr>
        <w:rFonts w:ascii="Symbol" w:hAnsi="Symbol" w:hint="default"/>
      </w:rPr>
    </w:lvl>
    <w:lvl w:ilvl="4" w:tplc="B7A85596">
      <w:start w:val="1"/>
      <w:numFmt w:val="bullet"/>
      <w:lvlText w:val="o"/>
      <w:lvlJc w:val="left"/>
      <w:pPr>
        <w:ind w:left="3600" w:hanging="360"/>
      </w:pPr>
      <w:rPr>
        <w:rFonts w:ascii="Courier New" w:hAnsi="Courier New" w:hint="default"/>
      </w:rPr>
    </w:lvl>
    <w:lvl w:ilvl="5" w:tplc="B39E2DF0">
      <w:start w:val="1"/>
      <w:numFmt w:val="bullet"/>
      <w:lvlText w:val=""/>
      <w:lvlJc w:val="left"/>
      <w:pPr>
        <w:ind w:left="4320" w:hanging="360"/>
      </w:pPr>
      <w:rPr>
        <w:rFonts w:ascii="Wingdings" w:hAnsi="Wingdings" w:hint="default"/>
      </w:rPr>
    </w:lvl>
    <w:lvl w:ilvl="6" w:tplc="AD8098D4">
      <w:start w:val="1"/>
      <w:numFmt w:val="bullet"/>
      <w:lvlText w:val=""/>
      <w:lvlJc w:val="left"/>
      <w:pPr>
        <w:ind w:left="5040" w:hanging="360"/>
      </w:pPr>
      <w:rPr>
        <w:rFonts w:ascii="Symbol" w:hAnsi="Symbol" w:hint="default"/>
      </w:rPr>
    </w:lvl>
    <w:lvl w:ilvl="7" w:tplc="6624F740">
      <w:start w:val="1"/>
      <w:numFmt w:val="bullet"/>
      <w:lvlText w:val="o"/>
      <w:lvlJc w:val="left"/>
      <w:pPr>
        <w:ind w:left="5760" w:hanging="360"/>
      </w:pPr>
      <w:rPr>
        <w:rFonts w:ascii="Courier New" w:hAnsi="Courier New" w:hint="default"/>
      </w:rPr>
    </w:lvl>
    <w:lvl w:ilvl="8" w:tplc="D5887F2C">
      <w:start w:val="1"/>
      <w:numFmt w:val="bullet"/>
      <w:lvlText w:val=""/>
      <w:lvlJc w:val="left"/>
      <w:pPr>
        <w:ind w:left="6480" w:hanging="360"/>
      </w:pPr>
      <w:rPr>
        <w:rFonts w:ascii="Wingdings" w:hAnsi="Wingdings" w:hint="default"/>
      </w:rPr>
    </w:lvl>
  </w:abstractNum>
  <w:abstractNum w:abstractNumId="2" w15:restartNumberingAfterBreak="0">
    <w:nsid w:val="152E365D"/>
    <w:multiLevelType w:val="hybridMultilevel"/>
    <w:tmpl w:val="8F147358"/>
    <w:lvl w:ilvl="0" w:tplc="64EAF96C">
      <w:start w:val="1"/>
      <w:numFmt w:val="bullet"/>
      <w:lvlText w:val=""/>
      <w:lvlJc w:val="left"/>
      <w:pPr>
        <w:ind w:left="720" w:hanging="360"/>
      </w:pPr>
      <w:rPr>
        <w:rFonts w:ascii="Symbol" w:hAnsi="Symbol" w:hint="default"/>
      </w:rPr>
    </w:lvl>
    <w:lvl w:ilvl="1" w:tplc="700E4E28">
      <w:start w:val="1"/>
      <w:numFmt w:val="bullet"/>
      <w:lvlText w:val="o"/>
      <w:lvlJc w:val="left"/>
      <w:pPr>
        <w:ind w:left="1440" w:hanging="360"/>
      </w:pPr>
      <w:rPr>
        <w:rFonts w:ascii="Courier New" w:hAnsi="Courier New" w:hint="default"/>
      </w:rPr>
    </w:lvl>
    <w:lvl w:ilvl="2" w:tplc="B00C3850">
      <w:start w:val="1"/>
      <w:numFmt w:val="bullet"/>
      <w:lvlText w:val=""/>
      <w:lvlJc w:val="left"/>
      <w:pPr>
        <w:ind w:left="2160" w:hanging="360"/>
      </w:pPr>
      <w:rPr>
        <w:rFonts w:ascii="Wingdings" w:hAnsi="Wingdings" w:hint="default"/>
      </w:rPr>
    </w:lvl>
    <w:lvl w:ilvl="3" w:tplc="A7EC9296">
      <w:start w:val="1"/>
      <w:numFmt w:val="bullet"/>
      <w:lvlText w:val=""/>
      <w:lvlJc w:val="left"/>
      <w:pPr>
        <w:ind w:left="2880" w:hanging="360"/>
      </w:pPr>
      <w:rPr>
        <w:rFonts w:ascii="Symbol" w:hAnsi="Symbol" w:hint="default"/>
      </w:rPr>
    </w:lvl>
    <w:lvl w:ilvl="4" w:tplc="17CEB0DA">
      <w:start w:val="1"/>
      <w:numFmt w:val="bullet"/>
      <w:lvlText w:val="o"/>
      <w:lvlJc w:val="left"/>
      <w:pPr>
        <w:ind w:left="3600" w:hanging="360"/>
      </w:pPr>
      <w:rPr>
        <w:rFonts w:ascii="Courier New" w:hAnsi="Courier New" w:hint="default"/>
      </w:rPr>
    </w:lvl>
    <w:lvl w:ilvl="5" w:tplc="1872275C">
      <w:start w:val="1"/>
      <w:numFmt w:val="bullet"/>
      <w:lvlText w:val=""/>
      <w:lvlJc w:val="left"/>
      <w:pPr>
        <w:ind w:left="4320" w:hanging="360"/>
      </w:pPr>
      <w:rPr>
        <w:rFonts w:ascii="Wingdings" w:hAnsi="Wingdings" w:hint="default"/>
      </w:rPr>
    </w:lvl>
    <w:lvl w:ilvl="6" w:tplc="541C50D4">
      <w:start w:val="1"/>
      <w:numFmt w:val="bullet"/>
      <w:lvlText w:val=""/>
      <w:lvlJc w:val="left"/>
      <w:pPr>
        <w:ind w:left="5040" w:hanging="360"/>
      </w:pPr>
      <w:rPr>
        <w:rFonts w:ascii="Symbol" w:hAnsi="Symbol" w:hint="default"/>
      </w:rPr>
    </w:lvl>
    <w:lvl w:ilvl="7" w:tplc="580AEEAE">
      <w:start w:val="1"/>
      <w:numFmt w:val="bullet"/>
      <w:lvlText w:val="o"/>
      <w:lvlJc w:val="left"/>
      <w:pPr>
        <w:ind w:left="5760" w:hanging="360"/>
      </w:pPr>
      <w:rPr>
        <w:rFonts w:ascii="Courier New" w:hAnsi="Courier New" w:hint="default"/>
      </w:rPr>
    </w:lvl>
    <w:lvl w:ilvl="8" w:tplc="4F4CA6D4">
      <w:start w:val="1"/>
      <w:numFmt w:val="bullet"/>
      <w:lvlText w:val=""/>
      <w:lvlJc w:val="left"/>
      <w:pPr>
        <w:ind w:left="6480" w:hanging="360"/>
      </w:pPr>
      <w:rPr>
        <w:rFonts w:ascii="Wingdings" w:hAnsi="Wingdings" w:hint="default"/>
      </w:rPr>
    </w:lvl>
  </w:abstractNum>
  <w:abstractNum w:abstractNumId="3" w15:restartNumberingAfterBreak="0">
    <w:nsid w:val="1718232A"/>
    <w:multiLevelType w:val="hybridMultilevel"/>
    <w:tmpl w:val="3A982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D07DB"/>
    <w:multiLevelType w:val="hybridMultilevel"/>
    <w:tmpl w:val="15C6D444"/>
    <w:lvl w:ilvl="0" w:tplc="F0F0AF74">
      <w:start w:val="1"/>
      <w:numFmt w:val="bullet"/>
      <w:lvlText w:val=""/>
      <w:lvlJc w:val="left"/>
      <w:pPr>
        <w:ind w:left="1080" w:hanging="360"/>
      </w:pPr>
      <w:rPr>
        <w:rFonts w:ascii="Symbol" w:hAnsi="Symbol" w:hint="default"/>
      </w:rPr>
    </w:lvl>
    <w:lvl w:ilvl="1" w:tplc="A9E2F3B2">
      <w:start w:val="1"/>
      <w:numFmt w:val="bullet"/>
      <w:lvlText w:val="o"/>
      <w:lvlJc w:val="left"/>
      <w:pPr>
        <w:ind w:left="1800" w:hanging="360"/>
      </w:pPr>
      <w:rPr>
        <w:rFonts w:ascii="Courier New" w:hAnsi="Courier New" w:hint="default"/>
      </w:rPr>
    </w:lvl>
    <w:lvl w:ilvl="2" w:tplc="9AC85F46">
      <w:start w:val="1"/>
      <w:numFmt w:val="bullet"/>
      <w:lvlText w:val=""/>
      <w:lvlJc w:val="left"/>
      <w:pPr>
        <w:ind w:left="2520" w:hanging="360"/>
      </w:pPr>
      <w:rPr>
        <w:rFonts w:ascii="Wingdings" w:hAnsi="Wingdings" w:hint="default"/>
      </w:rPr>
    </w:lvl>
    <w:lvl w:ilvl="3" w:tplc="6CE2AE38">
      <w:start w:val="1"/>
      <w:numFmt w:val="bullet"/>
      <w:lvlText w:val=""/>
      <w:lvlJc w:val="left"/>
      <w:pPr>
        <w:ind w:left="3240" w:hanging="360"/>
      </w:pPr>
      <w:rPr>
        <w:rFonts w:ascii="Symbol" w:hAnsi="Symbol" w:hint="default"/>
      </w:rPr>
    </w:lvl>
    <w:lvl w:ilvl="4" w:tplc="4CFCF072">
      <w:start w:val="1"/>
      <w:numFmt w:val="bullet"/>
      <w:lvlText w:val="o"/>
      <w:lvlJc w:val="left"/>
      <w:pPr>
        <w:ind w:left="3960" w:hanging="360"/>
      </w:pPr>
      <w:rPr>
        <w:rFonts w:ascii="Courier New" w:hAnsi="Courier New" w:hint="default"/>
      </w:rPr>
    </w:lvl>
    <w:lvl w:ilvl="5" w:tplc="D034D91C">
      <w:start w:val="1"/>
      <w:numFmt w:val="bullet"/>
      <w:lvlText w:val=""/>
      <w:lvlJc w:val="left"/>
      <w:pPr>
        <w:ind w:left="4680" w:hanging="360"/>
      </w:pPr>
      <w:rPr>
        <w:rFonts w:ascii="Wingdings" w:hAnsi="Wingdings" w:hint="default"/>
      </w:rPr>
    </w:lvl>
    <w:lvl w:ilvl="6" w:tplc="B6320A42">
      <w:start w:val="1"/>
      <w:numFmt w:val="bullet"/>
      <w:lvlText w:val=""/>
      <w:lvlJc w:val="left"/>
      <w:pPr>
        <w:ind w:left="5400" w:hanging="360"/>
      </w:pPr>
      <w:rPr>
        <w:rFonts w:ascii="Symbol" w:hAnsi="Symbol" w:hint="default"/>
      </w:rPr>
    </w:lvl>
    <w:lvl w:ilvl="7" w:tplc="E438E19E">
      <w:start w:val="1"/>
      <w:numFmt w:val="bullet"/>
      <w:lvlText w:val="o"/>
      <w:lvlJc w:val="left"/>
      <w:pPr>
        <w:ind w:left="6120" w:hanging="360"/>
      </w:pPr>
      <w:rPr>
        <w:rFonts w:ascii="Courier New" w:hAnsi="Courier New" w:hint="default"/>
      </w:rPr>
    </w:lvl>
    <w:lvl w:ilvl="8" w:tplc="12464B66">
      <w:start w:val="1"/>
      <w:numFmt w:val="bullet"/>
      <w:lvlText w:val=""/>
      <w:lvlJc w:val="left"/>
      <w:pPr>
        <w:ind w:left="6840" w:hanging="360"/>
      </w:pPr>
      <w:rPr>
        <w:rFonts w:ascii="Wingdings" w:hAnsi="Wingdings" w:hint="default"/>
      </w:rPr>
    </w:lvl>
  </w:abstractNum>
  <w:abstractNum w:abstractNumId="5" w15:restartNumberingAfterBreak="0">
    <w:nsid w:val="230E77D3"/>
    <w:multiLevelType w:val="hybridMultilevel"/>
    <w:tmpl w:val="040805BA"/>
    <w:lvl w:ilvl="0" w:tplc="BA3E8C52">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76E63D4"/>
    <w:multiLevelType w:val="hybridMultilevel"/>
    <w:tmpl w:val="057A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D6FF6"/>
    <w:multiLevelType w:val="hybridMultilevel"/>
    <w:tmpl w:val="04DA988A"/>
    <w:lvl w:ilvl="0" w:tplc="6014710A">
      <w:start w:val="1"/>
      <w:numFmt w:val="bullet"/>
      <w:lvlText w:val=""/>
      <w:lvlJc w:val="left"/>
      <w:pPr>
        <w:ind w:left="720" w:hanging="360"/>
      </w:pPr>
      <w:rPr>
        <w:rFonts w:ascii="Symbol" w:hAnsi="Symbol" w:hint="default"/>
      </w:rPr>
    </w:lvl>
    <w:lvl w:ilvl="1" w:tplc="E6F4A8AA">
      <w:start w:val="1"/>
      <w:numFmt w:val="bullet"/>
      <w:lvlText w:val="o"/>
      <w:lvlJc w:val="left"/>
      <w:pPr>
        <w:ind w:left="1440" w:hanging="360"/>
      </w:pPr>
      <w:rPr>
        <w:rFonts w:ascii="Courier New" w:hAnsi="Courier New" w:hint="default"/>
      </w:rPr>
    </w:lvl>
    <w:lvl w:ilvl="2" w:tplc="18920296">
      <w:start w:val="1"/>
      <w:numFmt w:val="bullet"/>
      <w:lvlText w:val=""/>
      <w:lvlJc w:val="left"/>
      <w:pPr>
        <w:ind w:left="2160" w:hanging="360"/>
      </w:pPr>
      <w:rPr>
        <w:rFonts w:ascii="Wingdings" w:hAnsi="Wingdings" w:hint="default"/>
      </w:rPr>
    </w:lvl>
    <w:lvl w:ilvl="3" w:tplc="862CC410">
      <w:start w:val="1"/>
      <w:numFmt w:val="bullet"/>
      <w:lvlText w:val=""/>
      <w:lvlJc w:val="left"/>
      <w:pPr>
        <w:ind w:left="2880" w:hanging="360"/>
      </w:pPr>
      <w:rPr>
        <w:rFonts w:ascii="Symbol" w:hAnsi="Symbol" w:hint="default"/>
      </w:rPr>
    </w:lvl>
    <w:lvl w:ilvl="4" w:tplc="1B1C7084">
      <w:start w:val="1"/>
      <w:numFmt w:val="bullet"/>
      <w:lvlText w:val="o"/>
      <w:lvlJc w:val="left"/>
      <w:pPr>
        <w:ind w:left="3600" w:hanging="360"/>
      </w:pPr>
      <w:rPr>
        <w:rFonts w:ascii="Courier New" w:hAnsi="Courier New" w:hint="default"/>
      </w:rPr>
    </w:lvl>
    <w:lvl w:ilvl="5" w:tplc="FA669FFE">
      <w:start w:val="1"/>
      <w:numFmt w:val="bullet"/>
      <w:lvlText w:val=""/>
      <w:lvlJc w:val="left"/>
      <w:pPr>
        <w:ind w:left="4320" w:hanging="360"/>
      </w:pPr>
      <w:rPr>
        <w:rFonts w:ascii="Wingdings" w:hAnsi="Wingdings" w:hint="default"/>
      </w:rPr>
    </w:lvl>
    <w:lvl w:ilvl="6" w:tplc="7F5ECA8A">
      <w:start w:val="1"/>
      <w:numFmt w:val="bullet"/>
      <w:lvlText w:val=""/>
      <w:lvlJc w:val="left"/>
      <w:pPr>
        <w:ind w:left="5040" w:hanging="360"/>
      </w:pPr>
      <w:rPr>
        <w:rFonts w:ascii="Symbol" w:hAnsi="Symbol" w:hint="default"/>
      </w:rPr>
    </w:lvl>
    <w:lvl w:ilvl="7" w:tplc="C12068FE">
      <w:start w:val="1"/>
      <w:numFmt w:val="bullet"/>
      <w:lvlText w:val="o"/>
      <w:lvlJc w:val="left"/>
      <w:pPr>
        <w:ind w:left="5760" w:hanging="360"/>
      </w:pPr>
      <w:rPr>
        <w:rFonts w:ascii="Courier New" w:hAnsi="Courier New" w:hint="default"/>
      </w:rPr>
    </w:lvl>
    <w:lvl w:ilvl="8" w:tplc="377CEC9E">
      <w:start w:val="1"/>
      <w:numFmt w:val="bullet"/>
      <w:lvlText w:val=""/>
      <w:lvlJc w:val="left"/>
      <w:pPr>
        <w:ind w:left="6480" w:hanging="360"/>
      </w:pPr>
      <w:rPr>
        <w:rFonts w:ascii="Wingdings" w:hAnsi="Wingdings" w:hint="default"/>
      </w:rPr>
    </w:lvl>
  </w:abstractNum>
  <w:abstractNum w:abstractNumId="8" w15:restartNumberingAfterBreak="0">
    <w:nsid w:val="32AC1BB4"/>
    <w:multiLevelType w:val="hybridMultilevel"/>
    <w:tmpl w:val="4FE45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329CC"/>
    <w:multiLevelType w:val="hybridMultilevel"/>
    <w:tmpl w:val="B5D2EC6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8D445A"/>
    <w:multiLevelType w:val="multilevel"/>
    <w:tmpl w:val="02028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76106"/>
    <w:multiLevelType w:val="hybridMultilevel"/>
    <w:tmpl w:val="E6527E9E"/>
    <w:lvl w:ilvl="0" w:tplc="E9F870BA">
      <w:start w:val="1"/>
      <w:numFmt w:val="bullet"/>
      <w:lvlText w:val=""/>
      <w:lvlJc w:val="left"/>
      <w:pPr>
        <w:ind w:left="720" w:hanging="360"/>
      </w:pPr>
      <w:rPr>
        <w:rFonts w:ascii="Symbol" w:hAnsi="Symbol" w:hint="default"/>
      </w:rPr>
    </w:lvl>
    <w:lvl w:ilvl="1" w:tplc="018CCAB6">
      <w:start w:val="1"/>
      <w:numFmt w:val="bullet"/>
      <w:lvlText w:val="o"/>
      <w:lvlJc w:val="left"/>
      <w:pPr>
        <w:ind w:left="1440" w:hanging="360"/>
      </w:pPr>
      <w:rPr>
        <w:rFonts w:ascii="Courier New" w:hAnsi="Courier New" w:hint="default"/>
      </w:rPr>
    </w:lvl>
    <w:lvl w:ilvl="2" w:tplc="3BAA5BF0">
      <w:start w:val="1"/>
      <w:numFmt w:val="bullet"/>
      <w:lvlText w:val=""/>
      <w:lvlJc w:val="left"/>
      <w:pPr>
        <w:ind w:left="2160" w:hanging="360"/>
      </w:pPr>
      <w:rPr>
        <w:rFonts w:ascii="Wingdings" w:hAnsi="Wingdings" w:hint="default"/>
      </w:rPr>
    </w:lvl>
    <w:lvl w:ilvl="3" w:tplc="5B4042C2">
      <w:start w:val="1"/>
      <w:numFmt w:val="bullet"/>
      <w:lvlText w:val=""/>
      <w:lvlJc w:val="left"/>
      <w:pPr>
        <w:ind w:left="2880" w:hanging="360"/>
      </w:pPr>
      <w:rPr>
        <w:rFonts w:ascii="Symbol" w:hAnsi="Symbol" w:hint="default"/>
      </w:rPr>
    </w:lvl>
    <w:lvl w:ilvl="4" w:tplc="9440FEF8">
      <w:start w:val="1"/>
      <w:numFmt w:val="bullet"/>
      <w:lvlText w:val="o"/>
      <w:lvlJc w:val="left"/>
      <w:pPr>
        <w:ind w:left="3600" w:hanging="360"/>
      </w:pPr>
      <w:rPr>
        <w:rFonts w:ascii="Courier New" w:hAnsi="Courier New" w:hint="default"/>
      </w:rPr>
    </w:lvl>
    <w:lvl w:ilvl="5" w:tplc="038C8710">
      <w:start w:val="1"/>
      <w:numFmt w:val="bullet"/>
      <w:lvlText w:val=""/>
      <w:lvlJc w:val="left"/>
      <w:pPr>
        <w:ind w:left="4320" w:hanging="360"/>
      </w:pPr>
      <w:rPr>
        <w:rFonts w:ascii="Wingdings" w:hAnsi="Wingdings" w:hint="default"/>
      </w:rPr>
    </w:lvl>
    <w:lvl w:ilvl="6" w:tplc="D8CC96A0">
      <w:start w:val="1"/>
      <w:numFmt w:val="bullet"/>
      <w:lvlText w:val=""/>
      <w:lvlJc w:val="left"/>
      <w:pPr>
        <w:ind w:left="5040" w:hanging="360"/>
      </w:pPr>
      <w:rPr>
        <w:rFonts w:ascii="Symbol" w:hAnsi="Symbol" w:hint="default"/>
      </w:rPr>
    </w:lvl>
    <w:lvl w:ilvl="7" w:tplc="19E84F28">
      <w:start w:val="1"/>
      <w:numFmt w:val="bullet"/>
      <w:lvlText w:val="o"/>
      <w:lvlJc w:val="left"/>
      <w:pPr>
        <w:ind w:left="5760" w:hanging="360"/>
      </w:pPr>
      <w:rPr>
        <w:rFonts w:ascii="Courier New" w:hAnsi="Courier New" w:hint="default"/>
      </w:rPr>
    </w:lvl>
    <w:lvl w:ilvl="8" w:tplc="23D62BA0">
      <w:start w:val="1"/>
      <w:numFmt w:val="bullet"/>
      <w:lvlText w:val=""/>
      <w:lvlJc w:val="left"/>
      <w:pPr>
        <w:ind w:left="6480" w:hanging="360"/>
      </w:pPr>
      <w:rPr>
        <w:rFonts w:ascii="Wingdings" w:hAnsi="Wingdings" w:hint="default"/>
      </w:rPr>
    </w:lvl>
  </w:abstractNum>
  <w:abstractNum w:abstractNumId="12" w15:restartNumberingAfterBreak="0">
    <w:nsid w:val="61816236"/>
    <w:multiLevelType w:val="hybridMultilevel"/>
    <w:tmpl w:val="D1F0953E"/>
    <w:lvl w:ilvl="0" w:tplc="6504E4E0">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016B4B"/>
    <w:multiLevelType w:val="hybridMultilevel"/>
    <w:tmpl w:val="EE1404B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0"/>
  </w:num>
  <w:num w:numId="5">
    <w:abstractNumId w:val="7"/>
  </w:num>
  <w:num w:numId="6">
    <w:abstractNumId w:val="2"/>
  </w:num>
  <w:num w:numId="7">
    <w:abstractNumId w:val="5"/>
  </w:num>
  <w:num w:numId="8">
    <w:abstractNumId w:val="13"/>
  </w:num>
  <w:num w:numId="9">
    <w:abstractNumId w:val="6"/>
  </w:num>
  <w:num w:numId="10">
    <w:abstractNumId w:val="9"/>
  </w:num>
  <w:num w:numId="11">
    <w:abstractNumId w:val="8"/>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DA"/>
    <w:rsid w:val="00000482"/>
    <w:rsid w:val="00002306"/>
    <w:rsid w:val="00013FAE"/>
    <w:rsid w:val="00060925"/>
    <w:rsid w:val="0006103A"/>
    <w:rsid w:val="00065296"/>
    <w:rsid w:val="000758A5"/>
    <w:rsid w:val="000A1A05"/>
    <w:rsid w:val="000A3594"/>
    <w:rsid w:val="000C033C"/>
    <w:rsid w:val="000C76DA"/>
    <w:rsid w:val="000D6EFE"/>
    <w:rsid w:val="000E0BBB"/>
    <w:rsid w:val="000E4C47"/>
    <w:rsid w:val="000E7651"/>
    <w:rsid w:val="000F30B5"/>
    <w:rsid w:val="00113ED4"/>
    <w:rsid w:val="001173D4"/>
    <w:rsid w:val="00153FF9"/>
    <w:rsid w:val="00164687"/>
    <w:rsid w:val="00167082"/>
    <w:rsid w:val="00180527"/>
    <w:rsid w:val="0018246C"/>
    <w:rsid w:val="00192875"/>
    <w:rsid w:val="001977CF"/>
    <w:rsid w:val="001C0856"/>
    <w:rsid w:val="001C1964"/>
    <w:rsid w:val="001E5AD3"/>
    <w:rsid w:val="001E6F14"/>
    <w:rsid w:val="001F0A08"/>
    <w:rsid w:val="001F4A00"/>
    <w:rsid w:val="00227E33"/>
    <w:rsid w:val="00227EBA"/>
    <w:rsid w:val="0025027A"/>
    <w:rsid w:val="002514EC"/>
    <w:rsid w:val="00252C0C"/>
    <w:rsid w:val="00264E5E"/>
    <w:rsid w:val="00267808"/>
    <w:rsid w:val="00277B81"/>
    <w:rsid w:val="00280138"/>
    <w:rsid w:val="002A1EDD"/>
    <w:rsid w:val="002B729A"/>
    <w:rsid w:val="002C1E28"/>
    <w:rsid w:val="002D30EC"/>
    <w:rsid w:val="002D3796"/>
    <w:rsid w:val="0031179C"/>
    <w:rsid w:val="00316289"/>
    <w:rsid w:val="003344EE"/>
    <w:rsid w:val="00335ED1"/>
    <w:rsid w:val="00337D3D"/>
    <w:rsid w:val="00343A01"/>
    <w:rsid w:val="00366E6A"/>
    <w:rsid w:val="00370D3E"/>
    <w:rsid w:val="00373688"/>
    <w:rsid w:val="00373924"/>
    <w:rsid w:val="00382737"/>
    <w:rsid w:val="0038736D"/>
    <w:rsid w:val="0039142B"/>
    <w:rsid w:val="003B78EE"/>
    <w:rsid w:val="003C5518"/>
    <w:rsid w:val="003D037B"/>
    <w:rsid w:val="004037F9"/>
    <w:rsid w:val="00415686"/>
    <w:rsid w:val="004214C6"/>
    <w:rsid w:val="0044780C"/>
    <w:rsid w:val="00447E4E"/>
    <w:rsid w:val="00475F10"/>
    <w:rsid w:val="00482A38"/>
    <w:rsid w:val="00486DA0"/>
    <w:rsid w:val="00497407"/>
    <w:rsid w:val="004A3726"/>
    <w:rsid w:val="004B4D6C"/>
    <w:rsid w:val="004B5B46"/>
    <w:rsid w:val="004C2036"/>
    <w:rsid w:val="004C2F1A"/>
    <w:rsid w:val="004F6534"/>
    <w:rsid w:val="004F6FE5"/>
    <w:rsid w:val="00507DED"/>
    <w:rsid w:val="00537835"/>
    <w:rsid w:val="005516A8"/>
    <w:rsid w:val="005528CC"/>
    <w:rsid w:val="00591AD4"/>
    <w:rsid w:val="005A3CBD"/>
    <w:rsid w:val="00612E11"/>
    <w:rsid w:val="00620A99"/>
    <w:rsid w:val="00641E57"/>
    <w:rsid w:val="00644693"/>
    <w:rsid w:val="0065406C"/>
    <w:rsid w:val="00654EF3"/>
    <w:rsid w:val="00671DB5"/>
    <w:rsid w:val="00682E2E"/>
    <w:rsid w:val="006D222B"/>
    <w:rsid w:val="006D5274"/>
    <w:rsid w:val="006E5436"/>
    <w:rsid w:val="006E5735"/>
    <w:rsid w:val="00725986"/>
    <w:rsid w:val="00726DB8"/>
    <w:rsid w:val="00781D52"/>
    <w:rsid w:val="007E1AF1"/>
    <w:rsid w:val="007E3CD0"/>
    <w:rsid w:val="007F48B7"/>
    <w:rsid w:val="007F7888"/>
    <w:rsid w:val="008017EE"/>
    <w:rsid w:val="00805021"/>
    <w:rsid w:val="00814346"/>
    <w:rsid w:val="00820CDA"/>
    <w:rsid w:val="00834D9F"/>
    <w:rsid w:val="00843894"/>
    <w:rsid w:val="00895743"/>
    <w:rsid w:val="008A7A1F"/>
    <w:rsid w:val="008C422C"/>
    <w:rsid w:val="008D718B"/>
    <w:rsid w:val="008E1F2E"/>
    <w:rsid w:val="008E3D1E"/>
    <w:rsid w:val="008F5285"/>
    <w:rsid w:val="00907728"/>
    <w:rsid w:val="009105B3"/>
    <w:rsid w:val="00917CCE"/>
    <w:rsid w:val="0092508F"/>
    <w:rsid w:val="0093074B"/>
    <w:rsid w:val="00940942"/>
    <w:rsid w:val="00951340"/>
    <w:rsid w:val="00966B41"/>
    <w:rsid w:val="009832B8"/>
    <w:rsid w:val="00985F27"/>
    <w:rsid w:val="009C798E"/>
    <w:rsid w:val="009E0506"/>
    <w:rsid w:val="009F3734"/>
    <w:rsid w:val="009F5108"/>
    <w:rsid w:val="009F552F"/>
    <w:rsid w:val="00A65201"/>
    <w:rsid w:val="00A65B11"/>
    <w:rsid w:val="00A800D5"/>
    <w:rsid w:val="00A8070C"/>
    <w:rsid w:val="00A81261"/>
    <w:rsid w:val="00A91637"/>
    <w:rsid w:val="00A9416C"/>
    <w:rsid w:val="00AA1714"/>
    <w:rsid w:val="00AB3375"/>
    <w:rsid w:val="00AC3934"/>
    <w:rsid w:val="00AD2BC8"/>
    <w:rsid w:val="00AE2D4A"/>
    <w:rsid w:val="00B404FD"/>
    <w:rsid w:val="00B413CA"/>
    <w:rsid w:val="00B4607D"/>
    <w:rsid w:val="00B46097"/>
    <w:rsid w:val="00B556D6"/>
    <w:rsid w:val="00B61323"/>
    <w:rsid w:val="00B773DA"/>
    <w:rsid w:val="00B92EBC"/>
    <w:rsid w:val="00BA1CA4"/>
    <w:rsid w:val="00BB3DE2"/>
    <w:rsid w:val="00BD7A8E"/>
    <w:rsid w:val="00C57F7C"/>
    <w:rsid w:val="00C8122D"/>
    <w:rsid w:val="00CA1E17"/>
    <w:rsid w:val="00CA2C06"/>
    <w:rsid w:val="00CB4CE5"/>
    <w:rsid w:val="00CD1216"/>
    <w:rsid w:val="00CD2380"/>
    <w:rsid w:val="00CE1E64"/>
    <w:rsid w:val="00CE3603"/>
    <w:rsid w:val="00CF1DE4"/>
    <w:rsid w:val="00CF61AC"/>
    <w:rsid w:val="00D07E96"/>
    <w:rsid w:val="00D17DC8"/>
    <w:rsid w:val="00D33E1D"/>
    <w:rsid w:val="00D50C60"/>
    <w:rsid w:val="00D5362D"/>
    <w:rsid w:val="00D546E6"/>
    <w:rsid w:val="00D709B4"/>
    <w:rsid w:val="00D90833"/>
    <w:rsid w:val="00D90BC3"/>
    <w:rsid w:val="00DA0765"/>
    <w:rsid w:val="00DA3B3E"/>
    <w:rsid w:val="00DC1E77"/>
    <w:rsid w:val="00DC6B2E"/>
    <w:rsid w:val="00DD6E8A"/>
    <w:rsid w:val="00E06486"/>
    <w:rsid w:val="00E10395"/>
    <w:rsid w:val="00E20427"/>
    <w:rsid w:val="00E50054"/>
    <w:rsid w:val="00E52532"/>
    <w:rsid w:val="00E97C1C"/>
    <w:rsid w:val="00EC07E2"/>
    <w:rsid w:val="00EC1824"/>
    <w:rsid w:val="00EC58E1"/>
    <w:rsid w:val="00EE1812"/>
    <w:rsid w:val="00EE4349"/>
    <w:rsid w:val="00EF3302"/>
    <w:rsid w:val="00EF7014"/>
    <w:rsid w:val="00EF7246"/>
    <w:rsid w:val="00F42902"/>
    <w:rsid w:val="00F43036"/>
    <w:rsid w:val="00F4431B"/>
    <w:rsid w:val="00F54E2E"/>
    <w:rsid w:val="00F678A8"/>
    <w:rsid w:val="00F82358"/>
    <w:rsid w:val="00F832FC"/>
    <w:rsid w:val="00F8355B"/>
    <w:rsid w:val="00F95973"/>
    <w:rsid w:val="00FA3E91"/>
    <w:rsid w:val="00FA6249"/>
    <w:rsid w:val="00FB541A"/>
    <w:rsid w:val="00FC4366"/>
    <w:rsid w:val="00FC7E1F"/>
    <w:rsid w:val="00FF2B0F"/>
    <w:rsid w:val="17EB1DE6"/>
    <w:rsid w:val="17EFC07E"/>
    <w:rsid w:val="17F56C2B"/>
    <w:rsid w:val="1D79A5F0"/>
    <w:rsid w:val="38504FB3"/>
    <w:rsid w:val="3988C67D"/>
    <w:rsid w:val="45A89E87"/>
    <w:rsid w:val="470FA086"/>
    <w:rsid w:val="4C8BF910"/>
    <w:rsid w:val="4FE54CAD"/>
    <w:rsid w:val="53DF675A"/>
    <w:rsid w:val="56399B4F"/>
    <w:rsid w:val="62A182EE"/>
    <w:rsid w:val="77EE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BA2AA"/>
  <w15:chartTrackingRefBased/>
  <w15:docId w15:val="{0374F2A7-A687-4AAF-A4E7-688DF35D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EE"/>
    <w:pPr>
      <w:spacing w:after="200" w:line="276" w:lineRule="auto"/>
      <w:ind w:left="720"/>
      <w:contextualSpacing/>
    </w:pPr>
  </w:style>
  <w:style w:type="paragraph" w:styleId="NoSpacing">
    <w:name w:val="No Spacing"/>
    <w:uiPriority w:val="1"/>
    <w:qFormat/>
    <w:rsid w:val="001977CF"/>
    <w:pPr>
      <w:spacing w:after="0" w:line="240" w:lineRule="auto"/>
    </w:pPr>
  </w:style>
  <w:style w:type="character" w:styleId="Hyperlink">
    <w:name w:val="Hyperlink"/>
    <w:basedOn w:val="DefaultParagraphFont"/>
    <w:uiPriority w:val="99"/>
    <w:unhideWhenUsed/>
    <w:rsid w:val="001977CF"/>
    <w:rPr>
      <w:color w:val="0563C1"/>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2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37"/>
    <w:rPr>
      <w:rFonts w:ascii="Segoe UI" w:hAnsi="Segoe UI" w:cs="Segoe UI"/>
      <w:sz w:val="18"/>
      <w:szCs w:val="18"/>
    </w:rPr>
  </w:style>
  <w:style w:type="paragraph" w:customStyle="1" w:styleId="paragraph">
    <w:name w:val="paragraph"/>
    <w:basedOn w:val="Normal"/>
    <w:rsid w:val="00B773DA"/>
    <w:pPr>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57F7C"/>
    <w:rPr>
      <w:b/>
      <w:bCs/>
    </w:rPr>
  </w:style>
  <w:style w:type="character" w:customStyle="1" w:styleId="CommentSubjectChar">
    <w:name w:val="Comment Subject Char"/>
    <w:basedOn w:val="CommentTextChar"/>
    <w:link w:val="CommentSubject"/>
    <w:uiPriority w:val="99"/>
    <w:semiHidden/>
    <w:rsid w:val="00C57F7C"/>
    <w:rPr>
      <w:b/>
      <w:bCs/>
      <w:sz w:val="20"/>
      <w:szCs w:val="20"/>
    </w:rPr>
  </w:style>
  <w:style w:type="character" w:styleId="UnresolvedMention">
    <w:name w:val="Unresolved Mention"/>
    <w:basedOn w:val="DefaultParagraphFont"/>
    <w:uiPriority w:val="99"/>
    <w:semiHidden/>
    <w:unhideWhenUsed/>
    <w:rsid w:val="005A3CBD"/>
    <w:rPr>
      <w:color w:val="605E5C"/>
      <w:shd w:val="clear" w:color="auto" w:fill="E1DFDD"/>
    </w:rPr>
  </w:style>
  <w:style w:type="paragraph" w:styleId="Header">
    <w:name w:val="header"/>
    <w:basedOn w:val="Normal"/>
    <w:link w:val="HeaderChar"/>
    <w:uiPriority w:val="99"/>
    <w:unhideWhenUsed/>
    <w:rsid w:val="0053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35"/>
  </w:style>
  <w:style w:type="paragraph" w:styleId="Footer">
    <w:name w:val="footer"/>
    <w:basedOn w:val="Normal"/>
    <w:link w:val="FooterChar"/>
    <w:uiPriority w:val="99"/>
    <w:unhideWhenUsed/>
    <w:rsid w:val="0053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hhs/oms/pdfs_doc/resrcs/PRS-Assignment-Lis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3.safelinks.protection.outlook.com/?url=https%3A%2F%2Fwww.maine.gov%2Fdhhs%2Foms%2FCOVID-19.shtml%23Pro&amp;data=02%7C01%7CDean.Bugaj%40maine.gov%7C83b3420b08144f3d822008d7ccf8491e%7C413fa8ab207d4b629bcdea1a8f2f864e%7C0%7C0%7C637203239051588558&amp;sdata=S2j8Q0j%2BhCRNXh7omyoUdhlxQRnsoM2LjD7XftWQyaQ%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hhs/oms/COVID-19.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maine.gov/dhhs/oms/rules/adopted.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3" ma:contentTypeDescription="Create a new document." ma:contentTypeScope="" ma:versionID="246cbb239ef6687011df4941fb263c3f">
  <xsd:schema xmlns:xsd="http://www.w3.org/2001/XMLSchema" xmlns:xs="http://www.w3.org/2001/XMLSchema" xmlns:p="http://schemas.microsoft.com/office/2006/metadata/properties" xmlns:ns3="ae4737a0-5a6b-46e9-bcde-b6639a4991fe" xmlns:ns4="d7da2729-04b6-4b35-9467-04604c527e9a" targetNamespace="http://schemas.microsoft.com/office/2006/metadata/properties" ma:root="true" ma:fieldsID="0068c0b471a51d2c8152d74da4176cda" ns3:_="" ns4:_="">
    <xsd:import namespace="ae4737a0-5a6b-46e9-bcde-b6639a4991fe"/>
    <xsd:import namespace="d7da2729-04b6-4b35-9467-04604c527e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585CA-3797-4FC1-890C-D24333F8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d7da2729-04b6-4b35-9467-04604c52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1BD21-10CD-47FE-95BD-546708F776E3}">
  <ds:schemaRefs>
    <ds:schemaRef ds:uri="http://schemas.microsoft.com/sharepoint/v3/contenttype/forms"/>
  </ds:schemaRefs>
</ds:datastoreItem>
</file>

<file path=customXml/itemProps3.xml><?xml version="1.0" encoding="utf-8"?>
<ds:datastoreItem xmlns:ds="http://schemas.openxmlformats.org/officeDocument/2006/customXml" ds:itemID="{AAD14225-E6E5-4AF8-AF50-F3C87C6A0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Links>
    <vt:vector size="24" baseType="variant">
      <vt:variant>
        <vt:i4>1048675</vt:i4>
      </vt:variant>
      <vt:variant>
        <vt:i4>9</vt:i4>
      </vt:variant>
      <vt:variant>
        <vt:i4>0</vt:i4>
      </vt:variant>
      <vt:variant>
        <vt:i4>5</vt:i4>
      </vt:variant>
      <vt:variant>
        <vt:lpwstr>https://www.maine.gov/dhhs/oms/pdfs_doc/resrcs/PRS-Assignment-List.pdf</vt:lpwstr>
      </vt:variant>
      <vt:variant>
        <vt:lpwstr/>
      </vt:variant>
      <vt:variant>
        <vt:i4>3604595</vt:i4>
      </vt:variant>
      <vt:variant>
        <vt:i4>6</vt:i4>
      </vt:variant>
      <vt:variant>
        <vt:i4>0</vt:i4>
      </vt:variant>
      <vt:variant>
        <vt:i4>5</vt:i4>
      </vt:variant>
      <vt:variant>
        <vt:lpwstr>https://nam03.safelinks.protection.outlook.com/?url=https%3A%2F%2Fwww.maine.gov%2Fdhhs%2Foms%2FCOVID-19.shtml%23Pro&amp;data=02%7C01%7CDean.Bugaj%40maine.gov%7C83b3420b08144f3d822008d7ccf8491e%7C413fa8ab207d4b629bcdea1a8f2f864e%7C0%7C0%7C637203239051588558&amp;sdata=S2j8Q0j%2BhCRNXh7omyoUdhlxQRnsoM2LjD7XftWQyaQ%3D&amp;reserved=0</vt:lpwstr>
      </vt:variant>
      <vt:variant>
        <vt:lpwstr/>
      </vt:variant>
      <vt:variant>
        <vt:i4>2883619</vt:i4>
      </vt:variant>
      <vt:variant>
        <vt:i4>3</vt:i4>
      </vt:variant>
      <vt:variant>
        <vt:i4>0</vt:i4>
      </vt:variant>
      <vt:variant>
        <vt:i4>5</vt:i4>
      </vt:variant>
      <vt:variant>
        <vt:lpwstr>https://www.maine.gov/dhhs/oms/COVID-19.shtml</vt:lpwstr>
      </vt:variant>
      <vt:variant>
        <vt:lpwstr>GI</vt:lpwstr>
      </vt:variant>
      <vt:variant>
        <vt:i4>6225986</vt:i4>
      </vt:variant>
      <vt:variant>
        <vt:i4>0</vt:i4>
      </vt:variant>
      <vt:variant>
        <vt:i4>0</vt:i4>
      </vt:variant>
      <vt:variant>
        <vt:i4>5</vt:i4>
      </vt:variant>
      <vt:variant>
        <vt:lpwstr>http://www.maine.gov/dhhs/oms/rules/adopted.shtml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Bugaj, Dean</dc:creator>
  <cp:keywords/>
  <dc:description/>
  <cp:lastModifiedBy>Adley, Mary</cp:lastModifiedBy>
  <cp:revision>2</cp:revision>
  <dcterms:created xsi:type="dcterms:W3CDTF">2020-03-20T21:17:00Z</dcterms:created>
  <dcterms:modified xsi:type="dcterms:W3CDTF">2020-03-20T21:17:00Z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