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0B" w:rsidRPr="0042200B" w:rsidRDefault="0042200B" w:rsidP="00DB65C0">
      <w:pPr>
        <w:pStyle w:val="NormalWeb"/>
        <w:rPr>
          <w:rFonts w:ascii="Helvetica" w:hAnsi="Helvetica" w:cs="Helvetica"/>
          <w:b/>
          <w:color w:val="030A13"/>
          <w:sz w:val="21"/>
          <w:szCs w:val="21"/>
        </w:rPr>
      </w:pPr>
      <w:r w:rsidRPr="0042200B">
        <w:rPr>
          <w:rFonts w:ascii="Helvetica" w:hAnsi="Helvetica" w:cs="Helvetica"/>
          <w:b/>
          <w:color w:val="030A13"/>
          <w:sz w:val="21"/>
          <w:szCs w:val="21"/>
        </w:rPr>
        <w:t>Dispatch:</w:t>
      </w:r>
    </w:p>
    <w:p w:rsidR="004A5700" w:rsidRDefault="0042200B" w:rsidP="00DB65C0">
      <w:pPr>
        <w:pStyle w:val="NormalWeb"/>
        <w:rPr>
          <w:rFonts w:ascii="Helvetica" w:hAnsi="Helvetica" w:cs="Helvetica"/>
          <w:b/>
          <w:color w:val="030A13"/>
          <w:sz w:val="21"/>
          <w:szCs w:val="21"/>
          <w:u w:val="single"/>
        </w:rPr>
      </w:pPr>
      <w:r>
        <w:rPr>
          <w:rFonts w:ascii="Helvetica" w:hAnsi="Helvetica" w:cs="Helvetica"/>
          <w:b/>
          <w:color w:val="030A13"/>
          <w:sz w:val="21"/>
          <w:szCs w:val="21"/>
          <w:u w:val="single"/>
        </w:rPr>
        <w:t xml:space="preserve">Maine’s </w:t>
      </w:r>
      <w:r w:rsidR="004A5700" w:rsidRPr="004A5700">
        <w:rPr>
          <w:rFonts w:ascii="Helvetica" w:hAnsi="Helvetica" w:cs="Helvetica"/>
          <w:b/>
          <w:color w:val="030A13"/>
          <w:sz w:val="21"/>
          <w:szCs w:val="21"/>
          <w:u w:val="single"/>
        </w:rPr>
        <w:t>Public Preschool Programs and Section 504 of the Americans with Disabilities Act</w:t>
      </w:r>
    </w:p>
    <w:p w:rsidR="004A5700" w:rsidRDefault="004A5700" w:rsidP="00DB65C0">
      <w:pPr>
        <w:pStyle w:val="NormalWeb"/>
        <w:rPr>
          <w:rFonts w:ascii="Helvetica" w:hAnsi="Helvetica" w:cs="Helvetica"/>
          <w:b/>
          <w:color w:val="030A13"/>
          <w:sz w:val="21"/>
          <w:szCs w:val="21"/>
          <w:u w:val="single"/>
        </w:rPr>
      </w:pPr>
    </w:p>
    <w:p w:rsidR="00C274D1" w:rsidRDefault="004A5700" w:rsidP="00DB65C0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  <w:r>
        <w:rPr>
          <w:rFonts w:ascii="Helvetica" w:hAnsi="Helvetica" w:cs="Helvetica"/>
          <w:color w:val="030A13"/>
          <w:sz w:val="21"/>
          <w:szCs w:val="21"/>
        </w:rPr>
        <w:t xml:space="preserve">The following information is provided to ensure that </w:t>
      </w:r>
      <w:r w:rsidR="00632DBF">
        <w:rPr>
          <w:rFonts w:ascii="Helvetica" w:hAnsi="Helvetica" w:cs="Helvetica"/>
          <w:color w:val="030A13"/>
          <w:sz w:val="21"/>
          <w:szCs w:val="21"/>
        </w:rPr>
        <w:t xml:space="preserve">all </w:t>
      </w:r>
      <w:r>
        <w:rPr>
          <w:rFonts w:ascii="Helvetica" w:hAnsi="Helvetica" w:cs="Helvetica"/>
          <w:color w:val="030A13"/>
          <w:sz w:val="21"/>
          <w:szCs w:val="21"/>
        </w:rPr>
        <w:t xml:space="preserve">Maine school districts are aware that Section 504 applies to </w:t>
      </w:r>
      <w:r w:rsidRPr="00632DBF">
        <w:rPr>
          <w:rFonts w:ascii="Helvetica" w:hAnsi="Helvetica" w:cs="Helvetica"/>
          <w:b/>
          <w:color w:val="030A13"/>
          <w:sz w:val="21"/>
          <w:szCs w:val="21"/>
        </w:rPr>
        <w:t>public 4-year old programs</w:t>
      </w:r>
      <w:r>
        <w:rPr>
          <w:rFonts w:ascii="Helvetica" w:hAnsi="Helvetica" w:cs="Helvetica"/>
          <w:color w:val="030A13"/>
          <w:sz w:val="21"/>
          <w:szCs w:val="21"/>
        </w:rPr>
        <w:t xml:space="preserve">.  If districts are in partnership with Head Start programs, both entities are responsible for adhering to the requirements of this law.  </w:t>
      </w:r>
      <w:r w:rsidR="00600520" w:rsidRPr="0042200B">
        <w:rPr>
          <w:rFonts w:ascii="Helvetica" w:hAnsi="Helvetica" w:cs="Helvetica"/>
          <w:i/>
          <w:color w:val="030A13"/>
          <w:sz w:val="21"/>
          <w:szCs w:val="21"/>
        </w:rPr>
        <w:t>Section 504 does not fall under the jurisdiction of Child Development Services (CDS)</w:t>
      </w:r>
      <w:r w:rsidR="00600520">
        <w:rPr>
          <w:rFonts w:ascii="Helvetica" w:hAnsi="Helvetica" w:cs="Helvetica"/>
          <w:color w:val="030A13"/>
          <w:sz w:val="21"/>
          <w:szCs w:val="21"/>
        </w:rPr>
        <w:t xml:space="preserve">.   </w:t>
      </w:r>
      <w:r w:rsidR="00134C64">
        <w:rPr>
          <w:rFonts w:ascii="Helvetica" w:hAnsi="Helvetica" w:cs="Helvetica"/>
          <w:color w:val="030A13"/>
          <w:sz w:val="21"/>
          <w:szCs w:val="21"/>
        </w:rPr>
        <w:t>The Office of Civil Rights (</w:t>
      </w:r>
      <w:r w:rsidR="00DB65C0">
        <w:rPr>
          <w:rFonts w:ascii="Helvetica" w:hAnsi="Helvetica" w:cs="Helvetica"/>
          <w:color w:val="030A13"/>
          <w:sz w:val="21"/>
          <w:szCs w:val="21"/>
        </w:rPr>
        <w:t>OCR</w:t>
      </w:r>
      <w:r w:rsidR="00134C64">
        <w:rPr>
          <w:rFonts w:ascii="Helvetica" w:hAnsi="Helvetica" w:cs="Helvetica"/>
          <w:color w:val="030A13"/>
          <w:sz w:val="21"/>
          <w:szCs w:val="21"/>
        </w:rPr>
        <w:t>)</w:t>
      </w:r>
      <w:r w:rsidR="00DB65C0">
        <w:rPr>
          <w:rFonts w:ascii="Helvetica" w:hAnsi="Helvetica" w:cs="Helvetica"/>
          <w:color w:val="030A13"/>
          <w:sz w:val="21"/>
          <w:szCs w:val="21"/>
        </w:rPr>
        <w:t xml:space="preserve"> enforces Section 504 in progra</w:t>
      </w:r>
      <w:r w:rsidR="00600520">
        <w:rPr>
          <w:rFonts w:ascii="Helvetica" w:hAnsi="Helvetica" w:cs="Helvetica"/>
          <w:color w:val="030A13"/>
          <w:sz w:val="21"/>
          <w:szCs w:val="21"/>
        </w:rPr>
        <w:t>ms and activities that receive f</w:t>
      </w:r>
      <w:r w:rsidR="00DB65C0">
        <w:rPr>
          <w:rFonts w:ascii="Helvetica" w:hAnsi="Helvetica" w:cs="Helvetica"/>
          <w:color w:val="030A13"/>
          <w:sz w:val="21"/>
          <w:szCs w:val="21"/>
        </w:rPr>
        <w:t>ederal financial assistance from</w:t>
      </w:r>
      <w:r w:rsidR="00134C64">
        <w:rPr>
          <w:rFonts w:ascii="Helvetica" w:hAnsi="Helvetica" w:cs="Helvetica"/>
          <w:color w:val="030A13"/>
          <w:sz w:val="21"/>
          <w:szCs w:val="21"/>
        </w:rPr>
        <w:t xml:space="preserve"> the US Department of</w:t>
      </w:r>
      <w:r w:rsidR="00DB65C0">
        <w:rPr>
          <w:rFonts w:ascii="Helvetica" w:hAnsi="Helvetica" w:cs="Helvetica"/>
          <w:color w:val="030A13"/>
          <w:sz w:val="21"/>
          <w:szCs w:val="21"/>
        </w:rPr>
        <w:t xml:space="preserve"> </w:t>
      </w:r>
      <w:r w:rsidR="00134C64">
        <w:rPr>
          <w:rFonts w:ascii="Helvetica" w:hAnsi="Helvetica" w:cs="Helvetica"/>
          <w:color w:val="030A13"/>
          <w:sz w:val="21"/>
          <w:szCs w:val="21"/>
        </w:rPr>
        <w:t>Education (ED) and the US Department of Health &amp; Human Services (DHHS)</w:t>
      </w:r>
      <w:r w:rsidR="00DB65C0">
        <w:rPr>
          <w:rFonts w:ascii="Helvetica" w:hAnsi="Helvetica" w:cs="Helvetica"/>
          <w:color w:val="030A13"/>
          <w:sz w:val="21"/>
          <w:szCs w:val="21"/>
        </w:rPr>
        <w:t xml:space="preserve">. </w:t>
      </w:r>
    </w:p>
    <w:p w:rsidR="00C274D1" w:rsidRDefault="00C274D1" w:rsidP="00C274D1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  <w:r w:rsidRPr="00600520">
        <w:rPr>
          <w:rFonts w:ascii="Helvetica" w:hAnsi="Helvetica" w:cs="Helvetica"/>
          <w:b/>
          <w:color w:val="030A13"/>
          <w:sz w:val="21"/>
          <w:szCs w:val="21"/>
        </w:rPr>
        <w:t xml:space="preserve">To be protected under Section 504, a student must be determined to: (1) have a physical or mental impairment that substantially limits one or more major life activities; or (2) have a record of such </w:t>
      </w:r>
      <w:r w:rsidR="00600520" w:rsidRPr="00600520">
        <w:rPr>
          <w:rFonts w:ascii="Helvetica" w:hAnsi="Helvetica" w:cs="Helvetica"/>
          <w:b/>
          <w:color w:val="030A13"/>
          <w:sz w:val="21"/>
          <w:szCs w:val="21"/>
        </w:rPr>
        <w:t>impairment</w:t>
      </w:r>
      <w:r w:rsidRPr="00600520">
        <w:rPr>
          <w:rFonts w:ascii="Helvetica" w:hAnsi="Helvetica" w:cs="Helvetica"/>
          <w:b/>
          <w:color w:val="030A13"/>
          <w:sz w:val="21"/>
          <w:szCs w:val="21"/>
        </w:rPr>
        <w:t xml:space="preserve">; or (3) be regarded as having such </w:t>
      </w:r>
      <w:r w:rsidR="00600520" w:rsidRPr="00600520">
        <w:rPr>
          <w:rFonts w:ascii="Helvetica" w:hAnsi="Helvetica" w:cs="Helvetica"/>
          <w:b/>
          <w:color w:val="030A13"/>
          <w:sz w:val="21"/>
          <w:szCs w:val="21"/>
        </w:rPr>
        <w:t>impairment</w:t>
      </w:r>
      <w:r>
        <w:rPr>
          <w:rFonts w:ascii="Helvetica" w:hAnsi="Helvetica" w:cs="Helvetica"/>
          <w:color w:val="030A13"/>
          <w:sz w:val="21"/>
          <w:szCs w:val="21"/>
        </w:rPr>
        <w:t>. Section 504 requires that school districts</w:t>
      </w:r>
      <w:r w:rsidR="00600520">
        <w:rPr>
          <w:rFonts w:ascii="Helvetica" w:hAnsi="Helvetica" w:cs="Helvetica"/>
          <w:color w:val="030A13"/>
          <w:sz w:val="21"/>
          <w:szCs w:val="21"/>
        </w:rPr>
        <w:t xml:space="preserve"> and Head Start agencies</w:t>
      </w:r>
      <w:r>
        <w:rPr>
          <w:rFonts w:ascii="Helvetica" w:hAnsi="Helvetica" w:cs="Helvetica"/>
          <w:color w:val="030A13"/>
          <w:sz w:val="21"/>
          <w:szCs w:val="21"/>
        </w:rPr>
        <w:t xml:space="preserve"> provide a free appropriate public education (FAPE) to qualified students in their jurisdictions who have a physical or mental impairment that substantially limits one or more major life activities.</w:t>
      </w:r>
    </w:p>
    <w:p w:rsidR="00632DBF" w:rsidRDefault="006C7ABE" w:rsidP="006C7ABE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  <w:r>
        <w:rPr>
          <w:rFonts w:ascii="Helvetica" w:hAnsi="Helvetica" w:cs="Helvetica"/>
          <w:color w:val="030A13"/>
          <w:sz w:val="21"/>
          <w:szCs w:val="21"/>
        </w:rPr>
        <w:t>In the educational context, OCR has been given administrative authority to enforce Section 504. Section 504 is a Federal statute that may be enforced through the Department's administrative process or through the Federal court system. In addition, a person may at any time file a private lawsuit against a school district</w:t>
      </w:r>
      <w:r w:rsidR="00600520">
        <w:rPr>
          <w:rFonts w:ascii="Helvetica" w:hAnsi="Helvetica" w:cs="Helvetica"/>
          <w:color w:val="030A13"/>
          <w:sz w:val="21"/>
          <w:szCs w:val="21"/>
        </w:rPr>
        <w:t xml:space="preserve"> or Head Start agency</w:t>
      </w:r>
      <w:r>
        <w:rPr>
          <w:rFonts w:ascii="Helvetica" w:hAnsi="Helvetica" w:cs="Helvetica"/>
          <w:color w:val="030A13"/>
          <w:sz w:val="21"/>
          <w:szCs w:val="21"/>
        </w:rPr>
        <w:t>. </w:t>
      </w:r>
    </w:p>
    <w:p w:rsidR="00632DBF" w:rsidRDefault="00632DBF" w:rsidP="006C7ABE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  <w:r>
        <w:rPr>
          <w:rFonts w:ascii="Helvetica" w:hAnsi="Helvetica" w:cs="Helvetica"/>
          <w:color w:val="030A13"/>
          <w:sz w:val="21"/>
          <w:szCs w:val="21"/>
        </w:rPr>
        <w:t xml:space="preserve">For SAUs in partnership with Head Start, it is strongly recommended </w:t>
      </w:r>
      <w:r w:rsidR="009B379D">
        <w:rPr>
          <w:rFonts w:ascii="Helvetica" w:hAnsi="Helvetica" w:cs="Helvetica"/>
          <w:color w:val="030A13"/>
          <w:sz w:val="21"/>
          <w:szCs w:val="21"/>
        </w:rPr>
        <w:t xml:space="preserve">the two entities work </w:t>
      </w:r>
      <w:r>
        <w:rPr>
          <w:rFonts w:ascii="Helvetica" w:hAnsi="Helvetica" w:cs="Helvetica"/>
          <w:color w:val="030A13"/>
          <w:sz w:val="21"/>
          <w:szCs w:val="21"/>
        </w:rPr>
        <w:t xml:space="preserve">together </w:t>
      </w:r>
      <w:r w:rsidR="009B379D">
        <w:rPr>
          <w:rFonts w:ascii="Helvetica" w:hAnsi="Helvetica" w:cs="Helvetica"/>
          <w:color w:val="030A13"/>
          <w:sz w:val="21"/>
          <w:szCs w:val="21"/>
        </w:rPr>
        <w:t xml:space="preserve">to meet the needs of any student who may qualify for Section 504 accommodations </w:t>
      </w:r>
      <w:r>
        <w:rPr>
          <w:rFonts w:ascii="Helvetica" w:hAnsi="Helvetica" w:cs="Helvetica"/>
          <w:color w:val="030A13"/>
          <w:sz w:val="21"/>
          <w:szCs w:val="21"/>
        </w:rPr>
        <w:t>and that the details of the requirements are outlined in the annual Memorandum of Understanding</w:t>
      </w:r>
      <w:r w:rsidR="009B379D">
        <w:rPr>
          <w:rFonts w:ascii="Helvetica" w:hAnsi="Helvetica" w:cs="Helvetica"/>
          <w:color w:val="030A13"/>
          <w:sz w:val="21"/>
          <w:szCs w:val="21"/>
        </w:rPr>
        <w:t xml:space="preserve"> (MOU)</w:t>
      </w:r>
      <w:r>
        <w:rPr>
          <w:rFonts w:ascii="Helvetica" w:hAnsi="Helvetica" w:cs="Helvetica"/>
          <w:color w:val="030A13"/>
          <w:sz w:val="21"/>
          <w:szCs w:val="21"/>
        </w:rPr>
        <w:t xml:space="preserve"> between the school and the Head Start agency.</w:t>
      </w:r>
    </w:p>
    <w:p w:rsidR="00632DBF" w:rsidRDefault="00632DBF" w:rsidP="006C7ABE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</w:p>
    <w:p w:rsidR="00C274D1" w:rsidRDefault="006C7ABE" w:rsidP="006C7ABE">
      <w:pPr>
        <w:pStyle w:val="NormalWeb"/>
        <w:rPr>
          <w:rFonts w:ascii="Helvetica" w:hAnsi="Helvetica" w:cs="Helvetica"/>
          <w:color w:val="030A13"/>
          <w:sz w:val="21"/>
          <w:szCs w:val="21"/>
        </w:rPr>
      </w:pPr>
      <w:r>
        <w:rPr>
          <w:rFonts w:ascii="Helvetica" w:hAnsi="Helvetica" w:cs="Helvetica"/>
          <w:color w:val="030A13"/>
          <w:sz w:val="21"/>
          <w:szCs w:val="21"/>
        </w:rPr>
        <w:t xml:space="preserve"> </w:t>
      </w:r>
      <w:r w:rsidR="00C274D1">
        <w:rPr>
          <w:rFonts w:ascii="Helvetica" w:hAnsi="Helvetica" w:cs="Helvetica"/>
          <w:color w:val="030A13"/>
          <w:sz w:val="21"/>
          <w:szCs w:val="21"/>
        </w:rPr>
        <w:t>For a thorough explanation of Section 504, please refer to the following websites:</w:t>
      </w:r>
    </w:p>
    <w:p w:rsidR="00D30B4A" w:rsidRDefault="00986FFB">
      <w:r>
        <w:t>US Department of</w:t>
      </w:r>
      <w:r w:rsidR="000B6BF1">
        <w:t xml:space="preserve"> </w:t>
      </w:r>
      <w:r>
        <w:t xml:space="preserve">Education:   </w:t>
      </w:r>
      <w:hyperlink r:id="rId4" w:history="1">
        <w:r w:rsidR="00E505BD" w:rsidRPr="00A543E1">
          <w:rPr>
            <w:rStyle w:val="Hyperlink"/>
          </w:rPr>
          <w:t>http://www2.ed.gov/about/offices/list/ocr/504faq.html</w:t>
        </w:r>
      </w:hyperlink>
    </w:p>
    <w:p w:rsidR="00986FFB" w:rsidRDefault="00986FFB">
      <w:r>
        <w:t>US Department of</w:t>
      </w:r>
      <w:r w:rsidR="00600520">
        <w:t xml:space="preserve"> </w:t>
      </w:r>
      <w:r>
        <w:t>Health &amp; Human Services</w:t>
      </w:r>
      <w:hyperlink r:id="rId5" w:history="1">
        <w:r w:rsidRPr="00A543E1">
          <w:rPr>
            <w:rStyle w:val="Hyperlink"/>
          </w:rPr>
          <w:t>http://www.ada.gov/doj_hhs_ta/child_welfare_ta.html</w:t>
        </w:r>
      </w:hyperlink>
    </w:p>
    <w:p w:rsidR="005C0949" w:rsidRDefault="005C0949">
      <w:pPr>
        <w:rPr>
          <w:rFonts w:ascii="Helvetica" w:hAnsi="Helvetica" w:cs="Helvetica"/>
          <w:color w:val="030A13"/>
          <w:sz w:val="21"/>
          <w:szCs w:val="21"/>
        </w:rPr>
      </w:pPr>
    </w:p>
    <w:sectPr w:rsidR="005C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C0"/>
    <w:rsid w:val="00045111"/>
    <w:rsid w:val="000B6BF1"/>
    <w:rsid w:val="00134C64"/>
    <w:rsid w:val="0042200B"/>
    <w:rsid w:val="00436567"/>
    <w:rsid w:val="004A5700"/>
    <w:rsid w:val="005C0949"/>
    <w:rsid w:val="00600520"/>
    <w:rsid w:val="00632DBF"/>
    <w:rsid w:val="00656C8F"/>
    <w:rsid w:val="006C7ABE"/>
    <w:rsid w:val="007F7605"/>
    <w:rsid w:val="00986FFB"/>
    <w:rsid w:val="009B379D"/>
    <w:rsid w:val="00A151A0"/>
    <w:rsid w:val="00A27888"/>
    <w:rsid w:val="00A60D14"/>
    <w:rsid w:val="00C274D1"/>
    <w:rsid w:val="00C73332"/>
    <w:rsid w:val="00DB65C0"/>
    <w:rsid w:val="00E505BD"/>
    <w:rsid w:val="00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2E259-F38E-4AFC-A744-10077298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5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0D14"/>
    <w:rPr>
      <w:b/>
      <w:bCs/>
    </w:rPr>
  </w:style>
  <w:style w:type="character" w:styleId="Hyperlink">
    <w:name w:val="Hyperlink"/>
    <w:basedOn w:val="DefaultParagraphFont"/>
    <w:uiPriority w:val="99"/>
    <w:unhideWhenUsed/>
    <w:rsid w:val="00E50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5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a.gov/doj_hhs_ta/child_welfare_ta.html" TargetMode="External"/><Relationship Id="rId4" Type="http://schemas.openxmlformats.org/officeDocument/2006/relationships/hyperlink" Target="http://www2.ed.gov/about/offices/list/ocr/504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Susan D</dc:creator>
  <cp:lastModifiedBy>Reed, Susan D</cp:lastModifiedBy>
  <cp:revision>2</cp:revision>
  <dcterms:created xsi:type="dcterms:W3CDTF">2016-03-09T21:19:00Z</dcterms:created>
  <dcterms:modified xsi:type="dcterms:W3CDTF">2016-03-09T21:19:00Z</dcterms:modified>
</cp:coreProperties>
</file>