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44182" w14:textId="26D45F55" w:rsidR="0076010C" w:rsidRPr="00F01968" w:rsidRDefault="00F01968" w:rsidP="00F01968">
      <w:pPr>
        <w:pStyle w:val="Heading1"/>
        <w:rPr>
          <w:b/>
        </w:rPr>
      </w:pPr>
      <w:r w:rsidRPr="00F01968">
        <w:rPr>
          <w:b/>
        </w:rPr>
        <w:t>Proposed Revocation of Maine</w:t>
      </w:r>
      <w:r>
        <w:rPr>
          <w:b/>
        </w:rPr>
        <w:t>’s</w:t>
      </w:r>
      <w:r w:rsidRPr="00F01968">
        <w:rPr>
          <w:b/>
        </w:rPr>
        <w:t xml:space="preserve"> Part C’s Family Participation Fee Policy</w:t>
      </w:r>
    </w:p>
    <w:p w14:paraId="1A71E88D" w14:textId="77777777" w:rsidR="0076010C" w:rsidRDefault="0076010C" w:rsidP="0076010C">
      <w:pPr>
        <w:jc w:val="center"/>
        <w:rPr>
          <w:b/>
          <w:u w:val="single"/>
        </w:rPr>
      </w:pPr>
      <w:bookmarkStart w:id="0" w:name="_GoBack"/>
      <w:bookmarkEnd w:id="0"/>
    </w:p>
    <w:p w14:paraId="50C1E624" w14:textId="77777777" w:rsidR="008B74FD" w:rsidRDefault="008B74FD" w:rsidP="0076010C">
      <w:pPr>
        <w:rPr>
          <w:b/>
        </w:rPr>
      </w:pPr>
    </w:p>
    <w:p w14:paraId="1EF33846" w14:textId="0D88B62F" w:rsidR="0076010C" w:rsidRPr="009C769D" w:rsidRDefault="0076010C" w:rsidP="0076010C">
      <w:pPr>
        <w:rPr>
          <w:b/>
          <w:u w:val="single"/>
        </w:rPr>
      </w:pPr>
      <w:r w:rsidRPr="009C769D">
        <w:rPr>
          <w:b/>
          <w:u w:val="single"/>
        </w:rPr>
        <w:t>Background:</w:t>
      </w:r>
    </w:p>
    <w:p w14:paraId="73C2A11B" w14:textId="4B4542E8" w:rsidR="0076010C" w:rsidRDefault="0076010C" w:rsidP="0076010C">
      <w:pPr>
        <w:pBdr>
          <w:bottom w:val="single" w:sz="12" w:space="1" w:color="auto"/>
        </w:pBdr>
      </w:pPr>
      <w:r>
        <w:t>Maine’s Part C Program</w:t>
      </w:r>
      <w:r w:rsidR="009C769D">
        <w:t>, which provides special education and related services to infants and toddlers with disabilities and is implemented by Child Development Services (CDS</w:t>
      </w:r>
      <w:proofErr w:type="gramStart"/>
      <w:r w:rsidR="009C769D">
        <w:t xml:space="preserve">), </w:t>
      </w:r>
      <w:r>
        <w:t xml:space="preserve"> had</w:t>
      </w:r>
      <w:proofErr w:type="gramEnd"/>
      <w:r>
        <w:t xml:space="preserve"> developed, solicited public feedback, and subsequently adopted a Family</w:t>
      </w:r>
      <w:r w:rsidR="005638F2">
        <w:t xml:space="preserve"> Participation Fee (F</w:t>
      </w:r>
      <w:r>
        <w:t>PF) policy. Due to the departure of its Data Manager, Deputy Director, and Finance Director, in rapid successi</w:t>
      </w:r>
      <w:r w:rsidR="005638F2">
        <w:t>on, the implementation of the F</w:t>
      </w:r>
      <w:r>
        <w:t>PF was delayed. Contemporaneous with that delay, Maine’s Interagency Coordinating Council (ICC) was reinvigorated with new members. The newly configured ICC was presented with th</w:t>
      </w:r>
      <w:r w:rsidR="005638F2">
        <w:t>e proposed implementation of F</w:t>
      </w:r>
      <w:r>
        <w:t>PF, as well as data related to its implementation.</w:t>
      </w:r>
      <w:r w:rsidR="009C769D">
        <w:t xml:space="preserve"> Additional feedback was also solicited from other stakeholders.</w:t>
      </w:r>
    </w:p>
    <w:p w14:paraId="0AC1A9EE" w14:textId="5A5C9525" w:rsidR="0044741E" w:rsidRDefault="0044741E" w:rsidP="0076010C">
      <w:pPr>
        <w:pBdr>
          <w:bottom w:val="single" w:sz="12" w:space="1" w:color="auto"/>
        </w:pBdr>
      </w:pPr>
      <w:r w:rsidRPr="0044741E">
        <w:t>Based on this unequivocal feedback from the ICC and other stakeholders, Maine’s Part C Program is now p</w:t>
      </w:r>
      <w:r w:rsidR="005638F2">
        <w:t>roposing to not implement the F</w:t>
      </w:r>
      <w:r w:rsidRPr="0044741E">
        <w:t>PF. This decision is also supported by work that Maine’s Part C Program has done with the ITCA Fiscal Cohort and the identification of additional sources of revenue to support Part C services.</w:t>
      </w:r>
    </w:p>
    <w:p w14:paraId="2894EDCA" w14:textId="465AD982" w:rsidR="0076010C" w:rsidRDefault="0076010C" w:rsidP="0076010C">
      <w:r>
        <w:t>The following data was shared with the ICC</w:t>
      </w:r>
      <w:r w:rsidR="00F01968">
        <w:t xml:space="preserve"> and other stakeholders</w:t>
      </w:r>
      <w:r>
        <w:t>:</w:t>
      </w:r>
    </w:p>
    <w:p w14:paraId="690C0780" w14:textId="77777777" w:rsidR="008B74FD" w:rsidRDefault="008B74FD" w:rsidP="00705E78">
      <w:pPr>
        <w:rPr>
          <w:b/>
          <w:u w:val="single"/>
        </w:rPr>
      </w:pPr>
    </w:p>
    <w:p w14:paraId="0371922F" w14:textId="3434CF93" w:rsidR="00705E78" w:rsidRPr="00AB457A" w:rsidRDefault="00705E78" w:rsidP="00705E78">
      <w:pPr>
        <w:rPr>
          <w:b/>
          <w:u w:val="single"/>
        </w:rPr>
      </w:pPr>
      <w:r w:rsidRPr="00AB457A">
        <w:rPr>
          <w:b/>
          <w:u w:val="single"/>
        </w:rPr>
        <w:t>Factors affecting families to whom the fee would apply</w:t>
      </w:r>
    </w:p>
    <w:p w14:paraId="3701CED8" w14:textId="451B3706" w:rsidR="00705E78" w:rsidRDefault="00705E78" w:rsidP="005638F2">
      <w:pPr>
        <w:ind w:left="720" w:hanging="720"/>
      </w:pPr>
      <w:r>
        <w:t>•</w:t>
      </w:r>
      <w:r>
        <w:tab/>
        <w:t>Household earning less than 200% F</w:t>
      </w:r>
      <w:r w:rsidR="005638F2">
        <w:t xml:space="preserve">ederal </w:t>
      </w:r>
      <w:r>
        <w:t>P</w:t>
      </w:r>
      <w:r w:rsidR="005638F2">
        <w:t xml:space="preserve">overty </w:t>
      </w:r>
      <w:r>
        <w:t>L</w:t>
      </w:r>
      <w:r w:rsidR="005638F2">
        <w:t>evel</w:t>
      </w:r>
      <w:r>
        <w:t xml:space="preserve"> or receiving other state benefits would be exempt</w:t>
      </w:r>
    </w:p>
    <w:p w14:paraId="5B691008" w14:textId="77777777" w:rsidR="00705E78" w:rsidRDefault="00705E78" w:rsidP="00705E78">
      <w:r>
        <w:t>•</w:t>
      </w:r>
      <w:r>
        <w:tab/>
        <w:t>Maine’s median household income is currently $52,900</w:t>
      </w:r>
    </w:p>
    <w:p w14:paraId="6898DB65" w14:textId="1046644E" w:rsidR="00705E78" w:rsidRDefault="00705E78" w:rsidP="00705E78">
      <w:r>
        <w:t>•</w:t>
      </w:r>
      <w:r>
        <w:tab/>
        <w:t xml:space="preserve">200% of </w:t>
      </w:r>
      <w:proofErr w:type="spellStart"/>
      <w:r>
        <w:t>F</w:t>
      </w:r>
      <w:r w:rsidR="005638F2">
        <w:t>edreral</w:t>
      </w:r>
      <w:proofErr w:type="spellEnd"/>
      <w:r w:rsidR="005638F2">
        <w:t xml:space="preserve"> </w:t>
      </w:r>
      <w:r>
        <w:t>P</w:t>
      </w:r>
      <w:r w:rsidR="005638F2">
        <w:t xml:space="preserve">overty </w:t>
      </w:r>
      <w:r>
        <w:t>L</w:t>
      </w:r>
      <w:r w:rsidR="005638F2">
        <w:t>evel</w:t>
      </w:r>
      <w:r>
        <w:t xml:space="preserve"> currently equals $50,200</w:t>
      </w:r>
    </w:p>
    <w:p w14:paraId="4B259F63" w14:textId="77777777" w:rsidR="00705E78" w:rsidRDefault="00705E78" w:rsidP="00705E78">
      <w:r>
        <w:t>•</w:t>
      </w:r>
      <w:r>
        <w:tab/>
        <w:t>13 of Maine’s 16 counties have a median household income of less than $52,000</w:t>
      </w:r>
    </w:p>
    <w:p w14:paraId="7D606FCE" w14:textId="6B73C803" w:rsidR="00705E78" w:rsidRDefault="00705E78" w:rsidP="00F01968">
      <w:pPr>
        <w:ind w:left="720" w:hanging="720"/>
      </w:pPr>
      <w:r>
        <w:t>•</w:t>
      </w:r>
      <w:r>
        <w:tab/>
        <w:t xml:space="preserve">49% of children with special healthcare needs have </w:t>
      </w:r>
      <w:proofErr w:type="spellStart"/>
      <w:r>
        <w:t>MaineCare</w:t>
      </w:r>
      <w:proofErr w:type="spellEnd"/>
      <w:r>
        <w:t xml:space="preserve"> coverage</w:t>
      </w:r>
      <w:r w:rsidR="0044741E">
        <w:t xml:space="preserve"> and are therefore not </w:t>
      </w:r>
      <w:r w:rsidR="005638F2">
        <w:t>subject to the F</w:t>
      </w:r>
      <w:r w:rsidR="0044741E">
        <w:t>PF</w:t>
      </w:r>
    </w:p>
    <w:p w14:paraId="77AE1FAE" w14:textId="276E78A9" w:rsidR="00705E78" w:rsidRDefault="00705E78" w:rsidP="00F01968">
      <w:pPr>
        <w:ind w:left="720" w:hanging="720"/>
      </w:pPr>
      <w:r>
        <w:t>•</w:t>
      </w:r>
      <w:r>
        <w:tab/>
        <w:t xml:space="preserve">In general, 44% of children in Maine have </w:t>
      </w:r>
      <w:proofErr w:type="spellStart"/>
      <w:r>
        <w:t>MaineCare</w:t>
      </w:r>
      <w:proofErr w:type="spellEnd"/>
      <w:r>
        <w:t xml:space="preserve"> coverage</w:t>
      </w:r>
      <w:r w:rsidR="0044741E">
        <w:t xml:space="preserve"> and are therefore not subject to </w:t>
      </w:r>
      <w:r w:rsidR="005638F2">
        <w:t>the FPF</w:t>
      </w:r>
    </w:p>
    <w:p w14:paraId="6E023B23" w14:textId="77777777" w:rsidR="00705E78" w:rsidRDefault="00705E78" w:rsidP="00705E78">
      <w:r>
        <w:t>•</w:t>
      </w:r>
      <w:r>
        <w:tab/>
        <w:t>46.5% of Maine children qualify for free/reduced lunch</w:t>
      </w:r>
    </w:p>
    <w:p w14:paraId="4F46C296" w14:textId="77777777" w:rsidR="008B74FD" w:rsidRDefault="008B74FD" w:rsidP="00705E78">
      <w:pPr>
        <w:rPr>
          <w:b/>
          <w:u w:val="single"/>
        </w:rPr>
      </w:pPr>
    </w:p>
    <w:p w14:paraId="6EE1C80A" w14:textId="77777777" w:rsidR="008B74FD" w:rsidRDefault="008B74FD" w:rsidP="00705E78">
      <w:pPr>
        <w:rPr>
          <w:b/>
          <w:u w:val="single"/>
        </w:rPr>
      </w:pPr>
    </w:p>
    <w:p w14:paraId="4F8B0BD9" w14:textId="68A3CC4E" w:rsidR="0076010C" w:rsidRPr="008B74FD" w:rsidRDefault="00705E78" w:rsidP="00705E78">
      <w:pPr>
        <w:rPr>
          <w:b/>
          <w:u w:val="single"/>
        </w:rPr>
      </w:pPr>
      <w:r w:rsidRPr="00AB457A">
        <w:rPr>
          <w:b/>
          <w:u w:val="single"/>
        </w:rPr>
        <w:t>Costs of administering FCPF</w:t>
      </w:r>
      <w:r>
        <w:tab/>
      </w:r>
    </w:p>
    <w:tbl>
      <w:tblPr>
        <w:tblStyle w:val="TableGrid"/>
        <w:tblW w:w="0" w:type="auto"/>
        <w:tblLook w:val="04A0" w:firstRow="1" w:lastRow="0" w:firstColumn="1" w:lastColumn="0" w:noHBand="0" w:noVBand="1"/>
      </w:tblPr>
      <w:tblGrid>
        <w:gridCol w:w="3955"/>
        <w:gridCol w:w="1800"/>
      </w:tblGrid>
      <w:tr w:rsidR="0044741E" w14:paraId="328E00BE" w14:textId="77777777" w:rsidTr="00F01968">
        <w:tc>
          <w:tcPr>
            <w:tcW w:w="3955" w:type="dxa"/>
            <w:shd w:val="clear" w:color="auto" w:fill="auto"/>
          </w:tcPr>
          <w:p w14:paraId="6D2F3536" w14:textId="1EBD5045" w:rsidR="0044741E" w:rsidRDefault="0044741E" w:rsidP="0076010C">
            <w:r>
              <w:t xml:space="preserve">Annual postage </w:t>
            </w:r>
          </w:p>
        </w:tc>
        <w:tc>
          <w:tcPr>
            <w:tcW w:w="1800" w:type="dxa"/>
            <w:shd w:val="clear" w:color="auto" w:fill="auto"/>
          </w:tcPr>
          <w:p w14:paraId="47195992" w14:textId="3EA7C4B9" w:rsidR="0044741E" w:rsidRDefault="0044741E" w:rsidP="0076010C">
            <w:r>
              <w:t xml:space="preserve">  $5,500</w:t>
            </w:r>
          </w:p>
        </w:tc>
      </w:tr>
      <w:tr w:rsidR="0044741E" w14:paraId="57970A09" w14:textId="77777777" w:rsidTr="00F01968">
        <w:tc>
          <w:tcPr>
            <w:tcW w:w="3955" w:type="dxa"/>
            <w:shd w:val="clear" w:color="auto" w:fill="auto"/>
          </w:tcPr>
          <w:p w14:paraId="0CBF568A" w14:textId="4DF1ECE7" w:rsidR="0044741E" w:rsidRDefault="0044741E" w:rsidP="0076010C">
            <w:r>
              <w:t>A</w:t>
            </w:r>
            <w:r w:rsidR="009C769D">
              <w:t>nnual printing, envelopes, pape</w:t>
            </w:r>
            <w:r>
              <w:t>rs, etc.</w:t>
            </w:r>
          </w:p>
        </w:tc>
        <w:tc>
          <w:tcPr>
            <w:tcW w:w="1800" w:type="dxa"/>
            <w:shd w:val="clear" w:color="auto" w:fill="auto"/>
          </w:tcPr>
          <w:p w14:paraId="2367939F" w14:textId="4713B427" w:rsidR="0044741E" w:rsidRDefault="0044741E" w:rsidP="0076010C">
            <w:r>
              <w:t xml:space="preserve">     $800</w:t>
            </w:r>
          </w:p>
        </w:tc>
      </w:tr>
      <w:tr w:rsidR="0044741E" w14:paraId="761EC604" w14:textId="77777777" w:rsidTr="00F01968">
        <w:tc>
          <w:tcPr>
            <w:tcW w:w="3955" w:type="dxa"/>
            <w:shd w:val="clear" w:color="auto" w:fill="auto"/>
          </w:tcPr>
          <w:p w14:paraId="5868DBDA" w14:textId="6B1D8125" w:rsidR="0044741E" w:rsidRDefault="009C769D" w:rsidP="0076010C">
            <w:r>
              <w:t>1.0 FTE to administer F</w:t>
            </w:r>
            <w:r w:rsidR="0044741E">
              <w:t>PF</w:t>
            </w:r>
          </w:p>
        </w:tc>
        <w:tc>
          <w:tcPr>
            <w:tcW w:w="1800" w:type="dxa"/>
            <w:shd w:val="clear" w:color="auto" w:fill="auto"/>
          </w:tcPr>
          <w:p w14:paraId="49C71934" w14:textId="3130926F" w:rsidR="0044741E" w:rsidRDefault="0044741E" w:rsidP="0076010C">
            <w:r>
              <w:t>$45,000</w:t>
            </w:r>
          </w:p>
        </w:tc>
      </w:tr>
      <w:tr w:rsidR="0044741E" w14:paraId="1BEB1540" w14:textId="77777777" w:rsidTr="00F01968">
        <w:tc>
          <w:tcPr>
            <w:tcW w:w="3955" w:type="dxa"/>
            <w:shd w:val="clear" w:color="auto" w:fill="auto"/>
          </w:tcPr>
          <w:p w14:paraId="159F7766" w14:textId="6995EAAA" w:rsidR="0044741E" w:rsidRDefault="008B74FD" w:rsidP="0076010C">
            <w:r>
              <w:t>Estimated annual cost</w:t>
            </w:r>
          </w:p>
        </w:tc>
        <w:tc>
          <w:tcPr>
            <w:tcW w:w="1800" w:type="dxa"/>
            <w:shd w:val="clear" w:color="auto" w:fill="auto"/>
          </w:tcPr>
          <w:p w14:paraId="21B445EB" w14:textId="1E8296C4" w:rsidR="0044741E" w:rsidRDefault="008B74FD" w:rsidP="0076010C">
            <w:r>
              <w:t>$51,300</w:t>
            </w:r>
          </w:p>
        </w:tc>
      </w:tr>
      <w:tr w:rsidR="0044741E" w14:paraId="4919A4E4" w14:textId="77777777" w:rsidTr="00F01968">
        <w:tc>
          <w:tcPr>
            <w:tcW w:w="3955" w:type="dxa"/>
            <w:shd w:val="clear" w:color="auto" w:fill="auto"/>
          </w:tcPr>
          <w:p w14:paraId="3B33AA16" w14:textId="6F5514D3" w:rsidR="0044741E" w:rsidRDefault="00A722F1" w:rsidP="0076010C">
            <w:r>
              <w:lastRenderedPageBreak/>
              <w:t>Estimated annual gross revenue ($25/month from 490 families with a 90% success rate</w:t>
            </w:r>
            <w:r w:rsidR="008B74FD">
              <w:t>)</w:t>
            </w:r>
          </w:p>
        </w:tc>
        <w:tc>
          <w:tcPr>
            <w:tcW w:w="1800" w:type="dxa"/>
            <w:shd w:val="clear" w:color="auto" w:fill="auto"/>
          </w:tcPr>
          <w:p w14:paraId="5A472D99" w14:textId="77777777" w:rsidR="0044741E" w:rsidRDefault="0044741E" w:rsidP="0076010C"/>
          <w:p w14:paraId="4810D71F" w14:textId="75A85A45" w:rsidR="00A722F1" w:rsidRDefault="00A722F1" w:rsidP="0076010C">
            <w:r>
              <w:t>$132,300</w:t>
            </w:r>
          </w:p>
        </w:tc>
      </w:tr>
      <w:tr w:rsidR="0044741E" w14:paraId="5A6CAB61" w14:textId="77777777" w:rsidTr="00F01968">
        <w:tc>
          <w:tcPr>
            <w:tcW w:w="3955" w:type="dxa"/>
            <w:shd w:val="clear" w:color="auto" w:fill="auto"/>
          </w:tcPr>
          <w:p w14:paraId="77D7967E" w14:textId="13B23B3E" w:rsidR="0044741E" w:rsidRDefault="00A722F1" w:rsidP="0076010C">
            <w:r>
              <w:t>Estimated annual cost of administration</w:t>
            </w:r>
          </w:p>
        </w:tc>
        <w:tc>
          <w:tcPr>
            <w:tcW w:w="1800" w:type="dxa"/>
            <w:shd w:val="clear" w:color="auto" w:fill="auto"/>
          </w:tcPr>
          <w:p w14:paraId="24B54D8C" w14:textId="4A245C95" w:rsidR="0044741E" w:rsidRDefault="00A722F1" w:rsidP="0076010C">
            <w:r>
              <w:t xml:space="preserve">   $51,300</w:t>
            </w:r>
          </w:p>
        </w:tc>
      </w:tr>
      <w:tr w:rsidR="00A722F1" w14:paraId="1C94EAC3" w14:textId="77777777" w:rsidTr="0044741E">
        <w:tc>
          <w:tcPr>
            <w:tcW w:w="3955" w:type="dxa"/>
            <w:shd w:val="clear" w:color="auto" w:fill="auto"/>
          </w:tcPr>
          <w:p w14:paraId="64793E8A" w14:textId="68CBE074" w:rsidR="00A722F1" w:rsidRDefault="008B74FD" w:rsidP="0076010C">
            <w:r>
              <w:t>Estimated annual net revenue to CDS</w:t>
            </w:r>
          </w:p>
        </w:tc>
        <w:tc>
          <w:tcPr>
            <w:tcW w:w="1800" w:type="dxa"/>
            <w:shd w:val="clear" w:color="auto" w:fill="auto"/>
          </w:tcPr>
          <w:p w14:paraId="1A6129FF" w14:textId="0C457821" w:rsidR="00A722F1" w:rsidRDefault="008B74FD" w:rsidP="0076010C">
            <w:r>
              <w:t xml:space="preserve">   $81,000</w:t>
            </w:r>
          </w:p>
        </w:tc>
      </w:tr>
    </w:tbl>
    <w:p w14:paraId="24525222" w14:textId="77777777" w:rsidR="0076010C" w:rsidRDefault="0076010C" w:rsidP="0076010C"/>
    <w:p w14:paraId="0525B514" w14:textId="77777777" w:rsidR="00705E78" w:rsidRPr="00AB457A" w:rsidRDefault="00705E78" w:rsidP="00705E78">
      <w:pPr>
        <w:rPr>
          <w:b/>
          <w:u w:val="single"/>
        </w:rPr>
      </w:pPr>
      <w:r w:rsidRPr="00AB457A">
        <w:rPr>
          <w:b/>
          <w:u w:val="single"/>
        </w:rPr>
        <w:t>Intangibles/Unknowns</w:t>
      </w:r>
    </w:p>
    <w:p w14:paraId="12A061C3" w14:textId="77777777" w:rsidR="008F0D3A" w:rsidRDefault="008F0D3A" w:rsidP="00705E78"/>
    <w:p w14:paraId="2DD330BC" w14:textId="77777777" w:rsidR="00705E78" w:rsidRDefault="00705E78" w:rsidP="00705E78">
      <w:r>
        <w:t>Pros/Strengths</w:t>
      </w:r>
    </w:p>
    <w:p w14:paraId="1A016D4C" w14:textId="77777777" w:rsidR="00705E78" w:rsidRDefault="00705E78" w:rsidP="00705E78">
      <w:r>
        <w:t>•</w:t>
      </w:r>
      <w:r>
        <w:tab/>
        <w:t>Possible decrease in “no-shows” and cancellations of visits</w:t>
      </w:r>
    </w:p>
    <w:p w14:paraId="43CABDA6" w14:textId="77777777" w:rsidR="00705E78" w:rsidRDefault="00705E78" w:rsidP="00705E78">
      <w:r>
        <w:t>•</w:t>
      </w:r>
      <w:r>
        <w:tab/>
        <w:t>Possible increase in engagement during visits on the part of families</w:t>
      </w:r>
    </w:p>
    <w:p w14:paraId="53DA5641" w14:textId="77777777" w:rsidR="00705E78" w:rsidRDefault="00705E78" w:rsidP="00705E78">
      <w:r>
        <w:t>•</w:t>
      </w:r>
      <w:r>
        <w:tab/>
        <w:t>Possible increase in focus during visits on the part of providers</w:t>
      </w:r>
    </w:p>
    <w:p w14:paraId="7A2BEA5B" w14:textId="77777777" w:rsidR="00705E78" w:rsidRDefault="00705E78" w:rsidP="00705E78">
      <w:r>
        <w:t>•</w:t>
      </w:r>
      <w:r>
        <w:tab/>
        <w:t>Impact of additional revenues</w:t>
      </w:r>
    </w:p>
    <w:p w14:paraId="3E8A6757" w14:textId="77777777" w:rsidR="008B74FD" w:rsidRDefault="008B74FD" w:rsidP="00705E78"/>
    <w:p w14:paraId="531F3085" w14:textId="77777777" w:rsidR="00705E78" w:rsidRDefault="00705E78" w:rsidP="00705E78">
      <w:r>
        <w:t>Cons/Weaknesses/Concerns</w:t>
      </w:r>
    </w:p>
    <w:p w14:paraId="6E954F4F" w14:textId="77777777" w:rsidR="00705E78" w:rsidRDefault="00705E78" w:rsidP="00705E78">
      <w:r>
        <w:t>•</w:t>
      </w:r>
      <w:r>
        <w:tab/>
        <w:t>Pushback from staff, stakeholders, and families</w:t>
      </w:r>
    </w:p>
    <w:p w14:paraId="7110773E" w14:textId="77777777" w:rsidR="00705E78" w:rsidRDefault="00705E78" w:rsidP="00705E78">
      <w:r>
        <w:t>•</w:t>
      </w:r>
      <w:r>
        <w:tab/>
        <w:t>Decrease in number of children receiving necessary services</w:t>
      </w:r>
    </w:p>
    <w:p w14:paraId="1FBB74F2" w14:textId="77777777" w:rsidR="00705E78" w:rsidRDefault="00705E78" w:rsidP="00705E78">
      <w:r>
        <w:t>•</w:t>
      </w:r>
      <w:r>
        <w:tab/>
        <w:t>Consequences for non-payment</w:t>
      </w:r>
    </w:p>
    <w:p w14:paraId="75821F48" w14:textId="77777777" w:rsidR="00705E78" w:rsidRDefault="00705E78" w:rsidP="00705E78">
      <w:pPr>
        <w:ind w:left="720" w:hanging="720"/>
      </w:pPr>
      <w:r>
        <w:t>•</w:t>
      </w:r>
      <w:r>
        <w:tab/>
        <w:t>Potential human error in determining fee amount/applicability/changes over the course of service</w:t>
      </w:r>
    </w:p>
    <w:p w14:paraId="1BF71647" w14:textId="77777777" w:rsidR="00705E78" w:rsidRDefault="00705E78" w:rsidP="00705E78">
      <w:r>
        <w:t>•</w:t>
      </w:r>
      <w:r>
        <w:tab/>
        <w:t>Exceptional family circumstances</w:t>
      </w:r>
    </w:p>
    <w:p w14:paraId="711E64DA" w14:textId="77777777" w:rsidR="00705E78" w:rsidRDefault="00705E78" w:rsidP="00705E78">
      <w:pPr>
        <w:pBdr>
          <w:bottom w:val="single" w:sz="12" w:space="1" w:color="auto"/>
        </w:pBdr>
      </w:pPr>
      <w:r>
        <w:t>•</w:t>
      </w:r>
      <w:r>
        <w:tab/>
        <w:t>Would revenue be significant enough justify stressors of implementation?</w:t>
      </w:r>
    </w:p>
    <w:p w14:paraId="6AC2760B" w14:textId="77777777" w:rsidR="008B74FD" w:rsidRDefault="008B74FD" w:rsidP="0076010C"/>
    <w:p w14:paraId="1C4A7A76" w14:textId="5756044C" w:rsidR="00705E78" w:rsidRDefault="00705E78" w:rsidP="0076010C">
      <w:r>
        <w:t>The feedback the Maine’s Part C Program received from the ICC</w:t>
      </w:r>
      <w:r w:rsidR="00F01968">
        <w:t xml:space="preserve"> and other stakeholders </w:t>
      </w:r>
      <w:r>
        <w:t>included the following:</w:t>
      </w:r>
    </w:p>
    <w:p w14:paraId="7048B7DD" w14:textId="637C4196" w:rsidR="0076010C" w:rsidRDefault="0076010C" w:rsidP="0076010C">
      <w:r>
        <w:t>•</w:t>
      </w:r>
      <w:r w:rsidR="008F0D3A">
        <w:tab/>
        <w:t xml:space="preserve">Concern regarding </w:t>
      </w:r>
      <w:r w:rsidR="00705E78">
        <w:t>potential</w:t>
      </w:r>
      <w:r w:rsidR="008F0D3A">
        <w:t>ly</w:t>
      </w:r>
      <w:r w:rsidR="00705E78">
        <w:t xml:space="preserve"> impeding of delivery of services </w:t>
      </w:r>
      <w:r w:rsidR="00235317">
        <w:t xml:space="preserve">to </w:t>
      </w:r>
      <w:r>
        <w:t xml:space="preserve">families </w:t>
      </w:r>
    </w:p>
    <w:p w14:paraId="30C27F90" w14:textId="77777777" w:rsidR="0076010C" w:rsidRDefault="008F0D3A" w:rsidP="00705E78">
      <w:pPr>
        <w:ind w:left="720" w:hanging="720"/>
      </w:pPr>
      <w:r>
        <w:t>•</w:t>
      </w:r>
      <w:r>
        <w:tab/>
        <w:t xml:space="preserve">Concern that the </w:t>
      </w:r>
      <w:r w:rsidR="00705E78">
        <w:t>r</w:t>
      </w:r>
      <w:r w:rsidR="0076010C">
        <w:t xml:space="preserve">equired documentation </w:t>
      </w:r>
      <w:r>
        <w:t>would increase</w:t>
      </w:r>
      <w:r w:rsidR="00705E78">
        <w:t xml:space="preserve"> the </w:t>
      </w:r>
      <w:r w:rsidR="0076010C">
        <w:t>burden on families</w:t>
      </w:r>
      <w:r>
        <w:t xml:space="preserve"> and potentially discourage</w:t>
      </w:r>
      <w:r w:rsidR="00705E78">
        <w:t xml:space="preserve"> them from accessing services</w:t>
      </w:r>
    </w:p>
    <w:p w14:paraId="30A48EE8" w14:textId="77777777" w:rsidR="0076010C" w:rsidRDefault="008F0D3A" w:rsidP="00705E78">
      <w:pPr>
        <w:ind w:left="720" w:hanging="720"/>
      </w:pPr>
      <w:r>
        <w:t>•</w:t>
      </w:r>
      <w:r>
        <w:tab/>
        <w:t xml:space="preserve">Concern that the </w:t>
      </w:r>
      <w:r w:rsidR="0076010C">
        <w:t>fee polic</w:t>
      </w:r>
      <w:r w:rsidR="00705E78">
        <w:t>y is cumbersome, misleading,</w:t>
      </w:r>
      <w:r>
        <w:t xml:space="preserve"> too long and would</w:t>
      </w:r>
      <w:r w:rsidR="0076010C">
        <w:t xml:space="preserve"> be difficult for families to </w:t>
      </w:r>
      <w:r w:rsidR="00705E78">
        <w:t>understand</w:t>
      </w:r>
    </w:p>
    <w:p w14:paraId="340B1AB8" w14:textId="77777777" w:rsidR="0076010C" w:rsidRDefault="008F0D3A" w:rsidP="008F0D3A">
      <w:pPr>
        <w:ind w:left="720" w:hanging="720"/>
      </w:pPr>
      <w:r>
        <w:t>•</w:t>
      </w:r>
      <w:r>
        <w:tab/>
        <w:t>Concern that the return on investment</w:t>
      </w:r>
      <w:r w:rsidR="0076010C">
        <w:t xml:space="preserve"> will either n</w:t>
      </w:r>
      <w:r w:rsidR="00705E78">
        <w:t>ot be sign</w:t>
      </w:r>
      <w:r>
        <w:t>ificant enough or may even result in the loss of money</w:t>
      </w:r>
    </w:p>
    <w:p w14:paraId="290CE6C7" w14:textId="77777777" w:rsidR="0076010C" w:rsidRDefault="00705E78" w:rsidP="0076010C">
      <w:r>
        <w:lastRenderedPageBreak/>
        <w:t>•</w:t>
      </w:r>
      <w:r>
        <w:tab/>
        <w:t xml:space="preserve">Concern that the </w:t>
      </w:r>
      <w:r w:rsidR="00AB457A">
        <w:t>estimated cost will</w:t>
      </w:r>
      <w:r w:rsidR="0076010C">
        <w:t xml:space="preserve"> be more</w:t>
      </w:r>
      <w:r>
        <w:t xml:space="preserve"> than projected</w:t>
      </w:r>
    </w:p>
    <w:p w14:paraId="6EFE2347" w14:textId="77777777" w:rsidR="0076010C" w:rsidRDefault="008F0D3A" w:rsidP="00705E78">
      <w:pPr>
        <w:ind w:left="720" w:hanging="720"/>
      </w:pPr>
      <w:r>
        <w:t>•</w:t>
      </w:r>
      <w:r>
        <w:tab/>
        <w:t xml:space="preserve">Concern that a </w:t>
      </w:r>
      <w:r w:rsidR="00705E78">
        <w:t xml:space="preserve">success rate </w:t>
      </w:r>
      <w:r>
        <w:t xml:space="preserve">will be </w:t>
      </w:r>
      <w:r w:rsidR="0076010C">
        <w:t xml:space="preserve">lower than </w:t>
      </w:r>
      <w:r w:rsidR="00705E78">
        <w:t xml:space="preserve">the projected </w:t>
      </w:r>
      <w:r w:rsidR="0076010C">
        <w:t>90% as this policy may discourage families from fo</w:t>
      </w:r>
      <w:r w:rsidR="00705E78">
        <w:t>llowing through</w:t>
      </w:r>
    </w:p>
    <w:p w14:paraId="269C4378" w14:textId="77777777" w:rsidR="0076010C" w:rsidRDefault="0076010C" w:rsidP="0076010C"/>
    <w:p w14:paraId="53D522FE" w14:textId="77777777" w:rsidR="0096461E" w:rsidRDefault="0096461E" w:rsidP="0076010C">
      <w:r>
        <w:t>A summary statement was provided by the above stakeholders:</w:t>
      </w:r>
    </w:p>
    <w:p w14:paraId="32AC404B" w14:textId="6C9064FF" w:rsidR="0076010C" w:rsidRDefault="0076010C" w:rsidP="0076010C">
      <w:r>
        <w:t>Overall</w:t>
      </w:r>
      <w:r w:rsidR="009C769D">
        <w:t>, we feel the F</w:t>
      </w:r>
      <w:r w:rsidR="0096461E">
        <w:t xml:space="preserve">PF </w:t>
      </w:r>
      <w:r>
        <w:t xml:space="preserve">is a bad idea and adds another level of intimidation for families which in turn will be additional barriers to children who need early intervention services </w:t>
      </w:r>
      <w:proofErr w:type="gramStart"/>
      <w:r>
        <w:t>actually receiving</w:t>
      </w:r>
      <w:proofErr w:type="gramEnd"/>
      <w:r>
        <w:t xml:space="preserve"> them. </w:t>
      </w:r>
    </w:p>
    <w:p w14:paraId="152B44CE" w14:textId="77777777" w:rsidR="008F0D3A" w:rsidRDefault="0096461E" w:rsidP="0076010C">
      <w:pPr>
        <w:pBdr>
          <w:bottom w:val="single" w:sz="12" w:space="1" w:color="auto"/>
        </w:pBdr>
      </w:pPr>
      <w:r>
        <w:t>We understand CDS’ current financial hardship; however, we think that the cons of implementing the FCPF outweigh the pros.</w:t>
      </w:r>
    </w:p>
    <w:p w14:paraId="37FB5838" w14:textId="77777777" w:rsidR="008F0D3A" w:rsidRDefault="008F0D3A" w:rsidP="0076010C"/>
    <w:p w14:paraId="2E803938" w14:textId="4ED099DC" w:rsidR="00826233" w:rsidRPr="008F0D3A" w:rsidRDefault="00826233" w:rsidP="00826233">
      <w:r>
        <w:t>Maine’s Part C Program intends to revise its System of Payment policies by removing family fees. However, System of Payment policies will continue to include billing public and private insurance with parental consent and the payment of co-pays and deductibles. The sole cost that parents will incur will be the cost of insurance premiums.</w:t>
      </w:r>
      <w:r w:rsidR="009C769D">
        <w:t xml:space="preserve"> The System of Payment will continue to mandate CDS as the payor of last resort.</w:t>
      </w:r>
    </w:p>
    <w:sectPr w:rsidR="00826233" w:rsidRPr="008F0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7082F"/>
    <w:multiLevelType w:val="hybridMultilevel"/>
    <w:tmpl w:val="2E04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0C"/>
    <w:rsid w:val="00075CD8"/>
    <w:rsid w:val="00224AF4"/>
    <w:rsid w:val="00235317"/>
    <w:rsid w:val="0044741E"/>
    <w:rsid w:val="005638F2"/>
    <w:rsid w:val="00661E24"/>
    <w:rsid w:val="006F62B1"/>
    <w:rsid w:val="00705E78"/>
    <w:rsid w:val="0076010C"/>
    <w:rsid w:val="00826233"/>
    <w:rsid w:val="008B74FD"/>
    <w:rsid w:val="008F0D3A"/>
    <w:rsid w:val="0096461E"/>
    <w:rsid w:val="00971AAB"/>
    <w:rsid w:val="009C769D"/>
    <w:rsid w:val="009D4FE0"/>
    <w:rsid w:val="00A722F1"/>
    <w:rsid w:val="00AB457A"/>
    <w:rsid w:val="00AF1A9D"/>
    <w:rsid w:val="00C3081F"/>
    <w:rsid w:val="00E34DE4"/>
    <w:rsid w:val="00EC4F48"/>
    <w:rsid w:val="00F01968"/>
    <w:rsid w:val="00F122F6"/>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A9F0E"/>
  <w15:chartTrackingRefBased/>
  <w15:docId w15:val="{DB6D0B27-C19D-4161-AD63-553CDAF6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4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081F"/>
    <w:rPr>
      <w:sz w:val="16"/>
      <w:szCs w:val="16"/>
    </w:rPr>
  </w:style>
  <w:style w:type="paragraph" w:styleId="CommentText">
    <w:name w:val="annotation text"/>
    <w:basedOn w:val="Normal"/>
    <w:link w:val="CommentTextChar"/>
    <w:uiPriority w:val="99"/>
    <w:semiHidden/>
    <w:unhideWhenUsed/>
    <w:rsid w:val="00C3081F"/>
    <w:pPr>
      <w:spacing w:line="240" w:lineRule="auto"/>
    </w:pPr>
    <w:rPr>
      <w:sz w:val="20"/>
      <w:szCs w:val="20"/>
    </w:rPr>
  </w:style>
  <w:style w:type="character" w:customStyle="1" w:styleId="CommentTextChar">
    <w:name w:val="Comment Text Char"/>
    <w:basedOn w:val="DefaultParagraphFont"/>
    <w:link w:val="CommentText"/>
    <w:uiPriority w:val="99"/>
    <w:semiHidden/>
    <w:rsid w:val="00C3081F"/>
    <w:rPr>
      <w:sz w:val="20"/>
      <w:szCs w:val="20"/>
    </w:rPr>
  </w:style>
  <w:style w:type="paragraph" w:styleId="CommentSubject">
    <w:name w:val="annotation subject"/>
    <w:basedOn w:val="CommentText"/>
    <w:next w:val="CommentText"/>
    <w:link w:val="CommentSubjectChar"/>
    <w:uiPriority w:val="99"/>
    <w:semiHidden/>
    <w:unhideWhenUsed/>
    <w:rsid w:val="00C3081F"/>
    <w:rPr>
      <w:b/>
      <w:bCs/>
    </w:rPr>
  </w:style>
  <w:style w:type="character" w:customStyle="1" w:styleId="CommentSubjectChar">
    <w:name w:val="Comment Subject Char"/>
    <w:basedOn w:val="CommentTextChar"/>
    <w:link w:val="CommentSubject"/>
    <w:uiPriority w:val="99"/>
    <w:semiHidden/>
    <w:rsid w:val="00C3081F"/>
    <w:rPr>
      <w:b/>
      <w:bCs/>
      <w:sz w:val="20"/>
      <w:szCs w:val="20"/>
    </w:rPr>
  </w:style>
  <w:style w:type="paragraph" w:styleId="BalloonText">
    <w:name w:val="Balloon Text"/>
    <w:basedOn w:val="Normal"/>
    <w:link w:val="BalloonTextChar"/>
    <w:uiPriority w:val="99"/>
    <w:semiHidden/>
    <w:unhideWhenUsed/>
    <w:rsid w:val="00C30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81F"/>
    <w:rPr>
      <w:rFonts w:ascii="Segoe UI" w:hAnsi="Segoe UI" w:cs="Segoe UI"/>
      <w:sz w:val="18"/>
      <w:szCs w:val="18"/>
    </w:rPr>
  </w:style>
  <w:style w:type="character" w:customStyle="1" w:styleId="Heading1Char">
    <w:name w:val="Heading 1 Char"/>
    <w:basedOn w:val="DefaultParagraphFont"/>
    <w:link w:val="Heading1"/>
    <w:uiPriority w:val="9"/>
    <w:rsid w:val="0044741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4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Roy</dc:creator>
  <cp:keywords/>
  <dc:description/>
  <cp:lastModifiedBy>Fowler, Roy</cp:lastModifiedBy>
  <cp:revision>3</cp:revision>
  <dcterms:created xsi:type="dcterms:W3CDTF">2019-03-13T15:43:00Z</dcterms:created>
  <dcterms:modified xsi:type="dcterms:W3CDTF">2019-03-13T15:51:00Z</dcterms:modified>
</cp:coreProperties>
</file>