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hungono9ssk7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Visual &amp; Performing Arts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rPr>
          <w:rFonts w:ascii="Georgia" w:cs="Georgia" w:eastAsia="Georgia" w:hAnsi="Georgia"/>
        </w:rPr>
      </w:pPr>
      <w:bookmarkStart w:colFirst="0" w:colLast="0" w:name="_c2x1v2onw5k7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General Introduction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Convey the importance of the arts as a collective educational/human experience while maintaining the integrity of each discipline.  (Keep the separation of the arts within one introduction)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Clearly incorporate the guiding principles and their role within arts education (or identify where/how they are embedded within the standards)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Avoid language that seeks to “justify” arts education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Review introductions from other contents within the MLR’s, other state model introductions, and the NCAS model for the structure of an introduction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used, cite all research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Clarify that MLR is a guide, not a curriculum; the order is not prescriptive and not a checklist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Present the assumption that VPA is a required core subject, avoid defensive posturing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Acknowledge the interdisciplinary nature of Visual and Performing Arts and the specificity of creativity across disciplines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statements addressing SEL, and connect to Guiding Principles information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a s</w:t>
      </w:r>
      <w:r w:rsidDel="00000000" w:rsidR="00000000" w:rsidRPr="00000000">
        <w:rPr>
          <w:rtl w:val="0"/>
        </w:rPr>
        <w:t xml:space="preserve">tatement to frame what will be found in the document and what is not (where to find companion documents, intent of those documents, etc.)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a statement that indicates that although the media arts standards are a new strand, they may be (or have the potential to be) addressed in VPA classes.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a statement that the standards represent minimum learning outcomes in the 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