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5A74992" w:rsidP="2678D342" w:rsidRDefault="35A74992" w14:paraId="4D41A9EB" w14:textId="53BB6797">
      <w:pPr>
        <w:pStyle w:val="Heading1"/>
        <w:spacing w:before="0"/>
        <w:jc w:val="center"/>
        <w:rPr>
          <w:rFonts w:ascii="Calibri Light" w:hAnsi="Calibri Light" w:eastAsia="Calibri Light" w:cs="Calibri Light"/>
        </w:rPr>
      </w:pPr>
      <w:r w:rsidRPr="2678D342">
        <w:rPr>
          <w:rFonts w:ascii="Calibri Light" w:hAnsi="Calibri Light" w:eastAsia="Calibri Light" w:cs="Calibri Light"/>
        </w:rPr>
        <w:t>Assessment Team</w:t>
      </w:r>
    </w:p>
    <w:p w:rsidR="35A74992" w:rsidP="2678D342" w:rsidRDefault="35A74992" w14:paraId="4242C26C" w14:textId="49076E7F">
      <w:pPr>
        <w:pStyle w:val="Heading1"/>
        <w:spacing w:before="0"/>
        <w:jc w:val="center"/>
        <w:rPr>
          <w:rFonts w:ascii="Calibri Light" w:hAnsi="Calibri Light" w:eastAsia="Calibri Light" w:cs="Calibri Light"/>
        </w:rPr>
      </w:pPr>
      <w:r w:rsidRPr="2678D342">
        <w:rPr>
          <w:rFonts w:ascii="Calibri Light" w:hAnsi="Calibri Light" w:eastAsia="Calibri Light" w:cs="Calibri Light"/>
        </w:rPr>
        <w:t>Office Hours/Lunch &amp; Learn</w:t>
      </w:r>
    </w:p>
    <w:p w:rsidR="35A74992" w:rsidP="2678D342" w:rsidRDefault="35A74992" w14:paraId="6ED4AE46" w14:textId="1419F8DA">
      <w:pPr>
        <w:jc w:val="center"/>
        <w:rPr>
          <w:rFonts w:ascii="Calibri Light" w:hAnsi="Calibri Light" w:eastAsia="Calibri Light" w:cs="Calibri Light"/>
          <w:color w:val="2F5496" w:themeColor="accent1" w:themeShade="BF"/>
          <w:sz w:val="32"/>
          <w:szCs w:val="32"/>
        </w:rPr>
      </w:pPr>
      <w:r w:rsidRPr="2678D342">
        <w:rPr>
          <w:rFonts w:ascii="Calibri Light" w:hAnsi="Calibri Light" w:eastAsia="Calibri Light" w:cs="Calibri Light"/>
          <w:color w:val="2F5496" w:themeColor="accent1" w:themeShade="BF"/>
          <w:sz w:val="32"/>
          <w:szCs w:val="32"/>
        </w:rPr>
        <w:t>February 9, 2022</w:t>
      </w:r>
    </w:p>
    <w:p w:rsidR="35A74992" w:rsidP="2678D342" w:rsidRDefault="35A74992" w14:paraId="1B2EA5D8" w14:textId="4C38AEFB">
      <w:pPr>
        <w:jc w:val="center"/>
        <w:rPr>
          <w:rFonts w:ascii="Calibri" w:hAnsi="Calibri" w:eastAsia="Calibri" w:cs="Calibri"/>
          <w:color w:val="000000" w:themeColor="text1"/>
        </w:rPr>
      </w:pPr>
      <w:r w:rsidRPr="0655C5D1">
        <w:rPr>
          <w:rFonts w:ascii="Calibri" w:hAnsi="Calibri" w:eastAsia="Calibri" w:cs="Calibri"/>
          <w:b/>
          <w:bCs/>
          <w:color w:val="000000" w:themeColor="text1"/>
        </w:rPr>
        <w:t>Questions &amp; Answers</w:t>
      </w:r>
    </w:p>
    <w:p w:rsidR="0028185D" w:rsidP="0028185D" w:rsidRDefault="0028185D" w14:paraId="48E523E1" w14:textId="0A6879E3">
      <w:pPr>
        <w:pStyle w:val="Heading1"/>
      </w:pPr>
      <w:r>
        <w:t>NWEA</w:t>
      </w:r>
    </w:p>
    <w:p w:rsidR="00510393" w:rsidP="0655C5D1" w:rsidRDefault="2B0BD152" w14:paraId="3B9260F7" w14:textId="3082C116">
      <w:pPr>
        <w:pStyle w:val="Heading1"/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</w:pPr>
      <w:r w:rsidRPr="0655C5D1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 xml:space="preserve">Q: </w:t>
      </w:r>
      <w:r w:rsidRPr="0655C5D1" w:rsidR="00E11CF3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If we need to test a child in a different grade span in fall or Spring, I know we can do that outside of the window, but how far outside the window - wanting to make sure not to disrupt our ‘official’ rosters.</w:t>
      </w:r>
    </w:p>
    <w:p w:rsidR="00510393" w:rsidP="1B525F54" w:rsidRDefault="4645C321" w14:paraId="45867AB3" w14:textId="6F00D826">
      <w:pPr>
        <w:rPr>
          <w:rFonts w:eastAsia="" w:eastAsiaTheme="minorEastAsia"/>
          <w:sz w:val="24"/>
          <w:szCs w:val="24"/>
        </w:rPr>
      </w:pPr>
      <w:r w:rsidRPr="1B525F54" w:rsidR="4645C321">
        <w:rPr>
          <w:rFonts w:eastAsia="" w:eastAsiaTheme="minorEastAsia"/>
          <w:sz w:val="24"/>
          <w:szCs w:val="24"/>
        </w:rPr>
        <w:t xml:space="preserve">A: </w:t>
      </w:r>
      <w:r w:rsidRPr="1B525F54" w:rsidR="00AA65CF">
        <w:rPr>
          <w:rFonts w:eastAsia="" w:eastAsiaTheme="minorEastAsia"/>
          <w:sz w:val="24"/>
          <w:szCs w:val="24"/>
        </w:rPr>
        <w:t xml:space="preserve">The </w:t>
      </w:r>
      <w:r w:rsidRPr="1B525F54" w:rsidR="00AA756E">
        <w:rPr>
          <w:rFonts w:eastAsia="" w:eastAsiaTheme="minorEastAsia"/>
          <w:sz w:val="24"/>
          <w:szCs w:val="24"/>
        </w:rPr>
        <w:t xml:space="preserve">national windows are </w:t>
      </w:r>
      <w:r w:rsidRPr="1B525F54" w:rsidR="008C1844">
        <w:rPr>
          <w:rFonts w:eastAsia="" w:eastAsiaTheme="minorEastAsia"/>
          <w:sz w:val="24"/>
          <w:szCs w:val="24"/>
        </w:rPr>
        <w:t>longer</w:t>
      </w:r>
      <w:r w:rsidRPr="1B525F54" w:rsidR="00E90848">
        <w:rPr>
          <w:rFonts w:eastAsia="" w:eastAsiaTheme="minorEastAsia"/>
          <w:sz w:val="24"/>
          <w:szCs w:val="24"/>
        </w:rPr>
        <w:t xml:space="preserve"> than the six-week state window. The winter (optional) window is through February 28, 2022. </w:t>
      </w:r>
    </w:p>
    <w:p w:rsidR="00510393" w:rsidP="1B525F54" w:rsidRDefault="4645C321" w14:paraId="4215BC2F" w14:textId="21FA319D">
      <w:pPr>
        <w:rPr>
          <w:rFonts w:eastAsia="" w:eastAsiaTheme="minorEastAsia"/>
          <w:sz w:val="24"/>
          <w:szCs w:val="24"/>
        </w:rPr>
      </w:pPr>
      <w:r w:rsidRPr="37486F41" w:rsidR="29D14E04">
        <w:rPr>
          <w:rFonts w:eastAsia="" w:eastAsiaTheme="minorEastAsia"/>
          <w:sz w:val="24"/>
          <w:szCs w:val="24"/>
        </w:rPr>
        <w:t xml:space="preserve">If </w:t>
      </w:r>
      <w:r w:rsidRPr="37486F41" w:rsidR="452FEC22">
        <w:rPr>
          <w:rFonts w:eastAsia="" w:eastAsiaTheme="minorEastAsia"/>
          <w:sz w:val="24"/>
          <w:szCs w:val="24"/>
        </w:rPr>
        <w:t>the SAU elects</w:t>
      </w:r>
      <w:r w:rsidRPr="37486F41" w:rsidR="29D14E04">
        <w:rPr>
          <w:rFonts w:eastAsia="" w:eastAsiaTheme="minorEastAsia"/>
          <w:sz w:val="24"/>
          <w:szCs w:val="24"/>
        </w:rPr>
        <w:t xml:space="preserve"> </w:t>
      </w:r>
      <w:r w:rsidRPr="37486F41" w:rsidR="156CBB43">
        <w:rPr>
          <w:rFonts w:eastAsia="" w:eastAsiaTheme="minorEastAsia"/>
          <w:sz w:val="24"/>
          <w:szCs w:val="24"/>
        </w:rPr>
        <w:t xml:space="preserve">to </w:t>
      </w:r>
      <w:r w:rsidRPr="37486F41" w:rsidR="7005DB25">
        <w:rPr>
          <w:rFonts w:eastAsia="" w:eastAsiaTheme="minorEastAsia"/>
          <w:sz w:val="24"/>
          <w:szCs w:val="24"/>
        </w:rPr>
        <w:t xml:space="preserve">additionally </w:t>
      </w:r>
      <w:r w:rsidRPr="37486F41" w:rsidR="156CBB43">
        <w:rPr>
          <w:rFonts w:eastAsia="" w:eastAsiaTheme="minorEastAsia"/>
          <w:sz w:val="24"/>
          <w:szCs w:val="24"/>
        </w:rPr>
        <w:t>administer a grade span sess</w:t>
      </w:r>
      <w:r w:rsidRPr="37486F41" w:rsidR="156CBB43">
        <w:rPr>
          <w:rFonts w:eastAsia="" w:eastAsiaTheme="minorEastAsia"/>
          <w:sz w:val="24"/>
          <w:szCs w:val="24"/>
        </w:rPr>
        <w:t xml:space="preserve">ion other than the student’s enrolled grade level, </w:t>
      </w:r>
      <w:r w:rsidRPr="37486F41" w:rsidR="04FCD40F">
        <w:rPr>
          <w:rFonts w:eastAsia="" w:eastAsiaTheme="minorEastAsia"/>
          <w:sz w:val="24"/>
          <w:szCs w:val="24"/>
        </w:rPr>
        <w:t xml:space="preserve">these sessions should be </w:t>
      </w:r>
      <w:r w:rsidRPr="37486F41" w:rsidR="70936D02">
        <w:rPr>
          <w:rFonts w:eastAsia="" w:eastAsiaTheme="minorEastAsia"/>
          <w:sz w:val="24"/>
          <w:szCs w:val="24"/>
        </w:rPr>
        <w:t>scheduled pre</w:t>
      </w:r>
      <w:r w:rsidRPr="37486F41" w:rsidR="271B1867">
        <w:rPr>
          <w:rFonts w:eastAsia="" w:eastAsiaTheme="minorEastAsia"/>
          <w:sz w:val="24"/>
          <w:szCs w:val="24"/>
        </w:rPr>
        <w:t xml:space="preserve">- or post-state window. </w:t>
      </w:r>
      <w:r w:rsidRPr="37486F41" w:rsidR="2697BE1E">
        <w:rPr>
          <w:rFonts w:eastAsia="" w:eastAsiaTheme="minorEastAsia"/>
          <w:sz w:val="24"/>
          <w:szCs w:val="24"/>
        </w:rPr>
        <w:t>E.g.,</w:t>
      </w:r>
      <w:r w:rsidRPr="37486F41" w:rsidR="271B1867">
        <w:rPr>
          <w:rFonts w:eastAsia="" w:eastAsiaTheme="minorEastAsia"/>
          <w:sz w:val="24"/>
          <w:szCs w:val="24"/>
        </w:rPr>
        <w:t xml:space="preserve"> spr</w:t>
      </w:r>
      <w:r w:rsidRPr="37486F41" w:rsidR="50D738B5">
        <w:rPr>
          <w:rFonts w:eastAsia="" w:eastAsiaTheme="minorEastAsia"/>
          <w:sz w:val="24"/>
          <w:szCs w:val="24"/>
        </w:rPr>
        <w:t xml:space="preserve">ing 2022 </w:t>
      </w:r>
      <w:r w:rsidRPr="37486F41" w:rsidR="42FBA436">
        <w:rPr>
          <w:rFonts w:eastAsia="" w:eastAsiaTheme="minorEastAsia"/>
          <w:sz w:val="24"/>
          <w:szCs w:val="24"/>
        </w:rPr>
        <w:t xml:space="preserve">during </w:t>
      </w:r>
      <w:r w:rsidRPr="37486F41" w:rsidR="020DF650">
        <w:rPr>
          <w:rFonts w:eastAsia="" w:eastAsiaTheme="minorEastAsia"/>
          <w:sz w:val="24"/>
          <w:szCs w:val="24"/>
        </w:rPr>
        <w:t>3/1-</w:t>
      </w:r>
      <w:r w:rsidRPr="37486F41" w:rsidR="020DF650">
        <w:rPr>
          <w:rFonts w:eastAsia="" w:eastAsiaTheme="minorEastAsia"/>
          <w:sz w:val="24"/>
          <w:szCs w:val="24"/>
        </w:rPr>
        <w:t xml:space="preserve">4/29 or </w:t>
      </w:r>
      <w:r w:rsidRPr="37486F41" w:rsidR="2464E2CA">
        <w:rPr>
          <w:rFonts w:eastAsia="" w:eastAsiaTheme="minorEastAsia"/>
          <w:sz w:val="24"/>
          <w:szCs w:val="24"/>
        </w:rPr>
        <w:t>after 6/10/</w:t>
      </w:r>
      <w:r w:rsidRPr="37486F41" w:rsidR="2464E2CA">
        <w:rPr>
          <w:rFonts w:eastAsia="" w:eastAsiaTheme="minorEastAsia"/>
          <w:sz w:val="24"/>
          <w:szCs w:val="24"/>
        </w:rPr>
        <w:t>22</w:t>
      </w:r>
      <w:r w:rsidRPr="37486F41" w:rsidR="2464E2CA">
        <w:rPr>
          <w:rFonts w:eastAsia="" w:eastAsiaTheme="minorEastAsia"/>
          <w:sz w:val="24"/>
          <w:szCs w:val="24"/>
        </w:rPr>
        <w:t>. There is no outlined</w:t>
      </w:r>
      <w:r w:rsidRPr="37486F41" w:rsidR="4596A253">
        <w:rPr>
          <w:rFonts w:eastAsia="" w:eastAsiaTheme="minorEastAsia"/>
          <w:sz w:val="24"/>
          <w:szCs w:val="24"/>
        </w:rPr>
        <w:t xml:space="preserve"> </w:t>
      </w:r>
      <w:r w:rsidRPr="37486F41" w:rsidR="4596A253">
        <w:rPr>
          <w:rFonts w:eastAsia="" w:eastAsiaTheme="minorEastAsia"/>
          <w:sz w:val="24"/>
          <w:szCs w:val="24"/>
        </w:rPr>
        <w:t>number of days outside the state window.</w:t>
      </w:r>
    </w:p>
    <w:p w:rsidR="00510393" w:rsidP="0655AB1F" w:rsidRDefault="4645C321" w14:paraId="5AF22F2A" w14:textId="7813C8A4">
      <w:pPr>
        <w:rPr>
          <w:rFonts w:eastAsia="" w:eastAsiaTheme="minorEastAsia"/>
          <w:sz w:val="24"/>
          <w:szCs w:val="24"/>
        </w:rPr>
      </w:pPr>
      <w:r w:rsidRPr="37486F41" w:rsidR="00DE6478">
        <w:rPr>
          <w:rFonts w:eastAsia="" w:eastAsiaTheme="minorEastAsia"/>
          <w:sz w:val="24"/>
          <w:szCs w:val="24"/>
        </w:rPr>
        <w:t xml:space="preserve">The extended windows are also available on the </w:t>
      </w:r>
      <w:hyperlink r:id="Rf547f22cc7434a06">
        <w:r w:rsidRPr="37486F41" w:rsidR="00DE6478">
          <w:rPr>
            <w:rStyle w:val="Hyperlink"/>
            <w:rFonts w:eastAsia="" w:eastAsiaTheme="minorEastAsia"/>
            <w:sz w:val="24"/>
            <w:szCs w:val="24"/>
          </w:rPr>
          <w:t>Assessment Calendar webpage.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410"/>
        <w:gridCol w:w="4045"/>
      </w:tblGrid>
      <w:tr w:rsidR="00D4591A" w:rsidTr="00E13397" w14:paraId="50B47188" w14:textId="77777777">
        <w:tc>
          <w:tcPr>
            <w:tcW w:w="2335" w:type="dxa"/>
          </w:tcPr>
          <w:p w:rsidR="00D4591A" w:rsidP="005021D5" w:rsidRDefault="00D4591A" w14:paraId="33B2A161" w14:textId="1190B12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10" w:type="dxa"/>
          </w:tcPr>
          <w:p w:rsidRPr="005021D5" w:rsidR="00D4591A" w:rsidP="005021D5" w:rsidRDefault="00D4591A" w14:paraId="66E5C6C0" w14:textId="5228801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021D5">
              <w:rPr>
                <w:rFonts w:eastAsiaTheme="minorEastAsia"/>
                <w:b/>
                <w:bCs/>
                <w:sz w:val="24"/>
                <w:szCs w:val="24"/>
              </w:rPr>
              <w:t>NWEA National Window</w:t>
            </w:r>
            <w:r w:rsidRPr="005021D5" w:rsidR="005021D5">
              <w:rPr>
                <w:rFonts w:eastAsiaTheme="minorEastAsia"/>
                <w:b/>
                <w:bCs/>
                <w:sz w:val="24"/>
                <w:szCs w:val="24"/>
              </w:rPr>
              <w:t xml:space="preserve"> (for local data)</w:t>
            </w:r>
          </w:p>
        </w:tc>
        <w:tc>
          <w:tcPr>
            <w:tcW w:w="4045" w:type="dxa"/>
          </w:tcPr>
          <w:p w:rsidRPr="005021D5" w:rsidR="00D4591A" w:rsidP="005021D5" w:rsidRDefault="00D4591A" w14:paraId="18069CA7" w14:textId="374D308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021D5">
              <w:rPr>
                <w:rFonts w:eastAsiaTheme="minorEastAsia"/>
                <w:b/>
                <w:bCs/>
                <w:sz w:val="24"/>
                <w:szCs w:val="24"/>
              </w:rPr>
              <w:t>State Window</w:t>
            </w:r>
            <w:r w:rsidR="003809B7">
              <w:rPr>
                <w:rFonts w:eastAsiaTheme="minorEastAsia"/>
                <w:b/>
                <w:bCs/>
                <w:sz w:val="24"/>
                <w:szCs w:val="24"/>
              </w:rPr>
              <w:t xml:space="preserve"> 2021-2022</w:t>
            </w:r>
          </w:p>
        </w:tc>
      </w:tr>
      <w:tr w:rsidR="00D4591A" w:rsidTr="00E13397" w14:paraId="575475FE" w14:textId="77777777">
        <w:tc>
          <w:tcPr>
            <w:tcW w:w="2335" w:type="dxa"/>
          </w:tcPr>
          <w:p w:rsidRPr="005021D5" w:rsidR="00D4591A" w:rsidP="005021D5" w:rsidRDefault="00D4591A" w14:paraId="35745775" w14:textId="39093DB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021D5">
              <w:rPr>
                <w:rFonts w:eastAsiaTheme="minorEastAsia"/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4410" w:type="dxa"/>
          </w:tcPr>
          <w:p w:rsidR="00D4591A" w:rsidP="005021D5" w:rsidRDefault="00257BEF" w14:paraId="4B4BF04E" w14:textId="1A5F997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August 15 – November 30</w:t>
            </w:r>
          </w:p>
        </w:tc>
        <w:tc>
          <w:tcPr>
            <w:tcW w:w="4045" w:type="dxa"/>
          </w:tcPr>
          <w:p w:rsidR="00D4591A" w:rsidP="005021D5" w:rsidRDefault="00C12684" w14:paraId="3B4EC125" w14:textId="596CAED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October 4 – November 12</w:t>
            </w:r>
          </w:p>
        </w:tc>
      </w:tr>
      <w:tr w:rsidR="00D4591A" w:rsidTr="00E13397" w14:paraId="5AB3AAF6" w14:textId="77777777">
        <w:tc>
          <w:tcPr>
            <w:tcW w:w="2335" w:type="dxa"/>
          </w:tcPr>
          <w:p w:rsidRPr="005021D5" w:rsidR="00D4591A" w:rsidP="005021D5" w:rsidRDefault="0034433B" w14:paraId="5E3F6B09" w14:textId="4FBC9CB6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(</w:t>
            </w:r>
            <w:r w:rsidRPr="005021D5" w:rsidR="0024762B">
              <w:rPr>
                <w:rFonts w:eastAsiaTheme="minorEastAsia"/>
                <w:b/>
                <w:bCs/>
                <w:sz w:val="24"/>
                <w:szCs w:val="24"/>
              </w:rPr>
              <w:t>Winter</w:t>
            </w:r>
            <w:r w:rsidR="00C12684">
              <w:rPr>
                <w:rFonts w:eastAsiaTheme="minorEastAsia"/>
                <w:b/>
                <w:bCs/>
                <w:sz w:val="24"/>
                <w:szCs w:val="24"/>
              </w:rPr>
              <w:t xml:space="preserve"> optional)</w:t>
            </w:r>
          </w:p>
        </w:tc>
        <w:tc>
          <w:tcPr>
            <w:tcW w:w="4410" w:type="dxa"/>
          </w:tcPr>
          <w:p w:rsidR="00D4591A" w:rsidP="005021D5" w:rsidRDefault="00257BEF" w14:paraId="41FA2956" w14:textId="0A078E8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December 1 – February 28</w:t>
            </w:r>
          </w:p>
        </w:tc>
        <w:tc>
          <w:tcPr>
            <w:tcW w:w="4045" w:type="dxa"/>
          </w:tcPr>
          <w:p w:rsidRPr="00BA2661" w:rsidR="00D4591A" w:rsidP="005021D5" w:rsidRDefault="00BA2661" w14:paraId="3510A5C1" w14:textId="20EBD07B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BA2661">
              <w:rPr>
                <w:rFonts w:eastAsiaTheme="minorEastAsia"/>
                <w:i/>
                <w:iCs/>
                <w:sz w:val="24"/>
                <w:szCs w:val="24"/>
              </w:rPr>
              <w:t>*</w:t>
            </w:r>
            <w:r w:rsidRPr="00BA2661" w:rsidR="0034433B">
              <w:rPr>
                <w:rFonts w:eastAsiaTheme="minorEastAsia"/>
                <w:i/>
                <w:iCs/>
                <w:sz w:val="24"/>
                <w:szCs w:val="24"/>
              </w:rPr>
              <w:t>(</w:t>
            </w:r>
            <w:r w:rsidRPr="00BA2661" w:rsidR="00DA03CD">
              <w:rPr>
                <w:rFonts w:eastAsiaTheme="minorEastAsia"/>
                <w:i/>
                <w:iCs/>
                <w:sz w:val="24"/>
                <w:szCs w:val="24"/>
              </w:rPr>
              <w:t>January 17 – February 11</w:t>
            </w:r>
            <w:r w:rsidRPr="00BA2661" w:rsidR="0034433B">
              <w:rPr>
                <w:rFonts w:eastAsiaTheme="minorEastAsia"/>
                <w:i/>
                <w:iCs/>
                <w:sz w:val="24"/>
                <w:szCs w:val="24"/>
              </w:rPr>
              <w:t>)</w:t>
            </w:r>
          </w:p>
        </w:tc>
      </w:tr>
      <w:tr w:rsidRPr="0042088B" w:rsidR="00D4591A" w:rsidTr="00E13397" w14:paraId="0FA23CDD" w14:textId="77777777">
        <w:tc>
          <w:tcPr>
            <w:tcW w:w="2335" w:type="dxa"/>
          </w:tcPr>
          <w:p w:rsidRPr="0042088B" w:rsidR="00D4591A" w:rsidP="005021D5" w:rsidRDefault="0024762B" w14:paraId="39B29501" w14:textId="7B7FA884">
            <w:pPr>
              <w:jc w:val="center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0042088B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Spring</w:t>
            </w:r>
          </w:p>
        </w:tc>
        <w:tc>
          <w:tcPr>
            <w:tcW w:w="4410" w:type="dxa"/>
          </w:tcPr>
          <w:p w:rsidRPr="0042088B" w:rsidR="00D4591A" w:rsidP="005021D5" w:rsidRDefault="007B5183" w14:paraId="130B27F3" w14:textId="014BA3A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2088B">
              <w:rPr>
                <w:rFonts w:eastAsiaTheme="minorEastAsia"/>
                <w:sz w:val="24"/>
                <w:szCs w:val="24"/>
              </w:rPr>
              <w:t>March 1 – June 15</w:t>
            </w:r>
          </w:p>
        </w:tc>
        <w:tc>
          <w:tcPr>
            <w:tcW w:w="4045" w:type="dxa"/>
          </w:tcPr>
          <w:p w:rsidRPr="0042088B" w:rsidR="00D4591A" w:rsidP="005021D5" w:rsidRDefault="00DA03CD" w14:paraId="2E084DED" w14:textId="7304C90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2088B">
              <w:rPr>
                <w:rFonts w:eastAsiaTheme="minorEastAsia"/>
                <w:sz w:val="24"/>
                <w:szCs w:val="24"/>
              </w:rPr>
              <w:t xml:space="preserve">May 2 – June </w:t>
            </w:r>
            <w:r w:rsidRPr="0042088B" w:rsidR="003809B7">
              <w:rPr>
                <w:rFonts w:eastAsiaTheme="minorEastAsia"/>
                <w:sz w:val="24"/>
                <w:szCs w:val="24"/>
              </w:rPr>
              <w:t>10</w:t>
            </w:r>
          </w:p>
        </w:tc>
      </w:tr>
    </w:tbl>
    <w:p w:rsidRPr="0042088B" w:rsidR="00FC2ACD" w:rsidP="00BA2661" w:rsidRDefault="00BA2661" w14:paraId="6B809AE7" w14:textId="2DC6FF76">
      <w:pPr>
        <w:rPr>
          <w:rFonts w:eastAsiaTheme="minorEastAsia"/>
          <w:i/>
          <w:iCs/>
          <w:sz w:val="24"/>
          <w:szCs w:val="24"/>
        </w:rPr>
      </w:pPr>
      <w:r w:rsidRPr="0042088B">
        <w:rPr>
          <w:rFonts w:eastAsiaTheme="minorEastAsia"/>
          <w:i/>
          <w:iCs/>
          <w:sz w:val="24"/>
          <w:szCs w:val="24"/>
        </w:rPr>
        <w:t xml:space="preserve">*Flexible determined on your local schedule of </w:t>
      </w:r>
      <w:r w:rsidRPr="0042088B" w:rsidR="0042088B">
        <w:rPr>
          <w:rFonts w:eastAsiaTheme="minorEastAsia"/>
          <w:i/>
          <w:iCs/>
          <w:sz w:val="24"/>
          <w:szCs w:val="24"/>
        </w:rPr>
        <w:t>in between weeks of instruction</w:t>
      </w:r>
    </w:p>
    <w:p w:rsidRPr="009E3CD1" w:rsidR="00FC2ACD" w:rsidP="0655C5D1" w:rsidRDefault="0B5B74DF" w14:paraId="49522B7A" w14:textId="2E38A52A">
      <w:pPr>
        <w:rPr>
          <w:rFonts w:eastAsiaTheme="minorEastAsia"/>
          <w:b/>
          <w:bCs/>
          <w:sz w:val="24"/>
          <w:szCs w:val="24"/>
        </w:rPr>
      </w:pPr>
      <w:r w:rsidRPr="0655C5D1">
        <w:rPr>
          <w:rFonts w:eastAsiaTheme="minorEastAsia"/>
          <w:b/>
          <w:bCs/>
          <w:sz w:val="24"/>
          <w:szCs w:val="24"/>
        </w:rPr>
        <w:t xml:space="preserve">Q: </w:t>
      </w:r>
      <w:r w:rsidRPr="0655C5D1" w:rsidR="00CF309B">
        <w:rPr>
          <w:rFonts w:eastAsiaTheme="minorEastAsia"/>
          <w:b/>
          <w:bCs/>
          <w:sz w:val="24"/>
          <w:szCs w:val="24"/>
        </w:rPr>
        <w:t xml:space="preserve">How many days prior to the actual window opening does the district </w:t>
      </w:r>
      <w:r w:rsidRPr="0655C5D1" w:rsidR="00AA387E">
        <w:rPr>
          <w:rFonts w:eastAsiaTheme="minorEastAsia"/>
          <w:b/>
          <w:bCs/>
          <w:sz w:val="24"/>
          <w:szCs w:val="24"/>
        </w:rPr>
        <w:t>have to update the roster?</w:t>
      </w:r>
    </w:p>
    <w:p w:rsidR="00C0343C" w:rsidP="73903304" w:rsidRDefault="31E13060" w14:paraId="028D0349" w14:textId="15B44EA5">
      <w:pPr>
        <w:rPr>
          <w:rFonts w:eastAsia="" w:eastAsiaTheme="minorEastAsia"/>
          <w:sz w:val="24"/>
          <w:szCs w:val="24"/>
        </w:rPr>
      </w:pPr>
      <w:r w:rsidRPr="37486F41" w:rsidR="31E13060">
        <w:rPr>
          <w:rFonts w:eastAsia="" w:eastAsiaTheme="minorEastAsia"/>
          <w:sz w:val="24"/>
          <w:szCs w:val="24"/>
        </w:rPr>
        <w:t xml:space="preserve">A: </w:t>
      </w:r>
      <w:r w:rsidRPr="37486F41" w:rsidR="00B53575">
        <w:rPr>
          <w:rFonts w:eastAsia="" w:eastAsiaTheme="minorEastAsia"/>
          <w:sz w:val="24"/>
          <w:szCs w:val="24"/>
        </w:rPr>
        <w:t>Enrollment</w:t>
      </w:r>
      <w:r w:rsidRPr="37486F41" w:rsidR="00850D40">
        <w:rPr>
          <w:rFonts w:eastAsia="" w:eastAsiaTheme="minorEastAsia"/>
          <w:sz w:val="24"/>
          <w:szCs w:val="24"/>
        </w:rPr>
        <w:t xml:space="preserve">s/rosters should be updated </w:t>
      </w:r>
      <w:r w:rsidRPr="37486F41" w:rsidR="7EA2B617">
        <w:rPr>
          <w:rFonts w:eastAsia="" w:eastAsiaTheme="minorEastAsia"/>
          <w:sz w:val="24"/>
          <w:szCs w:val="24"/>
        </w:rPr>
        <w:t>regularly</w:t>
      </w:r>
      <w:r w:rsidRPr="37486F41" w:rsidR="00850D40">
        <w:rPr>
          <w:rFonts w:eastAsia="" w:eastAsiaTheme="minorEastAsia"/>
          <w:sz w:val="24"/>
          <w:szCs w:val="24"/>
        </w:rPr>
        <w:t xml:space="preserve">, </w:t>
      </w:r>
      <w:r w:rsidRPr="37486F41" w:rsidR="00E36B71">
        <w:rPr>
          <w:rFonts w:eastAsia="" w:eastAsiaTheme="minorEastAsia"/>
          <w:sz w:val="24"/>
          <w:szCs w:val="24"/>
        </w:rPr>
        <w:t>but the timing depends on when your SAU/</w:t>
      </w:r>
      <w:r w:rsidRPr="37486F41" w:rsidR="4F94A2EA">
        <w:rPr>
          <w:rFonts w:eastAsia="" w:eastAsiaTheme="minorEastAsia"/>
          <w:sz w:val="24"/>
          <w:szCs w:val="24"/>
        </w:rPr>
        <w:t>s</w:t>
      </w:r>
      <w:r w:rsidRPr="37486F41" w:rsidR="00E36B71">
        <w:rPr>
          <w:rFonts w:eastAsia="" w:eastAsiaTheme="minorEastAsia"/>
          <w:sz w:val="24"/>
          <w:szCs w:val="24"/>
        </w:rPr>
        <w:t xml:space="preserve">chool </w:t>
      </w:r>
      <w:r w:rsidRPr="37486F41" w:rsidR="006E19F0">
        <w:rPr>
          <w:rFonts w:eastAsia="" w:eastAsiaTheme="minorEastAsia"/>
          <w:sz w:val="24"/>
          <w:szCs w:val="24"/>
        </w:rPr>
        <w:t xml:space="preserve">imports the roster into the NWEA/MARC platform. </w:t>
      </w:r>
      <w:r w:rsidRPr="37486F41" w:rsidR="537C3EA0">
        <w:rPr>
          <w:rFonts w:eastAsia="" w:eastAsiaTheme="minorEastAsia"/>
          <w:sz w:val="24"/>
          <w:szCs w:val="24"/>
        </w:rPr>
        <w:t xml:space="preserve">Once you upload your spring roster, you still </w:t>
      </w:r>
      <w:r w:rsidRPr="37486F41" w:rsidR="4931C55E">
        <w:rPr>
          <w:rFonts w:eastAsia="" w:eastAsiaTheme="minorEastAsia"/>
          <w:sz w:val="24"/>
          <w:szCs w:val="24"/>
        </w:rPr>
        <w:t>can</w:t>
      </w:r>
      <w:r w:rsidRPr="37486F41" w:rsidR="537C3EA0">
        <w:rPr>
          <w:rFonts w:eastAsia="" w:eastAsiaTheme="minorEastAsia"/>
          <w:sz w:val="24"/>
          <w:szCs w:val="24"/>
        </w:rPr>
        <w:t xml:space="preserve"> manually add/remove students who may have </w:t>
      </w:r>
      <w:r w:rsidRPr="37486F41" w:rsidR="0A684276">
        <w:rPr>
          <w:rFonts w:eastAsia="" w:eastAsiaTheme="minorEastAsia"/>
          <w:sz w:val="24"/>
          <w:szCs w:val="24"/>
        </w:rPr>
        <w:t xml:space="preserve">moved in or out of your SAU/school. </w:t>
      </w:r>
      <w:r w:rsidRPr="37486F41" w:rsidR="235D565F">
        <w:rPr>
          <w:rFonts w:eastAsia="" w:eastAsiaTheme="minorEastAsia"/>
          <w:sz w:val="24"/>
          <w:szCs w:val="24"/>
        </w:rPr>
        <w:t xml:space="preserve">Maine </w:t>
      </w:r>
      <w:r w:rsidRPr="37486F41" w:rsidR="00351C26">
        <w:rPr>
          <w:rFonts w:eastAsia="" w:eastAsiaTheme="minorEastAsia"/>
          <w:sz w:val="24"/>
          <w:szCs w:val="24"/>
        </w:rPr>
        <w:t xml:space="preserve">DOE will </w:t>
      </w:r>
      <w:r w:rsidRPr="37486F41" w:rsidR="243960AF">
        <w:rPr>
          <w:rFonts w:eastAsia="" w:eastAsiaTheme="minorEastAsia"/>
          <w:sz w:val="24"/>
          <w:szCs w:val="24"/>
        </w:rPr>
        <w:t>export</w:t>
      </w:r>
      <w:r w:rsidRPr="37486F41" w:rsidR="00494211">
        <w:rPr>
          <w:rFonts w:eastAsia="" w:eastAsiaTheme="minorEastAsia"/>
          <w:sz w:val="24"/>
          <w:szCs w:val="24"/>
        </w:rPr>
        <w:t xml:space="preserve"> the assessment roster </w:t>
      </w:r>
      <w:r w:rsidRPr="37486F41" w:rsidR="00771CBF">
        <w:rPr>
          <w:rFonts w:eastAsia="" w:eastAsiaTheme="minorEastAsia"/>
          <w:sz w:val="24"/>
          <w:szCs w:val="24"/>
        </w:rPr>
        <w:t xml:space="preserve">for NWEA eligibility and accountability purposes </w:t>
      </w:r>
      <w:r w:rsidRPr="37486F41" w:rsidR="00494211">
        <w:rPr>
          <w:rFonts w:eastAsia="" w:eastAsiaTheme="minorEastAsia"/>
          <w:sz w:val="24"/>
          <w:szCs w:val="24"/>
        </w:rPr>
        <w:t>on the final day of the testing window.</w:t>
      </w:r>
    </w:p>
    <w:p w:rsidRPr="003E16AA" w:rsidR="00C0343C" w:rsidP="0655C5D1" w:rsidRDefault="62CE2DA5" w14:paraId="4D4001F1" w14:textId="6D9BD3F6">
      <w:pPr>
        <w:rPr>
          <w:rFonts w:eastAsiaTheme="minorEastAsia"/>
          <w:b/>
          <w:bCs/>
          <w:sz w:val="24"/>
          <w:szCs w:val="24"/>
        </w:rPr>
      </w:pPr>
      <w:r w:rsidRPr="0655C5D1">
        <w:rPr>
          <w:rFonts w:eastAsiaTheme="minorEastAsia"/>
          <w:b/>
          <w:bCs/>
          <w:sz w:val="24"/>
          <w:szCs w:val="24"/>
        </w:rPr>
        <w:t xml:space="preserve">Q: </w:t>
      </w:r>
      <w:r w:rsidRPr="0655C5D1" w:rsidR="001B2B27">
        <w:rPr>
          <w:rFonts w:eastAsiaTheme="minorEastAsia"/>
          <w:b/>
          <w:bCs/>
          <w:sz w:val="24"/>
          <w:szCs w:val="24"/>
        </w:rPr>
        <w:t>I’m confused by the state administration dates – winter is closing</w:t>
      </w:r>
      <w:r w:rsidRPr="0655C5D1" w:rsidR="003E16AA">
        <w:rPr>
          <w:rFonts w:eastAsiaTheme="minorEastAsia"/>
          <w:b/>
          <w:bCs/>
          <w:sz w:val="24"/>
          <w:szCs w:val="24"/>
        </w:rPr>
        <w:t xml:space="preserve"> on 2/11/22 or 2/28/22?</w:t>
      </w:r>
    </w:p>
    <w:p w:rsidR="00DC29C6" w:rsidP="0655AB1F" w:rsidRDefault="0EFA6F20" w14:paraId="157DCB58" w14:textId="0FE841D5">
      <w:pPr>
        <w:rPr>
          <w:rFonts w:eastAsia="" w:eastAsiaTheme="minorEastAsia"/>
          <w:sz w:val="24"/>
          <w:szCs w:val="24"/>
        </w:rPr>
      </w:pPr>
      <w:r w:rsidRPr="6AF87CFA" w:rsidR="0EFA6F20">
        <w:rPr>
          <w:rFonts w:eastAsia="" w:eastAsiaTheme="minorEastAsia"/>
          <w:sz w:val="24"/>
          <w:szCs w:val="24"/>
        </w:rPr>
        <w:t xml:space="preserve">A: </w:t>
      </w:r>
      <w:r w:rsidRPr="6AF87CFA" w:rsidR="448F15E8">
        <w:rPr>
          <w:rFonts w:eastAsia="" w:eastAsiaTheme="minorEastAsia"/>
          <w:sz w:val="24"/>
          <w:szCs w:val="24"/>
        </w:rPr>
        <w:t xml:space="preserve">With over 75% of respondents to a Maine DOE administered survey </w:t>
      </w:r>
      <w:r w:rsidRPr="6AF87CFA" w:rsidR="26898504">
        <w:rPr>
          <w:rFonts w:eastAsia="" w:eastAsiaTheme="minorEastAsia"/>
          <w:sz w:val="24"/>
          <w:szCs w:val="24"/>
        </w:rPr>
        <w:t xml:space="preserve">indicating they would be </w:t>
      </w:r>
      <w:r w:rsidRPr="6AF87CFA" w:rsidR="448F15E8">
        <w:rPr>
          <w:rFonts w:eastAsia="" w:eastAsiaTheme="minorEastAsia"/>
          <w:sz w:val="24"/>
          <w:szCs w:val="24"/>
        </w:rPr>
        <w:t>implementing a winter administration of the NWEA</w:t>
      </w:r>
      <w:r w:rsidRPr="6AF87CFA" w:rsidR="014A446B">
        <w:rPr>
          <w:rFonts w:eastAsia="" w:eastAsiaTheme="minorEastAsia"/>
          <w:sz w:val="24"/>
          <w:szCs w:val="24"/>
        </w:rPr>
        <w:t xml:space="preserve"> </w:t>
      </w:r>
      <w:r w:rsidRPr="6AF87CFA" w:rsidR="3B7249E7">
        <w:rPr>
          <w:rFonts w:eastAsia="" w:eastAsiaTheme="minorEastAsia"/>
          <w:sz w:val="24"/>
          <w:szCs w:val="24"/>
        </w:rPr>
        <w:t>MAP Growth assessment and</w:t>
      </w:r>
      <w:r w:rsidRPr="6AF87CFA" w:rsidR="448F15E8">
        <w:rPr>
          <w:rFonts w:eastAsia="" w:eastAsiaTheme="minorEastAsia"/>
          <w:sz w:val="24"/>
          <w:szCs w:val="24"/>
        </w:rPr>
        <w:t xml:space="preserve"> </w:t>
      </w:r>
      <w:r w:rsidRPr="6AF87CFA" w:rsidR="6993EDFE">
        <w:rPr>
          <w:rFonts w:eastAsia="" w:eastAsiaTheme="minorEastAsia"/>
          <w:sz w:val="24"/>
          <w:szCs w:val="24"/>
        </w:rPr>
        <w:t>i</w:t>
      </w:r>
      <w:r w:rsidRPr="6AF87CFA" w:rsidR="00671FF1">
        <w:rPr>
          <w:rFonts w:eastAsia="" w:eastAsiaTheme="minorEastAsia"/>
          <w:sz w:val="24"/>
          <w:szCs w:val="24"/>
        </w:rPr>
        <w:t>n order to</w:t>
      </w:r>
      <w:r w:rsidRPr="6AF87CFA" w:rsidR="00671FF1">
        <w:rPr>
          <w:rFonts w:eastAsia="" w:eastAsiaTheme="minorEastAsia"/>
          <w:sz w:val="24"/>
          <w:szCs w:val="24"/>
        </w:rPr>
        <w:t xml:space="preserve"> maintain consistency of instructional weeks between the three </w:t>
      </w:r>
      <w:r w:rsidRPr="6AF87CFA" w:rsidR="009E63FE">
        <w:rPr>
          <w:rFonts w:eastAsia="" w:eastAsiaTheme="minorEastAsia"/>
          <w:sz w:val="24"/>
          <w:szCs w:val="24"/>
        </w:rPr>
        <w:t xml:space="preserve">administrations, </w:t>
      </w:r>
      <w:r w:rsidRPr="6AF87CFA" w:rsidR="4CA505D2">
        <w:rPr>
          <w:rFonts w:eastAsia="" w:eastAsiaTheme="minorEastAsia"/>
          <w:sz w:val="24"/>
          <w:szCs w:val="24"/>
        </w:rPr>
        <w:t xml:space="preserve">Maine </w:t>
      </w:r>
      <w:r w:rsidRPr="6AF87CFA" w:rsidR="00DB7B45">
        <w:rPr>
          <w:rFonts w:eastAsia="" w:eastAsiaTheme="minorEastAsia"/>
          <w:sz w:val="24"/>
          <w:szCs w:val="24"/>
        </w:rPr>
        <w:t xml:space="preserve">DOE </w:t>
      </w:r>
      <w:r w:rsidRPr="6AF87CFA" w:rsidR="0A84471D">
        <w:rPr>
          <w:rFonts w:eastAsia="" w:eastAsiaTheme="minorEastAsia"/>
          <w:sz w:val="24"/>
          <w:szCs w:val="24"/>
        </w:rPr>
        <w:t xml:space="preserve">intentionally </w:t>
      </w:r>
      <w:r w:rsidRPr="6AF87CFA" w:rsidR="00DB7B45">
        <w:rPr>
          <w:rFonts w:eastAsia="" w:eastAsiaTheme="minorEastAsia"/>
          <w:sz w:val="24"/>
          <w:szCs w:val="24"/>
        </w:rPr>
        <w:t xml:space="preserve">established </w:t>
      </w:r>
      <w:r w:rsidRPr="6AF87CFA" w:rsidR="00CA7922">
        <w:rPr>
          <w:rFonts w:eastAsia="" w:eastAsiaTheme="minorEastAsia"/>
          <w:sz w:val="24"/>
          <w:szCs w:val="24"/>
        </w:rPr>
        <w:t xml:space="preserve">the administration window for the Winter 2022 NWEA </w:t>
      </w:r>
      <w:r w:rsidRPr="6AF87CFA" w:rsidR="00F45C4F">
        <w:rPr>
          <w:rFonts w:eastAsia="" w:eastAsiaTheme="minorEastAsia"/>
          <w:sz w:val="24"/>
          <w:szCs w:val="24"/>
        </w:rPr>
        <w:t xml:space="preserve">to end on 2/11/22. </w:t>
      </w:r>
      <w:r w:rsidRPr="6AF87CFA" w:rsidR="434F611C">
        <w:rPr>
          <w:rFonts w:eastAsia="" w:eastAsiaTheme="minorEastAsia"/>
          <w:sz w:val="24"/>
          <w:szCs w:val="24"/>
        </w:rPr>
        <w:t>The</w:t>
      </w:r>
      <w:r w:rsidRPr="6AF87CFA" w:rsidR="002D2402">
        <w:rPr>
          <w:rFonts w:eastAsia="" w:eastAsiaTheme="minorEastAsia"/>
          <w:sz w:val="24"/>
          <w:szCs w:val="24"/>
        </w:rPr>
        <w:t xml:space="preserve"> winter administration is </w:t>
      </w:r>
      <w:r w:rsidRPr="6AF87CFA" w:rsidR="17B6CEB9">
        <w:rPr>
          <w:rFonts w:eastAsia="" w:eastAsiaTheme="minorEastAsia"/>
          <w:sz w:val="24"/>
          <w:szCs w:val="24"/>
        </w:rPr>
        <w:t xml:space="preserve">optional, </w:t>
      </w:r>
      <w:r w:rsidRPr="6AF87CFA" w:rsidR="002D2402">
        <w:rPr>
          <w:rFonts w:eastAsia="" w:eastAsiaTheme="minorEastAsia"/>
          <w:sz w:val="24"/>
          <w:szCs w:val="24"/>
        </w:rPr>
        <w:t>not a state administration of the assessment</w:t>
      </w:r>
      <w:r w:rsidRPr="6AF87CFA" w:rsidR="7316994C">
        <w:rPr>
          <w:rFonts w:eastAsia="" w:eastAsiaTheme="minorEastAsia"/>
          <w:sz w:val="24"/>
          <w:szCs w:val="24"/>
        </w:rPr>
        <w:t>,</w:t>
      </w:r>
      <w:r w:rsidRPr="6AF87CFA" w:rsidR="002D2402">
        <w:rPr>
          <w:rFonts w:eastAsia="" w:eastAsiaTheme="minorEastAsia"/>
          <w:sz w:val="24"/>
          <w:szCs w:val="24"/>
        </w:rPr>
        <w:t xml:space="preserve"> and districts can </w:t>
      </w:r>
      <w:r w:rsidRPr="6AF87CFA" w:rsidR="00290924">
        <w:rPr>
          <w:rFonts w:eastAsia="" w:eastAsiaTheme="minorEastAsia"/>
          <w:sz w:val="24"/>
          <w:szCs w:val="24"/>
        </w:rPr>
        <w:t xml:space="preserve">continue to assess </w:t>
      </w:r>
      <w:r w:rsidRPr="6AF87CFA" w:rsidR="00DC29C6">
        <w:rPr>
          <w:rFonts w:eastAsia="" w:eastAsiaTheme="minorEastAsia"/>
          <w:sz w:val="24"/>
          <w:szCs w:val="24"/>
        </w:rPr>
        <w:t>through 2/28/22.</w:t>
      </w:r>
      <w:r w:rsidRPr="6AF87CFA" w:rsidR="00002094">
        <w:rPr>
          <w:rFonts w:eastAsia="" w:eastAsiaTheme="minorEastAsia"/>
          <w:sz w:val="24"/>
          <w:szCs w:val="24"/>
        </w:rPr>
        <w:t xml:space="preserve">  </w:t>
      </w:r>
      <w:r w:rsidRPr="6AF87CFA" w:rsidR="00002094">
        <w:rPr>
          <w:rFonts w:eastAsia="" w:eastAsiaTheme="minorEastAsia"/>
          <w:sz w:val="24"/>
          <w:szCs w:val="24"/>
        </w:rPr>
        <w:t xml:space="preserve">The data </w:t>
      </w:r>
      <w:r w:rsidRPr="6AF87CFA" w:rsidR="37650C0F">
        <w:rPr>
          <w:rFonts w:eastAsia="" w:eastAsiaTheme="minorEastAsia"/>
          <w:sz w:val="24"/>
          <w:szCs w:val="24"/>
        </w:rPr>
        <w:t>from winter administration</w:t>
      </w:r>
      <w:r w:rsidRPr="6AF87CFA" w:rsidR="00002094">
        <w:rPr>
          <w:rFonts w:eastAsia="" w:eastAsiaTheme="minorEastAsia"/>
          <w:sz w:val="24"/>
          <w:szCs w:val="24"/>
        </w:rPr>
        <w:t xml:space="preserve"> does not get shared with the DOE</w:t>
      </w:r>
      <w:r w:rsidRPr="6AF87CFA" w:rsidR="379DE2C0">
        <w:rPr>
          <w:rFonts w:eastAsia="" w:eastAsiaTheme="minorEastAsia"/>
          <w:sz w:val="24"/>
          <w:szCs w:val="24"/>
        </w:rPr>
        <w:t>.</w:t>
      </w:r>
    </w:p>
    <w:p w:rsidRPr="00DC29C6" w:rsidR="00F07656" w:rsidP="73903304" w:rsidRDefault="6AC9C0A2" w14:paraId="16DFBA28" w14:textId="14B3DFA6" w14:noSpellErr="1">
      <w:pPr>
        <w:rPr>
          <w:rFonts w:eastAsia="" w:eastAsiaTheme="minorEastAsia"/>
          <w:b w:val="1"/>
          <w:bCs w:val="1"/>
          <w:sz w:val="24"/>
          <w:szCs w:val="24"/>
        </w:rPr>
      </w:pPr>
      <w:r w:rsidRPr="73903304" w:rsidR="6AC9C0A2">
        <w:rPr>
          <w:rFonts w:eastAsia="" w:eastAsiaTheme="minorEastAsia"/>
          <w:b w:val="1"/>
          <w:bCs w:val="1"/>
          <w:sz w:val="24"/>
          <w:szCs w:val="24"/>
        </w:rPr>
        <w:t xml:space="preserve">Q: </w:t>
      </w:r>
      <w:r w:rsidRPr="73903304" w:rsidR="00DC29C6">
        <w:rPr>
          <w:rFonts w:eastAsia="" w:eastAsiaTheme="minorEastAsia"/>
          <w:b w:val="1"/>
          <w:bCs w:val="1"/>
          <w:sz w:val="24"/>
          <w:szCs w:val="24"/>
        </w:rPr>
        <w:t>Question about the practice effect</w:t>
      </w:r>
      <w:r w:rsidRPr="73903304" w:rsidR="00F07656">
        <w:rPr>
          <w:rFonts w:eastAsia="" w:eastAsiaTheme="minorEastAsia"/>
          <w:b w:val="1"/>
          <w:bCs w:val="1"/>
          <w:sz w:val="24"/>
          <w:szCs w:val="24"/>
        </w:rPr>
        <w:t xml:space="preserve">: how </w:t>
      </w:r>
      <w:r w:rsidRPr="73903304" w:rsidR="00CD5E61">
        <w:rPr>
          <w:rFonts w:eastAsia="" w:eastAsiaTheme="minorEastAsia"/>
          <w:b w:val="1"/>
          <w:bCs w:val="1"/>
          <w:sz w:val="24"/>
          <w:szCs w:val="24"/>
        </w:rPr>
        <w:t xml:space="preserve">many days need to </w:t>
      </w:r>
      <w:r w:rsidRPr="73903304" w:rsidR="00853B18">
        <w:rPr>
          <w:rFonts w:eastAsia="" w:eastAsiaTheme="minorEastAsia"/>
          <w:b w:val="1"/>
          <w:bCs w:val="1"/>
          <w:sz w:val="24"/>
          <w:szCs w:val="24"/>
        </w:rPr>
        <w:t xml:space="preserve">occur between administrations of NWEA (state window and national </w:t>
      </w:r>
      <w:r w:rsidRPr="73903304" w:rsidR="00853B18">
        <w:rPr>
          <w:rFonts w:eastAsia="" w:eastAsiaTheme="minorEastAsia"/>
          <w:b w:val="1"/>
          <w:bCs w:val="1"/>
          <w:sz w:val="24"/>
          <w:szCs w:val="24"/>
        </w:rPr>
        <w:t>window</w:t>
      </w:r>
      <w:r w:rsidRPr="73903304" w:rsidR="00853B18">
        <w:rPr>
          <w:rFonts w:eastAsia="" w:eastAsiaTheme="minorEastAsia"/>
          <w:b w:val="1"/>
          <w:bCs w:val="1"/>
          <w:sz w:val="24"/>
          <w:szCs w:val="24"/>
        </w:rPr>
        <w:t xml:space="preserve">) </w:t>
      </w:r>
    </w:p>
    <w:p w:rsidR="00002094" w:rsidP="73903304" w:rsidRDefault="00002094" w14:paraId="13C63DF3" w14:textId="5AFAFC6C">
      <w:pPr>
        <w:rPr>
          <w:rFonts w:eastAsia="" w:eastAsiaTheme="minorEastAsia"/>
          <w:sz w:val="24"/>
          <w:szCs w:val="24"/>
        </w:rPr>
      </w:pPr>
      <w:r w:rsidRPr="73903304" w:rsidR="2CD90AAE">
        <w:rPr>
          <w:rFonts w:eastAsia="" w:eastAsiaTheme="minorEastAsia"/>
          <w:sz w:val="24"/>
          <w:szCs w:val="24"/>
        </w:rPr>
        <w:t>A: NWEA and DOE do not typically recommend a student be tested twice in a term</w:t>
      </w:r>
      <w:r w:rsidRPr="73903304" w:rsidR="77C6EA85">
        <w:rPr>
          <w:rFonts w:eastAsia="" w:eastAsiaTheme="minorEastAsia"/>
          <w:sz w:val="24"/>
          <w:szCs w:val="24"/>
        </w:rPr>
        <w:t xml:space="preserve">, but local administration should be based on your </w:t>
      </w:r>
      <w:r w:rsidRPr="73903304" w:rsidR="77C6EA85">
        <w:rPr>
          <w:rFonts w:eastAsia="" w:eastAsiaTheme="minorEastAsia"/>
          <w:sz w:val="24"/>
          <w:szCs w:val="24"/>
        </w:rPr>
        <w:t xml:space="preserve">weeks of </w:t>
      </w:r>
      <w:r w:rsidRPr="73903304" w:rsidR="22073CF6">
        <w:rPr>
          <w:rFonts w:eastAsia="" w:eastAsiaTheme="minorEastAsia"/>
          <w:sz w:val="24"/>
          <w:szCs w:val="24"/>
        </w:rPr>
        <w:t xml:space="preserve">in between </w:t>
      </w:r>
      <w:r w:rsidRPr="73903304" w:rsidR="77C6EA85">
        <w:rPr>
          <w:rFonts w:eastAsia="" w:eastAsiaTheme="minorEastAsia"/>
          <w:sz w:val="24"/>
          <w:szCs w:val="24"/>
        </w:rPr>
        <w:t xml:space="preserve">instructional </w:t>
      </w:r>
      <w:r w:rsidRPr="73903304" w:rsidR="222EDC11">
        <w:rPr>
          <w:rFonts w:eastAsia="" w:eastAsiaTheme="minorEastAsia"/>
          <w:sz w:val="24"/>
          <w:szCs w:val="24"/>
        </w:rPr>
        <w:t>scheduling</w:t>
      </w:r>
      <w:r w:rsidRPr="73903304" w:rsidR="51CE58B4">
        <w:rPr>
          <w:rFonts w:eastAsia="" w:eastAsiaTheme="minorEastAsia"/>
          <w:sz w:val="24"/>
          <w:szCs w:val="24"/>
        </w:rPr>
        <w:t>.</w:t>
      </w:r>
    </w:p>
    <w:p w:rsidRPr="00002094" w:rsidR="00002094" w:rsidP="0655C5D1" w:rsidRDefault="00002094" w14:paraId="475E73B7" w14:textId="77777777">
      <w:pPr>
        <w:rPr>
          <w:rFonts w:eastAsiaTheme="minorEastAsia"/>
          <w:b/>
          <w:bCs/>
          <w:sz w:val="24"/>
          <w:szCs w:val="24"/>
        </w:rPr>
      </w:pPr>
    </w:p>
    <w:sectPr w:rsidRPr="00002094" w:rsidR="0000209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F68EB"/>
    <w:multiLevelType w:val="hybridMultilevel"/>
    <w:tmpl w:val="E1146F34"/>
    <w:lvl w:ilvl="0" w:tplc="75D037D8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5B3166"/>
    <w:rsid w:val="00002094"/>
    <w:rsid w:val="00027540"/>
    <w:rsid w:val="0018505F"/>
    <w:rsid w:val="001B2B27"/>
    <w:rsid w:val="001C60F3"/>
    <w:rsid w:val="0024762B"/>
    <w:rsid w:val="00257BEF"/>
    <w:rsid w:val="0028185D"/>
    <w:rsid w:val="00290924"/>
    <w:rsid w:val="002D2402"/>
    <w:rsid w:val="0034433B"/>
    <w:rsid w:val="00351C26"/>
    <w:rsid w:val="003809B7"/>
    <w:rsid w:val="003E16AA"/>
    <w:rsid w:val="0042088B"/>
    <w:rsid w:val="00494211"/>
    <w:rsid w:val="004E4043"/>
    <w:rsid w:val="005021D5"/>
    <w:rsid w:val="00510393"/>
    <w:rsid w:val="00567431"/>
    <w:rsid w:val="0058546D"/>
    <w:rsid w:val="00671FF1"/>
    <w:rsid w:val="006E19F0"/>
    <w:rsid w:val="00771CBF"/>
    <w:rsid w:val="007B5183"/>
    <w:rsid w:val="007F1C52"/>
    <w:rsid w:val="00850D40"/>
    <w:rsid w:val="00853B18"/>
    <w:rsid w:val="008C1844"/>
    <w:rsid w:val="00955FC9"/>
    <w:rsid w:val="009B02D4"/>
    <w:rsid w:val="009E3CD1"/>
    <w:rsid w:val="009E63FE"/>
    <w:rsid w:val="00A06E08"/>
    <w:rsid w:val="00AA387E"/>
    <w:rsid w:val="00AA65CF"/>
    <w:rsid w:val="00AA756E"/>
    <w:rsid w:val="00B01130"/>
    <w:rsid w:val="00B53575"/>
    <w:rsid w:val="00BA2661"/>
    <w:rsid w:val="00C0343C"/>
    <w:rsid w:val="00C12684"/>
    <w:rsid w:val="00CA7922"/>
    <w:rsid w:val="00CD5E61"/>
    <w:rsid w:val="00CF309B"/>
    <w:rsid w:val="00D00159"/>
    <w:rsid w:val="00D4591A"/>
    <w:rsid w:val="00DA03CD"/>
    <w:rsid w:val="00DB7B45"/>
    <w:rsid w:val="00DC29C6"/>
    <w:rsid w:val="00DE548F"/>
    <w:rsid w:val="00DE6478"/>
    <w:rsid w:val="00E11CF3"/>
    <w:rsid w:val="00E13397"/>
    <w:rsid w:val="00E36B71"/>
    <w:rsid w:val="00E90848"/>
    <w:rsid w:val="00F07656"/>
    <w:rsid w:val="00F16512"/>
    <w:rsid w:val="00F45C4F"/>
    <w:rsid w:val="00FC2ACD"/>
    <w:rsid w:val="00FE32DC"/>
    <w:rsid w:val="014A446B"/>
    <w:rsid w:val="01EE87A3"/>
    <w:rsid w:val="020DF650"/>
    <w:rsid w:val="02EC395D"/>
    <w:rsid w:val="04D4F482"/>
    <w:rsid w:val="04FCD40F"/>
    <w:rsid w:val="0655AB1F"/>
    <w:rsid w:val="0655C5D1"/>
    <w:rsid w:val="0681F2C4"/>
    <w:rsid w:val="08E5008D"/>
    <w:rsid w:val="0A684276"/>
    <w:rsid w:val="0A84471D"/>
    <w:rsid w:val="0B5B74DF"/>
    <w:rsid w:val="0BD931E8"/>
    <w:rsid w:val="0EFA6F20"/>
    <w:rsid w:val="156CBB43"/>
    <w:rsid w:val="165B3166"/>
    <w:rsid w:val="17B6CEB9"/>
    <w:rsid w:val="1B525F54"/>
    <w:rsid w:val="1F1FAA64"/>
    <w:rsid w:val="202DBDFD"/>
    <w:rsid w:val="22073CF6"/>
    <w:rsid w:val="222EDC11"/>
    <w:rsid w:val="235D565F"/>
    <w:rsid w:val="243960AF"/>
    <w:rsid w:val="2464E2CA"/>
    <w:rsid w:val="2678D342"/>
    <w:rsid w:val="26898504"/>
    <w:rsid w:val="2697BE1E"/>
    <w:rsid w:val="26B0AFC6"/>
    <w:rsid w:val="271B1867"/>
    <w:rsid w:val="2827A201"/>
    <w:rsid w:val="29D14E04"/>
    <w:rsid w:val="2B0BD152"/>
    <w:rsid w:val="2CD90AAE"/>
    <w:rsid w:val="31E13060"/>
    <w:rsid w:val="33128469"/>
    <w:rsid w:val="345E179B"/>
    <w:rsid w:val="35A74992"/>
    <w:rsid w:val="35F1ED80"/>
    <w:rsid w:val="37486F41"/>
    <w:rsid w:val="37650C0F"/>
    <w:rsid w:val="379DE2C0"/>
    <w:rsid w:val="38847D36"/>
    <w:rsid w:val="3B7249E7"/>
    <w:rsid w:val="3C612F04"/>
    <w:rsid w:val="3CEEEBCC"/>
    <w:rsid w:val="42D07088"/>
    <w:rsid w:val="42FBA436"/>
    <w:rsid w:val="434F611C"/>
    <w:rsid w:val="448F15E8"/>
    <w:rsid w:val="452FEC22"/>
    <w:rsid w:val="4596A253"/>
    <w:rsid w:val="45EEE8ED"/>
    <w:rsid w:val="4645C321"/>
    <w:rsid w:val="47BC030C"/>
    <w:rsid w:val="4931C55E"/>
    <w:rsid w:val="498251C2"/>
    <w:rsid w:val="4AF4D473"/>
    <w:rsid w:val="4BA2FDBB"/>
    <w:rsid w:val="4BCF4560"/>
    <w:rsid w:val="4C55A66E"/>
    <w:rsid w:val="4CA505D2"/>
    <w:rsid w:val="4DFC911D"/>
    <w:rsid w:val="4F94A2EA"/>
    <w:rsid w:val="4F95CB33"/>
    <w:rsid w:val="50898E26"/>
    <w:rsid w:val="50D738B5"/>
    <w:rsid w:val="51CE58B4"/>
    <w:rsid w:val="537C3EA0"/>
    <w:rsid w:val="564C3E38"/>
    <w:rsid w:val="569AB705"/>
    <w:rsid w:val="5A30706C"/>
    <w:rsid w:val="5D7FF382"/>
    <w:rsid w:val="603BC217"/>
    <w:rsid w:val="609FB1F0"/>
    <w:rsid w:val="62CE2DA5"/>
    <w:rsid w:val="68A1837A"/>
    <w:rsid w:val="6993EDFE"/>
    <w:rsid w:val="6AC9C0A2"/>
    <w:rsid w:val="6AF87CFA"/>
    <w:rsid w:val="7005DB25"/>
    <w:rsid w:val="70936D02"/>
    <w:rsid w:val="71419141"/>
    <w:rsid w:val="722F3D63"/>
    <w:rsid w:val="7316994C"/>
    <w:rsid w:val="73903304"/>
    <w:rsid w:val="7469F86D"/>
    <w:rsid w:val="7566DE25"/>
    <w:rsid w:val="77C6EA85"/>
    <w:rsid w:val="7A3F904D"/>
    <w:rsid w:val="7EA2B617"/>
    <w:rsid w:val="7F1EE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3166"/>
  <w15:chartTrackingRefBased/>
  <w15:docId w15:val="{A8D3EA71-5995-49C6-9A61-BE45BA4B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85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8185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C2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C2A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5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48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E5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4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5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548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DE548F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F165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A2661"/>
    <w:pPr>
      <w:ind w:left="720"/>
      <w:contextualSpacing/>
    </w:pPr>
  </w:style>
</w:styles>
</file>

<file path=word/tasks.xml><?xml version="1.0" encoding="utf-8"?>
<t:Tasks xmlns:t="http://schemas.microsoft.com/office/tasks/2019/documenttasks" xmlns:oel="http://schemas.microsoft.com/office/2019/extlst">
  <t:Task id="{FD2B1A9F-1764-4EBF-82C9-1693EC3F2F9E}">
    <t:Anchor>
      <t:Comment id="1421988011"/>
    </t:Anchor>
    <t:History>
      <t:Event id="{0DB9268D-2ECD-4CD7-89EA-BA3A95EB7087}" time="2022-02-14T14:54:34.656Z">
        <t:Attribution userId="S::nancy.godfrey@maine.gov::58abee3d-e7ee-4a14-84db-23fbe6443ccc" userProvider="AD" userName="Godfrey, Nancy"/>
        <t:Anchor>
          <t:Comment id="244891578"/>
        </t:Anchor>
        <t:Create/>
      </t:Event>
      <t:Event id="{E77B0D64-A450-4BB8-867A-D9DB5556BE8D}" time="2022-02-14T14:54:34.656Z">
        <t:Attribution userId="S::nancy.godfrey@maine.gov::58abee3d-e7ee-4a14-84db-23fbe6443ccc" userProvider="AD" userName="Godfrey, Nancy"/>
        <t:Anchor>
          <t:Comment id="244891578"/>
        </t:Anchor>
        <t:Assign userId="S::Janette.Kirk@maine.gov::8f2332c0-4b00-4a76-9377-94b25ed40654" userProvider="AD" userName="Kirk, Janette"/>
      </t:Event>
      <t:Event id="{73E86C9F-7776-4E43-A4E7-20D66BE1F207}" time="2022-02-14T14:54:34.656Z">
        <t:Attribution userId="S::nancy.godfrey@maine.gov::58abee3d-e7ee-4a14-84db-23fbe6443ccc" userProvider="AD" userName="Godfrey, Nancy"/>
        <t:Anchor>
          <t:Comment id="244891578"/>
        </t:Anchor>
        <t:SetTitle title="@Kirk, Janette"/>
      </t:Event>
    </t:History>
  </t:Task>
  <t:Task id="{63AEB1B6-BBC8-4CBD-BB0F-FCD8DCB067F6}">
    <t:Anchor>
      <t:Comment id="76280604"/>
    </t:Anchor>
    <t:History>
      <t:Event id="{7E575502-677D-4C4F-92CE-D6D5D59431B7}" time="2022-02-16T02:28:28.305Z">
        <t:Attribution userId="S::janette.kirk@maine.gov::8f2332c0-4b00-4a76-9377-94b25ed40654" userProvider="AD" userName="Kirk, Janette"/>
        <t:Anchor>
          <t:Comment id="76280604"/>
        </t:Anchor>
        <t:Create/>
      </t:Event>
      <t:Event id="{5DCB3FE8-2190-4F35-A7B5-61BDBC4DCF39}" time="2022-02-16T02:28:28.305Z">
        <t:Attribution userId="S::janette.kirk@maine.gov::8f2332c0-4b00-4a76-9377-94b25ed40654" userProvider="AD" userName="Kirk, Janette"/>
        <t:Anchor>
          <t:Comment id="76280604"/>
        </t:Anchor>
        <t:Assign userId="S::Nancy.Godfrey@maine.gov::58abee3d-e7ee-4a14-84db-23fbe6443ccc" userProvider="AD" userName="Godfrey, Nancy"/>
      </t:Event>
      <t:Event id="{D5CD8D41-215C-4278-A805-F949A24008FB}" time="2022-02-16T02:28:28.305Z">
        <t:Attribution userId="S::janette.kirk@maine.gov::8f2332c0-4b00-4a76-9377-94b25ed40654" userProvider="AD" userName="Kirk, Janette"/>
        <t:Anchor>
          <t:Comment id="76280604"/>
        </t:Anchor>
        <t:SetTitle title="@Godfrey, Nancy isn't this inaccurate - I don't believe we get any data file from the winter administration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microsoft.com/office/2011/relationships/people" Target="people.xml" Id="rId14" /><Relationship Type="http://schemas.microsoft.com/office/2019/05/relationships/documenttasks" Target="tasks.xml" Id="R0c13de8a05294053" /><Relationship Type="http://schemas.openxmlformats.org/officeDocument/2006/relationships/hyperlink" Target="https://www.maine.gov/doe/Testing_Accountability/MECAS/calendar" TargetMode="External" Id="Rf547f22cc7434a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>Kirk, Janette</DisplayName>
        <AccountId>6</AccountId>
        <AccountType/>
      </UserInfo>
      <UserInfo>
        <DisplayName>Bossio-Smith, Jodi</DisplayName>
        <AccountId>59</AccountId>
        <AccountType/>
      </UserInfo>
      <UserInfo>
        <DisplayName>Lewis, Regina</DisplayName>
        <AccountId>13</AccountId>
        <AccountType/>
      </UserInfo>
      <UserInfo>
        <DisplayName>Brackett, Cheryl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A21094-8C34-4911-A31A-2B4B2A795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CFB8F-BE16-436B-BD93-B91499183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6D90D-89F2-4B83-A7A0-CE4386D03F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Bossio-Smith, Jodi</dc:creator>
  <keywords/>
  <dc:description/>
  <lastModifiedBy>Godfrey, Nancy</lastModifiedBy>
  <revision>67</revision>
  <dcterms:created xsi:type="dcterms:W3CDTF">2022-02-09T19:08:00.0000000Z</dcterms:created>
  <dcterms:modified xsi:type="dcterms:W3CDTF">2022-02-16T13:12:25.1017663Z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