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4B" w:rsidRDefault="0052554B" w:rsidP="0052554B">
      <w:pPr>
        <w:pStyle w:val="Heading2"/>
        <w:spacing w:before="0" w:after="0"/>
        <w:jc w:val="center"/>
        <w:rPr>
          <w:sz w:val="36"/>
          <w:szCs w:val="36"/>
        </w:rPr>
      </w:pPr>
      <w:r>
        <w:rPr>
          <w:sz w:val="36"/>
          <w:szCs w:val="36"/>
        </w:rPr>
        <w:t xml:space="preserve">Maine Educational Assessment for </w:t>
      </w:r>
    </w:p>
    <w:p w:rsidR="0052554B" w:rsidRDefault="0052554B" w:rsidP="0052554B">
      <w:pPr>
        <w:pStyle w:val="Heading2"/>
        <w:spacing w:before="0" w:after="0"/>
        <w:jc w:val="center"/>
        <w:rPr>
          <w:sz w:val="36"/>
          <w:szCs w:val="36"/>
        </w:rPr>
      </w:pPr>
      <w:r>
        <w:rPr>
          <w:sz w:val="36"/>
          <w:szCs w:val="36"/>
        </w:rPr>
        <w:t>Mathematics and English Language Arts/Literacy Grades 3-8</w:t>
      </w:r>
    </w:p>
    <w:p w:rsidR="0052554B" w:rsidRDefault="0052554B" w:rsidP="0052554B">
      <w:pPr>
        <w:pStyle w:val="Heading2"/>
        <w:spacing w:before="0" w:after="0"/>
        <w:jc w:val="center"/>
        <w:rPr>
          <w:sz w:val="36"/>
          <w:szCs w:val="36"/>
        </w:rPr>
      </w:pPr>
      <w:r>
        <w:rPr>
          <w:sz w:val="36"/>
          <w:szCs w:val="36"/>
        </w:rPr>
        <w:t>eMPowerME Tools and Accommodations</w:t>
      </w:r>
    </w:p>
    <w:p w:rsidR="0052554B" w:rsidRDefault="0052554B" w:rsidP="0052554B"/>
    <w:p w:rsidR="0052554B" w:rsidRPr="00814184" w:rsidRDefault="0052554B" w:rsidP="0052554B">
      <w:pPr>
        <w:rPr>
          <w:b/>
          <w:color w:val="1F497D" w:themeColor="text2"/>
          <w:sz w:val="28"/>
          <w:szCs w:val="28"/>
          <w:u w:val="single"/>
        </w:rPr>
      </w:pPr>
      <w:r w:rsidRPr="00814184">
        <w:rPr>
          <w:b/>
          <w:color w:val="1F497D" w:themeColor="text2"/>
          <w:sz w:val="28"/>
          <w:szCs w:val="28"/>
          <w:u w:val="single"/>
        </w:rPr>
        <w:t>Paper/Pencil Version Tools</w:t>
      </w:r>
    </w:p>
    <w:p w:rsidR="0052554B" w:rsidRDefault="0052554B" w:rsidP="0052554B"/>
    <w:p w:rsidR="0052554B" w:rsidRDefault="0052554B" w:rsidP="0052554B">
      <w:r w:rsidRPr="00C341B3">
        <w:t>The following</w:t>
      </w:r>
      <w:r>
        <w:t xml:space="preserve"> tools are allowed for all students taking the paper/pencil version of the MEA for Mathematics and English Language Arts/Literacy:</w:t>
      </w:r>
    </w:p>
    <w:p w:rsidR="0052554B" w:rsidRDefault="0052554B" w:rsidP="0052554B">
      <w:pPr>
        <w:pStyle w:val="ListParagraph"/>
        <w:numPr>
          <w:ilvl w:val="0"/>
          <w:numId w:val="1"/>
        </w:numPr>
        <w:spacing w:before="0" w:after="0"/>
      </w:pPr>
      <w:r>
        <w:t>Highlighters</w:t>
      </w:r>
    </w:p>
    <w:p w:rsidR="0052554B" w:rsidRDefault="0052554B" w:rsidP="0052554B">
      <w:pPr>
        <w:pStyle w:val="ListParagraph"/>
        <w:numPr>
          <w:ilvl w:val="0"/>
          <w:numId w:val="1"/>
        </w:numPr>
        <w:spacing w:before="0" w:after="0"/>
      </w:pPr>
      <w:r>
        <w:t>Guideline Reader Tool</w:t>
      </w:r>
    </w:p>
    <w:p w:rsidR="0052554B" w:rsidRDefault="0052554B" w:rsidP="0052554B">
      <w:pPr>
        <w:pStyle w:val="ListParagraph"/>
        <w:numPr>
          <w:ilvl w:val="0"/>
          <w:numId w:val="1"/>
        </w:numPr>
        <w:spacing w:before="0" w:after="0"/>
      </w:pPr>
      <w:r w:rsidRPr="00D60060">
        <w:rPr>
          <w:b/>
          <w:color w:val="auto"/>
          <w:u w:val="single"/>
        </w:rPr>
        <w:t>BLANK</w:t>
      </w:r>
      <w:r w:rsidRPr="00215F78">
        <w:rPr>
          <w:b/>
          <w:color w:val="FF0000"/>
          <w:u w:val="single"/>
        </w:rPr>
        <w:t xml:space="preserve"> </w:t>
      </w:r>
      <w:r>
        <w:t>s</w:t>
      </w:r>
      <w:r w:rsidRPr="007543BB">
        <w:t>crap/scratch paper available to students during testing sessions.</w:t>
      </w:r>
      <w:r>
        <w:t xml:space="preserve"> NO pre-authored aids such as templates, graphic organizers, reference sheets, multiplication tables, etc.</w:t>
      </w:r>
    </w:p>
    <w:p w:rsidR="0052554B" w:rsidRDefault="0052554B" w:rsidP="0052554B"/>
    <w:p w:rsidR="0052554B" w:rsidRPr="00023C16" w:rsidRDefault="0052554B" w:rsidP="0052554B">
      <w:pPr>
        <w:rPr>
          <w:color w:val="FF0000"/>
        </w:rPr>
      </w:pPr>
      <w:r w:rsidRPr="00D60060">
        <w:t>Item Specific</w:t>
      </w:r>
    </w:p>
    <w:p w:rsidR="0052554B" w:rsidRDefault="0052554B" w:rsidP="0052554B">
      <w:pPr>
        <w:pStyle w:val="ListParagraph"/>
        <w:numPr>
          <w:ilvl w:val="0"/>
          <w:numId w:val="2"/>
        </w:numPr>
        <w:spacing w:before="0" w:after="0"/>
      </w:pPr>
      <w:r>
        <w:t>Ruler</w:t>
      </w:r>
    </w:p>
    <w:p w:rsidR="0052554B" w:rsidRDefault="0052554B" w:rsidP="0052554B">
      <w:pPr>
        <w:pStyle w:val="ListParagraph"/>
        <w:numPr>
          <w:ilvl w:val="0"/>
          <w:numId w:val="2"/>
        </w:numPr>
        <w:spacing w:before="0" w:after="0"/>
      </w:pPr>
      <w:r>
        <w:t>Protractor</w:t>
      </w:r>
    </w:p>
    <w:p w:rsidR="0052554B" w:rsidRDefault="0052554B" w:rsidP="0052554B">
      <w:pPr>
        <w:pStyle w:val="ListParagraph"/>
        <w:numPr>
          <w:ilvl w:val="0"/>
          <w:numId w:val="2"/>
        </w:numPr>
        <w:spacing w:before="0" w:after="0"/>
      </w:pPr>
      <w:r>
        <w:t>Calculator</w:t>
      </w:r>
    </w:p>
    <w:p w:rsidR="0052554B" w:rsidRDefault="0052554B" w:rsidP="0052554B">
      <w:pPr>
        <w:pStyle w:val="ListParagraph"/>
        <w:numPr>
          <w:ilvl w:val="1"/>
          <w:numId w:val="2"/>
        </w:numPr>
        <w:spacing w:before="0" w:after="0"/>
      </w:pPr>
      <w:r w:rsidRPr="00581534">
        <w:t>External calculators are needed for the paper version for USE IN CALCULATOR ALLOWABLE ITEMS/SECTIONS ONLY.</w:t>
      </w:r>
    </w:p>
    <w:p w:rsidR="0052554B" w:rsidRDefault="0052554B" w:rsidP="0052554B">
      <w:pPr>
        <w:pStyle w:val="ListParagraph"/>
        <w:numPr>
          <w:ilvl w:val="1"/>
          <w:numId w:val="2"/>
        </w:numPr>
        <w:spacing w:before="0" w:after="0"/>
      </w:pPr>
      <w:r w:rsidRPr="00581534">
        <w:t>Grades 3-6 Basic 4-function calculator ONLY</w:t>
      </w:r>
    </w:p>
    <w:p w:rsidR="0052554B" w:rsidRDefault="0052554B" w:rsidP="0052554B">
      <w:pPr>
        <w:pStyle w:val="ListParagraph"/>
        <w:numPr>
          <w:ilvl w:val="1"/>
          <w:numId w:val="2"/>
        </w:numPr>
        <w:spacing w:before="0" w:after="0"/>
      </w:pPr>
      <w:r>
        <w:t>Grades 7-8 Scientific Calculator</w:t>
      </w:r>
    </w:p>
    <w:p w:rsidR="0052554B" w:rsidRDefault="0052554B" w:rsidP="0052554B">
      <w:pPr>
        <w:rPr>
          <w:b/>
          <w:color w:val="1F497D" w:themeColor="text2"/>
          <w:sz w:val="28"/>
          <w:szCs w:val="28"/>
        </w:rPr>
      </w:pPr>
    </w:p>
    <w:p w:rsidR="0052554B" w:rsidRPr="00814184" w:rsidRDefault="0052554B" w:rsidP="0052554B">
      <w:pPr>
        <w:rPr>
          <w:b/>
          <w:color w:val="1F497D" w:themeColor="text2"/>
          <w:sz w:val="28"/>
          <w:szCs w:val="28"/>
          <w:u w:val="single"/>
        </w:rPr>
      </w:pPr>
      <w:r w:rsidRPr="00814184">
        <w:rPr>
          <w:b/>
          <w:color w:val="1F497D" w:themeColor="text2"/>
          <w:sz w:val="28"/>
          <w:szCs w:val="28"/>
          <w:u w:val="single"/>
        </w:rPr>
        <w:t>Paper/Pencil Version Accommodations – IEP/504 Approved</w:t>
      </w:r>
    </w:p>
    <w:p w:rsidR="0052554B" w:rsidRDefault="0052554B" w:rsidP="0052554B">
      <w:r w:rsidRPr="00C341B3">
        <w:t>The following Accommodations are determined by a</w:t>
      </w:r>
      <w:r>
        <w:t>n appropriate</w:t>
      </w:r>
      <w:r w:rsidRPr="00C341B3">
        <w:t xml:space="preserve"> team, are documented in an IEP and/or 504 Plan</w:t>
      </w:r>
      <w:r>
        <w:t xml:space="preserve">. Accommodations for the paper/pencil version of the MEA for Mathematics and English Language Arts/Literacy must be filled in below. The accommodation information is NOT in </w:t>
      </w:r>
      <w:bookmarkStart w:id="0" w:name="_GoBack"/>
      <w:bookmarkEnd w:id="0"/>
      <w:r>
        <w:t xml:space="preserve">Infinite Campus State Edition, so it must be provided here. Please refer to the Test Administration Manual for more information </w:t>
      </w:r>
    </w:p>
    <w:p w:rsidR="0052554B" w:rsidRDefault="0052554B" w:rsidP="0052554B">
      <w:pPr>
        <w:ind w:right="990"/>
      </w:pPr>
    </w:p>
    <w:tbl>
      <w:tblPr>
        <w:tblW w:w="4974"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975"/>
        <w:gridCol w:w="4152"/>
        <w:gridCol w:w="5607"/>
      </w:tblGrid>
      <w:tr w:rsidR="0052554B" w:rsidTr="00EF3F07">
        <w:trPr>
          <w:cantSplit/>
          <w:tblHeader/>
        </w:trPr>
        <w:tc>
          <w:tcPr>
            <w:tcW w:w="454" w:type="pct"/>
            <w:tcBorders>
              <w:top w:val="single" w:sz="4" w:space="0" w:color="auto"/>
              <w:left w:val="single" w:sz="4" w:space="0" w:color="auto"/>
              <w:bottom w:val="single" w:sz="4" w:space="0" w:color="auto"/>
              <w:right w:val="single" w:sz="4" w:space="0" w:color="auto"/>
            </w:tcBorders>
            <w:shd w:val="clear" w:color="auto" w:fill="356387"/>
          </w:tcPr>
          <w:p w:rsidR="0052554B" w:rsidRDefault="0052554B" w:rsidP="00EF3F07">
            <w:pPr>
              <w:pStyle w:val="Tablehead"/>
            </w:pPr>
            <w:r>
              <w:t>Code</w:t>
            </w:r>
          </w:p>
        </w:tc>
        <w:tc>
          <w:tcPr>
            <w:tcW w:w="1934" w:type="pct"/>
            <w:tcBorders>
              <w:top w:val="single" w:sz="4" w:space="0" w:color="auto"/>
              <w:left w:val="single" w:sz="4" w:space="0" w:color="auto"/>
              <w:bottom w:val="single" w:sz="4" w:space="0" w:color="auto"/>
              <w:right w:val="single" w:sz="4" w:space="0" w:color="auto"/>
            </w:tcBorders>
            <w:shd w:val="clear" w:color="auto" w:fill="356387"/>
            <w:tcMar>
              <w:top w:w="0" w:type="dxa"/>
              <w:left w:w="108" w:type="dxa"/>
              <w:bottom w:w="0" w:type="dxa"/>
              <w:right w:w="108" w:type="dxa"/>
            </w:tcMar>
            <w:vAlign w:val="center"/>
            <w:hideMark/>
          </w:tcPr>
          <w:p w:rsidR="0052554B" w:rsidRPr="00AC1B91" w:rsidRDefault="0052554B" w:rsidP="00EF3F07">
            <w:pPr>
              <w:pStyle w:val="Tablehead"/>
            </w:pPr>
            <w:r>
              <w:t>Tool</w:t>
            </w:r>
          </w:p>
        </w:tc>
        <w:tc>
          <w:tcPr>
            <w:tcW w:w="2612" w:type="pct"/>
            <w:tcBorders>
              <w:top w:val="single" w:sz="4" w:space="0" w:color="auto"/>
              <w:left w:val="single" w:sz="4" w:space="0" w:color="auto"/>
              <w:bottom w:val="single" w:sz="4" w:space="0" w:color="auto"/>
              <w:right w:val="single" w:sz="4" w:space="0" w:color="auto"/>
            </w:tcBorders>
            <w:shd w:val="clear" w:color="auto" w:fill="356387"/>
            <w:tcMar>
              <w:top w:w="0" w:type="dxa"/>
              <w:left w:w="108" w:type="dxa"/>
              <w:bottom w:w="0" w:type="dxa"/>
              <w:right w:w="108" w:type="dxa"/>
            </w:tcMar>
            <w:vAlign w:val="center"/>
            <w:hideMark/>
          </w:tcPr>
          <w:p w:rsidR="0052554B" w:rsidRPr="00AC1B91" w:rsidRDefault="0052554B" w:rsidP="00EF3F07">
            <w:pPr>
              <w:pStyle w:val="Tablehead"/>
            </w:pPr>
            <w:r>
              <w:t>Description</w:t>
            </w:r>
          </w:p>
        </w:tc>
      </w:tr>
      <w:tr w:rsidR="00572D76" w:rsidTr="00EF3F07">
        <w:trPr>
          <w:cantSplit/>
        </w:trPr>
        <w:tc>
          <w:tcPr>
            <w:tcW w:w="454" w:type="pct"/>
            <w:tcBorders>
              <w:top w:val="single" w:sz="4" w:space="0" w:color="auto"/>
              <w:left w:val="single" w:sz="4" w:space="0" w:color="auto"/>
              <w:bottom w:val="single" w:sz="4" w:space="0" w:color="auto"/>
              <w:right w:val="single" w:sz="4" w:space="0" w:color="auto"/>
            </w:tcBorders>
          </w:tcPr>
          <w:p w:rsidR="00572D76" w:rsidRDefault="00572D76" w:rsidP="00BB4F31">
            <w:pPr>
              <w:pStyle w:val="Tableplainhead"/>
            </w:pPr>
            <w:r>
              <w:t>NE-01</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2D76" w:rsidRPr="001378E6" w:rsidRDefault="00572D76" w:rsidP="00BB4F31">
            <w:pPr>
              <w:pStyle w:val="Tableplainhead"/>
            </w:pPr>
            <w:r>
              <w:t>Scribe</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2D76" w:rsidRPr="001A41BF" w:rsidRDefault="00572D76" w:rsidP="00BB4F31">
            <w:pPr>
              <w:pStyle w:val="Tabletext"/>
              <w:rPr>
                <w:sz w:val="20"/>
              </w:rPr>
            </w:pPr>
            <w:r w:rsidRPr="000604D6">
              <w:rPr>
                <w:sz w:val="20"/>
              </w:rPr>
              <w:t>The student may dictate answers to Test Administrator in an individual setting. Human scribe records verbatim what student dictate</w:t>
            </w:r>
            <w:r>
              <w:rPr>
                <w:sz w:val="20"/>
              </w:rPr>
              <w:t>s as documented in the IEP/504 plan. If a scribe is an approved accommodation in a student’s plan, a scribe is allowed for the extended writing response/essay.</w:t>
            </w:r>
          </w:p>
        </w:tc>
      </w:tr>
      <w:tr w:rsidR="00572D76" w:rsidTr="00EF3F07">
        <w:trPr>
          <w:cantSplit/>
        </w:trPr>
        <w:tc>
          <w:tcPr>
            <w:tcW w:w="454" w:type="pct"/>
            <w:tcBorders>
              <w:top w:val="single" w:sz="4" w:space="0" w:color="auto"/>
              <w:left w:val="single" w:sz="4" w:space="0" w:color="auto"/>
              <w:bottom w:val="single" w:sz="4" w:space="0" w:color="auto"/>
              <w:right w:val="single" w:sz="4" w:space="0" w:color="auto"/>
            </w:tcBorders>
          </w:tcPr>
          <w:p w:rsidR="00572D76" w:rsidRDefault="00572D76" w:rsidP="00BB4F31">
            <w:pPr>
              <w:pStyle w:val="Tableplainhead"/>
            </w:pPr>
            <w:r>
              <w:t>NE-02</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2D76" w:rsidRDefault="00572D76" w:rsidP="00BB4F31">
            <w:pPr>
              <w:pStyle w:val="Tableplainhead"/>
            </w:pPr>
            <w:r>
              <w:t>Read Aloud</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2D76" w:rsidRPr="001A41BF" w:rsidRDefault="00572D76" w:rsidP="00BB4F31">
            <w:pPr>
              <w:pStyle w:val="Tabletext"/>
              <w:rPr>
                <w:sz w:val="20"/>
              </w:rPr>
            </w:pPr>
            <w:r w:rsidRPr="000604D6">
              <w:rPr>
                <w:sz w:val="20"/>
              </w:rPr>
              <w:t>Text is read aloud to student by Test Administrator human reader as documented in the IEP/504 plan. Read Aloud is restricted to designated content areas and text within item</w:t>
            </w:r>
            <w:r>
              <w:rPr>
                <w:sz w:val="20"/>
              </w:rPr>
              <w:t>.</w:t>
            </w:r>
            <w:r w:rsidRPr="000604D6">
              <w:rPr>
                <w:sz w:val="20"/>
              </w:rPr>
              <w:t xml:space="preserve"> </w:t>
            </w:r>
            <w:r>
              <w:rPr>
                <w:sz w:val="20"/>
              </w:rPr>
              <w:t>See accompanying chart which outlines allowable Read Aloud.</w:t>
            </w:r>
          </w:p>
        </w:tc>
      </w:tr>
      <w:tr w:rsidR="00572D76" w:rsidTr="00EF3F07">
        <w:trPr>
          <w:cantSplit/>
        </w:trPr>
        <w:tc>
          <w:tcPr>
            <w:tcW w:w="454" w:type="pct"/>
            <w:tcBorders>
              <w:top w:val="single" w:sz="4" w:space="0" w:color="auto"/>
              <w:left w:val="single" w:sz="4" w:space="0" w:color="auto"/>
              <w:bottom w:val="single" w:sz="4" w:space="0" w:color="auto"/>
              <w:right w:val="single" w:sz="4" w:space="0" w:color="auto"/>
            </w:tcBorders>
          </w:tcPr>
          <w:p w:rsidR="00572D76" w:rsidRDefault="00572D76" w:rsidP="00BB4F31">
            <w:pPr>
              <w:pStyle w:val="Tableplainhead"/>
            </w:pPr>
            <w:r>
              <w:t>NE-03</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2D76" w:rsidRDefault="00572D76" w:rsidP="00BB4F31">
            <w:pPr>
              <w:pStyle w:val="Tableplainhead"/>
            </w:pPr>
            <w:r>
              <w:t>American Sign Language</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2D76" w:rsidRPr="001A41BF" w:rsidRDefault="00572D76" w:rsidP="00BB4F31">
            <w:pPr>
              <w:pStyle w:val="Tabletext"/>
              <w:rPr>
                <w:sz w:val="20"/>
              </w:rPr>
            </w:pPr>
            <w:r w:rsidRPr="000604D6">
              <w:rPr>
                <w:sz w:val="20"/>
              </w:rPr>
              <w:t xml:space="preserve">Trained personnel may use sign language to administer the test for deaf or hearing impaired students as documented in the IEP/504 plan. **Sign language may only be used for content selected to match availability for Text-To-Speech. </w:t>
            </w:r>
            <w:r>
              <w:rPr>
                <w:sz w:val="20"/>
              </w:rPr>
              <w:t>See accompanying chart which outlines allowable Read Aloud.</w:t>
            </w:r>
            <w:r w:rsidRPr="000604D6">
              <w:rPr>
                <w:sz w:val="20"/>
              </w:rPr>
              <w:t>)</w:t>
            </w:r>
          </w:p>
        </w:tc>
      </w:tr>
      <w:tr w:rsidR="00915CC5" w:rsidTr="00EF3F07">
        <w:trPr>
          <w:cantSplit/>
        </w:trPr>
        <w:tc>
          <w:tcPr>
            <w:tcW w:w="454" w:type="pct"/>
            <w:tcBorders>
              <w:top w:val="single" w:sz="4" w:space="0" w:color="auto"/>
              <w:left w:val="single" w:sz="4" w:space="0" w:color="auto"/>
              <w:bottom w:val="single" w:sz="4" w:space="0" w:color="auto"/>
              <w:right w:val="single" w:sz="4" w:space="0" w:color="auto"/>
            </w:tcBorders>
          </w:tcPr>
          <w:p w:rsidR="00915CC5" w:rsidRDefault="00915CC5" w:rsidP="00BB4F31">
            <w:pPr>
              <w:pStyle w:val="Tableplainhead"/>
            </w:pPr>
            <w:r>
              <w:lastRenderedPageBreak/>
              <w:t>NE-04</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5CC5" w:rsidRDefault="00915CC5" w:rsidP="00BB4F31">
            <w:pPr>
              <w:pStyle w:val="Tableplainhead"/>
            </w:pPr>
            <w:r>
              <w:t>Large Print</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5CC5" w:rsidRPr="000604D6" w:rsidRDefault="00915CC5" w:rsidP="00BB4F31">
            <w:pPr>
              <w:pStyle w:val="Tabletext"/>
              <w:rPr>
                <w:sz w:val="20"/>
              </w:rPr>
            </w:pPr>
            <w:r>
              <w:rPr>
                <w:sz w:val="20"/>
              </w:rPr>
              <w:t>Large Print paper versions of the assessment require special preparation and processing and must be pre-ordered. Contact the Department’s Assessment Coordinator.</w:t>
            </w:r>
          </w:p>
        </w:tc>
      </w:tr>
      <w:tr w:rsidR="00915CC5" w:rsidTr="00EF3F07">
        <w:trPr>
          <w:cantSplit/>
        </w:trPr>
        <w:tc>
          <w:tcPr>
            <w:tcW w:w="454" w:type="pct"/>
            <w:tcBorders>
              <w:top w:val="single" w:sz="4" w:space="0" w:color="auto"/>
              <w:left w:val="single" w:sz="4" w:space="0" w:color="auto"/>
              <w:bottom w:val="single" w:sz="4" w:space="0" w:color="auto"/>
              <w:right w:val="single" w:sz="4" w:space="0" w:color="auto"/>
            </w:tcBorders>
          </w:tcPr>
          <w:p w:rsidR="00915CC5" w:rsidRDefault="00915CC5" w:rsidP="00BB4F31">
            <w:pPr>
              <w:pStyle w:val="Tableplainhead"/>
            </w:pPr>
            <w:r>
              <w:t>NE-05</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5CC5" w:rsidRDefault="00915CC5" w:rsidP="00BB4F31">
            <w:pPr>
              <w:pStyle w:val="Tableplainhead"/>
            </w:pPr>
            <w:r>
              <w:t>Distraction Reducing</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5CC5" w:rsidRPr="000604D6" w:rsidRDefault="00915CC5" w:rsidP="00BB4F31">
            <w:pPr>
              <w:pStyle w:val="Tabletext"/>
              <w:rPr>
                <w:sz w:val="20"/>
              </w:rPr>
            </w:pPr>
            <w:r w:rsidRPr="0041479D">
              <w:rPr>
                <w:sz w:val="20"/>
              </w:rPr>
              <w:t>As documented in the IEP/504 plan (e.g. study carrel, noise buffer, etc.)</w:t>
            </w:r>
          </w:p>
        </w:tc>
      </w:tr>
      <w:tr w:rsidR="00915CC5" w:rsidTr="00EF3F07">
        <w:trPr>
          <w:cantSplit/>
        </w:trPr>
        <w:tc>
          <w:tcPr>
            <w:tcW w:w="454" w:type="pct"/>
            <w:tcBorders>
              <w:top w:val="single" w:sz="4" w:space="0" w:color="auto"/>
              <w:left w:val="single" w:sz="4" w:space="0" w:color="auto"/>
              <w:bottom w:val="single" w:sz="4" w:space="0" w:color="auto"/>
              <w:right w:val="single" w:sz="4" w:space="0" w:color="auto"/>
            </w:tcBorders>
          </w:tcPr>
          <w:p w:rsidR="00915CC5" w:rsidRDefault="00915CC5" w:rsidP="00BB4F31">
            <w:pPr>
              <w:pStyle w:val="Tableplainhead"/>
            </w:pPr>
            <w:r>
              <w:t>NE-06</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5CC5" w:rsidRDefault="00915CC5" w:rsidP="00BB4F31">
            <w:pPr>
              <w:pStyle w:val="Tableplainhead"/>
            </w:pPr>
            <w:r>
              <w:t>Alternative/Assistive Aids &amp; Devices</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5CC5" w:rsidRPr="000604D6" w:rsidRDefault="00915CC5" w:rsidP="00BB4F31">
            <w:pPr>
              <w:pStyle w:val="Tabletext"/>
              <w:rPr>
                <w:sz w:val="20"/>
              </w:rPr>
            </w:pPr>
            <w:r>
              <w:rPr>
                <w:sz w:val="20"/>
              </w:rPr>
              <w:t>Visual, auditory and communication</w:t>
            </w:r>
            <w:r w:rsidRPr="0041479D">
              <w:rPr>
                <w:sz w:val="20"/>
              </w:rPr>
              <w:t xml:space="preserve"> supports</w:t>
            </w:r>
            <w:r>
              <w:rPr>
                <w:sz w:val="20"/>
              </w:rPr>
              <w:t xml:space="preserve"> or systems </w:t>
            </w:r>
            <w:r w:rsidRPr="0041479D">
              <w:rPr>
                <w:sz w:val="20"/>
              </w:rPr>
              <w:t>used regularly for communication system as documented in the IEP/504 plan.</w:t>
            </w:r>
          </w:p>
        </w:tc>
      </w:tr>
      <w:tr w:rsidR="00915CC5" w:rsidTr="00EF3F07">
        <w:trPr>
          <w:cantSplit/>
        </w:trPr>
        <w:tc>
          <w:tcPr>
            <w:tcW w:w="454" w:type="pct"/>
            <w:tcBorders>
              <w:top w:val="single" w:sz="4" w:space="0" w:color="auto"/>
              <w:left w:val="single" w:sz="4" w:space="0" w:color="auto"/>
              <w:bottom w:val="single" w:sz="4" w:space="0" w:color="auto"/>
              <w:right w:val="single" w:sz="4" w:space="0" w:color="auto"/>
            </w:tcBorders>
          </w:tcPr>
          <w:p w:rsidR="00915CC5" w:rsidRDefault="00915CC5" w:rsidP="00BB4F31">
            <w:pPr>
              <w:pStyle w:val="Tableplainhead"/>
            </w:pPr>
            <w:r>
              <w:t>NE-07</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5CC5" w:rsidRDefault="00915CC5" w:rsidP="00BB4F31">
            <w:pPr>
              <w:pStyle w:val="Tableplainhead"/>
            </w:pPr>
            <w:r>
              <w:t>Bilingual Word Translation</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5CC5" w:rsidRPr="000604D6" w:rsidRDefault="00915CC5" w:rsidP="00BB4F31">
            <w:pPr>
              <w:pStyle w:val="Tabletext"/>
              <w:rPr>
                <w:sz w:val="20"/>
              </w:rPr>
            </w:pPr>
            <w:r w:rsidRPr="00D60060">
              <w:rPr>
                <w:b/>
                <w:color w:val="auto"/>
                <w:sz w:val="20"/>
              </w:rPr>
              <w:t>MATH ONLY</w:t>
            </w:r>
            <w:r w:rsidRPr="0041479D">
              <w:rPr>
                <w:sz w:val="20"/>
              </w:rPr>
              <w:t xml:space="preserve">: </w:t>
            </w:r>
            <w:r>
              <w:rPr>
                <w:sz w:val="20"/>
              </w:rPr>
              <w:t xml:space="preserve">Word-to-word translation dictionary with NO definitions as </w:t>
            </w:r>
            <w:r w:rsidRPr="0041479D">
              <w:rPr>
                <w:sz w:val="20"/>
              </w:rPr>
              <w:t xml:space="preserve">determined by Language Acquisition Committee/Team. </w:t>
            </w:r>
          </w:p>
        </w:tc>
      </w:tr>
      <w:tr w:rsidR="00915CC5" w:rsidTr="00EF3F07">
        <w:trPr>
          <w:cantSplit/>
        </w:trPr>
        <w:tc>
          <w:tcPr>
            <w:tcW w:w="454" w:type="pct"/>
            <w:tcBorders>
              <w:top w:val="single" w:sz="4" w:space="0" w:color="auto"/>
              <w:left w:val="single" w:sz="4" w:space="0" w:color="auto"/>
              <w:bottom w:val="single" w:sz="4" w:space="0" w:color="auto"/>
              <w:right w:val="single" w:sz="4" w:space="0" w:color="auto"/>
            </w:tcBorders>
          </w:tcPr>
          <w:p w:rsidR="00915CC5" w:rsidRDefault="00915CC5" w:rsidP="00BB4F31">
            <w:pPr>
              <w:pStyle w:val="Tableplainhead"/>
            </w:pPr>
            <w:r>
              <w:t>NE-08</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5CC5" w:rsidRDefault="00915CC5" w:rsidP="00BB4F31">
            <w:pPr>
              <w:pStyle w:val="Tableplainhead"/>
            </w:pPr>
            <w:r>
              <w:t>Individual Separate Setting</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5CC5" w:rsidRPr="000604D6" w:rsidRDefault="00915CC5" w:rsidP="00BB4F31">
            <w:pPr>
              <w:pStyle w:val="Tabletext"/>
              <w:rPr>
                <w:sz w:val="20"/>
              </w:rPr>
            </w:pPr>
            <w:r>
              <w:rPr>
                <w:sz w:val="20"/>
              </w:rPr>
              <w:t>Individual test setting</w:t>
            </w:r>
            <w:r w:rsidRPr="0041479D">
              <w:rPr>
                <w:sz w:val="20"/>
              </w:rPr>
              <w:t xml:space="preserve"> to minimize distra</w:t>
            </w:r>
            <w:r>
              <w:rPr>
                <w:sz w:val="20"/>
              </w:rPr>
              <w:t>c</w:t>
            </w:r>
            <w:r w:rsidRPr="0041479D">
              <w:rPr>
                <w:sz w:val="20"/>
              </w:rPr>
              <w:t>tions for students whose test is administered out of the classroom as documented in the IEP/504 plan.</w:t>
            </w:r>
          </w:p>
        </w:tc>
      </w:tr>
      <w:tr w:rsidR="00722D5D" w:rsidTr="00EF3F07">
        <w:trPr>
          <w:cantSplit/>
        </w:trPr>
        <w:tc>
          <w:tcPr>
            <w:tcW w:w="454" w:type="pct"/>
            <w:tcBorders>
              <w:top w:val="single" w:sz="4" w:space="0" w:color="auto"/>
              <w:left w:val="single" w:sz="4" w:space="0" w:color="auto"/>
              <w:bottom w:val="single" w:sz="4" w:space="0" w:color="auto"/>
              <w:right w:val="single" w:sz="4" w:space="0" w:color="auto"/>
            </w:tcBorders>
          </w:tcPr>
          <w:p w:rsidR="00722D5D" w:rsidRDefault="00722D5D" w:rsidP="00BB4F31">
            <w:pPr>
              <w:pStyle w:val="Tableplainhead"/>
            </w:pPr>
            <w:r>
              <w:t>NE-09</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2D5D" w:rsidRDefault="00722D5D" w:rsidP="00BB4F31">
            <w:pPr>
              <w:pStyle w:val="Tableplainhead"/>
            </w:pPr>
            <w:r>
              <w:t>Small Group Separate Setting</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D5D" w:rsidRPr="0057339A" w:rsidRDefault="00722D5D" w:rsidP="00BB4F31">
            <w:pPr>
              <w:pStyle w:val="Tabletext"/>
              <w:rPr>
                <w:sz w:val="20"/>
              </w:rPr>
            </w:pPr>
            <w:r w:rsidRPr="0057339A">
              <w:rPr>
                <w:color w:val="000000"/>
                <w:sz w:val="20"/>
              </w:rPr>
              <w:t>Small group testing to minimize distractions for students whose test is administered out of the classroom as documented in the IEP/504 plan.</w:t>
            </w:r>
          </w:p>
        </w:tc>
      </w:tr>
      <w:tr w:rsidR="00722D5D" w:rsidTr="00EF3F07">
        <w:trPr>
          <w:cantSplit/>
        </w:trPr>
        <w:tc>
          <w:tcPr>
            <w:tcW w:w="454" w:type="pct"/>
            <w:tcBorders>
              <w:top w:val="single" w:sz="4" w:space="0" w:color="auto"/>
              <w:left w:val="single" w:sz="4" w:space="0" w:color="auto"/>
              <w:bottom w:val="single" w:sz="4" w:space="0" w:color="auto"/>
              <w:right w:val="single" w:sz="4" w:space="0" w:color="auto"/>
            </w:tcBorders>
          </w:tcPr>
          <w:p w:rsidR="00722D5D" w:rsidRDefault="00722D5D" w:rsidP="00C17E89">
            <w:pPr>
              <w:pStyle w:val="Tableplainhead"/>
            </w:pPr>
            <w:r>
              <w:t>NE-10</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2D5D" w:rsidRDefault="00722D5D" w:rsidP="00C17E89">
            <w:pPr>
              <w:pStyle w:val="Tableplainhead"/>
            </w:pPr>
            <w:r>
              <w:t>Extended Time</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D5D" w:rsidRPr="000604D6" w:rsidRDefault="00722D5D" w:rsidP="00C17E89">
            <w:pPr>
              <w:pStyle w:val="Tabletext"/>
              <w:rPr>
                <w:sz w:val="20"/>
              </w:rPr>
            </w:pPr>
            <w:r w:rsidRPr="0041479D">
              <w:rPr>
                <w:sz w:val="20"/>
              </w:rPr>
              <w:t>Extended time beyond standard administration testing schedule as documented in the IEP/504 plan.</w:t>
            </w:r>
            <w:r>
              <w:rPr>
                <w:sz w:val="20"/>
              </w:rPr>
              <w:t xml:space="preserve"> Individual scheduling may be used for a student whose school performance is noticeably affected by the time of day or day of the school week on which it is administered. This accommodation may NOT be used to change the order of administration of test sessions. This accommodation must NOT result in the administration of a test session to an individual student prior to the regularly scheduled administration time for that session for all students.</w:t>
            </w:r>
          </w:p>
        </w:tc>
      </w:tr>
      <w:tr w:rsidR="00722D5D" w:rsidTr="00EF3F07">
        <w:trPr>
          <w:cantSplit/>
        </w:trPr>
        <w:tc>
          <w:tcPr>
            <w:tcW w:w="454" w:type="pct"/>
            <w:tcBorders>
              <w:top w:val="single" w:sz="4" w:space="0" w:color="auto"/>
              <w:left w:val="single" w:sz="4" w:space="0" w:color="auto"/>
              <w:bottom w:val="single" w:sz="4" w:space="0" w:color="auto"/>
              <w:right w:val="single" w:sz="4" w:space="0" w:color="auto"/>
            </w:tcBorders>
          </w:tcPr>
          <w:p w:rsidR="00722D5D" w:rsidRDefault="00722D5D" w:rsidP="00C17E89">
            <w:pPr>
              <w:pStyle w:val="Tableplainhead"/>
            </w:pPr>
            <w:r>
              <w:t>NE-11</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2D5D" w:rsidRDefault="00722D5D" w:rsidP="00C17E89">
            <w:pPr>
              <w:pStyle w:val="Tableplainhead"/>
            </w:pPr>
            <w:r>
              <w:t>Breaks</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D5D" w:rsidRPr="00754098" w:rsidRDefault="00722D5D" w:rsidP="00C17E89">
            <w:pPr>
              <w:pStyle w:val="Tabletext"/>
              <w:rPr>
                <w:sz w:val="20"/>
              </w:rPr>
            </w:pPr>
            <w:r w:rsidRPr="00754098">
              <w:rPr>
                <w:sz w:val="20"/>
              </w:rPr>
              <w:t>Multiple or frequent breaks for attention, distractibility, physical and/or medical conditions as documented in the IEP/504 plan.</w:t>
            </w:r>
            <w:r w:rsidR="00754098" w:rsidRPr="00754098">
              <w:rPr>
                <w:sz w:val="20"/>
              </w:rPr>
              <w:t xml:space="preserve"> </w:t>
            </w:r>
            <w:r w:rsidR="00754098">
              <w:rPr>
                <w:sz w:val="20"/>
              </w:rPr>
              <w:t>O</w:t>
            </w:r>
            <w:r w:rsidR="00754098" w:rsidRPr="00754098">
              <w:rPr>
                <w:sz w:val="20"/>
              </w:rPr>
              <w:t>pportunity for student to move, stand, and/or pace during assessment. This opportunity may be used in a single-student setting other than the classroom for a student who cannot focus when seated for sustained periods of time.</w:t>
            </w:r>
          </w:p>
        </w:tc>
      </w:tr>
      <w:tr w:rsidR="00722D5D" w:rsidTr="00EF3F07">
        <w:trPr>
          <w:cantSplit/>
        </w:trPr>
        <w:tc>
          <w:tcPr>
            <w:tcW w:w="454" w:type="pct"/>
            <w:tcBorders>
              <w:top w:val="single" w:sz="4" w:space="0" w:color="auto"/>
              <w:left w:val="single" w:sz="4" w:space="0" w:color="auto"/>
              <w:bottom w:val="single" w:sz="4" w:space="0" w:color="auto"/>
              <w:right w:val="single" w:sz="4" w:space="0" w:color="auto"/>
            </w:tcBorders>
          </w:tcPr>
          <w:p w:rsidR="00722D5D" w:rsidDel="00AF0560" w:rsidRDefault="00722D5D" w:rsidP="00C17E89">
            <w:pPr>
              <w:pStyle w:val="Tableplainhead"/>
            </w:pPr>
            <w:r>
              <w:t>NE-12</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2D5D" w:rsidRDefault="00722D5D" w:rsidP="00BB4F31">
            <w:pPr>
              <w:pStyle w:val="Tableplainhead"/>
            </w:pPr>
            <w:r>
              <w:t>Preferential Seating</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D5D" w:rsidRPr="0041479D" w:rsidRDefault="00722D5D" w:rsidP="00BB4F31">
            <w:pPr>
              <w:pStyle w:val="Tabletext"/>
              <w:rPr>
                <w:sz w:val="20"/>
              </w:rPr>
            </w:pPr>
            <w:r w:rsidRPr="00874C8A">
              <w:rPr>
                <w:sz w:val="20"/>
              </w:rPr>
              <w:t xml:space="preserve">Students may </w:t>
            </w:r>
            <w:r>
              <w:rPr>
                <w:sz w:val="20"/>
              </w:rPr>
              <w:t>have predetermined seating locations</w:t>
            </w:r>
            <w:r w:rsidRPr="00874C8A">
              <w:rPr>
                <w:sz w:val="20"/>
              </w:rPr>
              <w:t xml:space="preserve"> to reduce distractions for themselves or others, or to increase physical access to special equipment.</w:t>
            </w:r>
          </w:p>
        </w:tc>
      </w:tr>
      <w:tr w:rsidR="00754098" w:rsidTr="00EF3F07">
        <w:trPr>
          <w:cantSplit/>
        </w:trPr>
        <w:tc>
          <w:tcPr>
            <w:tcW w:w="454" w:type="pct"/>
            <w:tcBorders>
              <w:top w:val="single" w:sz="4" w:space="0" w:color="auto"/>
              <w:left w:val="single" w:sz="4" w:space="0" w:color="auto"/>
              <w:bottom w:val="single" w:sz="4" w:space="0" w:color="auto"/>
              <w:right w:val="single" w:sz="4" w:space="0" w:color="auto"/>
            </w:tcBorders>
          </w:tcPr>
          <w:p w:rsidR="00754098" w:rsidDel="00A315F1" w:rsidRDefault="00754098" w:rsidP="00EF3F07">
            <w:pPr>
              <w:pStyle w:val="Tableplainhead"/>
            </w:pPr>
            <w:r>
              <w:t>NE-13</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4098" w:rsidRDefault="00754098" w:rsidP="00BB4F31">
            <w:pPr>
              <w:pStyle w:val="Tableplainhead"/>
            </w:pPr>
            <w:r w:rsidRPr="00336823">
              <w:t>Out-of-school setting</w:t>
            </w:r>
            <w:r>
              <w:t xml:space="preserve"> </w:t>
            </w:r>
            <w:r w:rsidRPr="00336823">
              <w:rPr>
                <w:b w:val="0"/>
              </w:rPr>
              <w:t>with school personnel.</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098" w:rsidRPr="0041479D" w:rsidRDefault="00754098" w:rsidP="00BB4F31">
            <w:pPr>
              <w:pStyle w:val="Tabletext"/>
              <w:rPr>
                <w:sz w:val="20"/>
              </w:rPr>
            </w:pPr>
            <w:r w:rsidRPr="00B20F49">
              <w:rPr>
                <w:sz w:val="20"/>
              </w:rPr>
              <w:t>Out-of-school testing may be used for a student who is hospitalized or tutored because they are unable to attend school. The test must be administered by trained school personnel familiar with test administration procedures and guidelines. Relatives/guardians of the student may not be used as the test administrator.</w:t>
            </w:r>
          </w:p>
        </w:tc>
      </w:tr>
      <w:tr w:rsidR="00754098" w:rsidTr="00EF3F07">
        <w:trPr>
          <w:cantSplit/>
        </w:trPr>
        <w:tc>
          <w:tcPr>
            <w:tcW w:w="454" w:type="pct"/>
            <w:tcBorders>
              <w:top w:val="single" w:sz="4" w:space="0" w:color="auto"/>
              <w:left w:val="single" w:sz="4" w:space="0" w:color="auto"/>
              <w:bottom w:val="single" w:sz="4" w:space="0" w:color="auto"/>
              <w:right w:val="single" w:sz="4" w:space="0" w:color="auto"/>
            </w:tcBorders>
          </w:tcPr>
          <w:p w:rsidR="00754098" w:rsidDel="00AF0560" w:rsidRDefault="004853F1" w:rsidP="00C17E89">
            <w:pPr>
              <w:pStyle w:val="Tableplainhead"/>
            </w:pPr>
            <w:r>
              <w:lastRenderedPageBreak/>
              <w:t>NE-14</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4098" w:rsidRDefault="00754098" w:rsidP="00C17E89">
            <w:pPr>
              <w:pStyle w:val="Tableplainhead"/>
            </w:pPr>
            <w:r w:rsidRPr="00336823">
              <w:t>Braille</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098" w:rsidRPr="0041479D" w:rsidRDefault="00754098" w:rsidP="00C17E89">
            <w:pPr>
              <w:pStyle w:val="Tabletext"/>
              <w:rPr>
                <w:sz w:val="20"/>
              </w:rPr>
            </w:pPr>
            <w:r w:rsidRPr="000604D6">
              <w:rPr>
                <w:sz w:val="20"/>
              </w:rPr>
              <w:t>Assessment provided via paper in the braille code (UEB, UEB with Nemeth and/or EBAE/Nemeth) in which the student is most proficient as documented in the IEP/504 plan.</w:t>
            </w:r>
          </w:p>
        </w:tc>
      </w:tr>
      <w:tr w:rsidR="005D166D" w:rsidTr="00EF3F07">
        <w:trPr>
          <w:cantSplit/>
        </w:trPr>
        <w:tc>
          <w:tcPr>
            <w:tcW w:w="454" w:type="pct"/>
            <w:tcBorders>
              <w:top w:val="single" w:sz="4" w:space="0" w:color="auto"/>
              <w:left w:val="single" w:sz="4" w:space="0" w:color="auto"/>
              <w:bottom w:val="single" w:sz="4" w:space="0" w:color="auto"/>
              <w:right w:val="single" w:sz="4" w:space="0" w:color="auto"/>
            </w:tcBorders>
          </w:tcPr>
          <w:p w:rsidR="005D166D" w:rsidDel="00AF0560" w:rsidRDefault="005D166D" w:rsidP="005D166D">
            <w:pPr>
              <w:pStyle w:val="Tableplainhead"/>
            </w:pPr>
            <w:r>
              <w:t>NE-15</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166D" w:rsidRDefault="005D166D" w:rsidP="005D166D">
            <w:pPr>
              <w:pStyle w:val="Tableplainhead"/>
            </w:pPr>
            <w:r>
              <w:t>Color Overlay</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66D" w:rsidRPr="000604D6" w:rsidRDefault="005D166D" w:rsidP="005D166D">
            <w:pPr>
              <w:pStyle w:val="Tabletext"/>
              <w:rPr>
                <w:sz w:val="20"/>
              </w:rPr>
            </w:pPr>
            <w:r>
              <w:rPr>
                <w:sz w:val="20"/>
              </w:rPr>
              <w:t>Color contrast overlays used for either paper-based or online.</w:t>
            </w:r>
          </w:p>
        </w:tc>
      </w:tr>
      <w:tr w:rsidR="005D166D" w:rsidTr="00E051EF">
        <w:trPr>
          <w:cantSplit/>
        </w:trPr>
        <w:tc>
          <w:tcPr>
            <w:tcW w:w="5000" w:type="pct"/>
            <w:gridSpan w:val="3"/>
            <w:tcBorders>
              <w:top w:val="single" w:sz="4" w:space="0" w:color="auto"/>
              <w:left w:val="single" w:sz="4" w:space="0" w:color="auto"/>
              <w:bottom w:val="single" w:sz="4" w:space="0" w:color="auto"/>
              <w:right w:val="single" w:sz="4" w:space="0" w:color="auto"/>
            </w:tcBorders>
          </w:tcPr>
          <w:p w:rsidR="005D166D" w:rsidRPr="00B20F49" w:rsidRDefault="005D166D" w:rsidP="005D166D">
            <w:pPr>
              <w:jc w:val="center"/>
              <w:rPr>
                <w:b/>
              </w:rPr>
            </w:pPr>
            <w:r w:rsidRPr="00B20F49">
              <w:rPr>
                <w:b/>
              </w:rPr>
              <w:t>O. Other</w:t>
            </w:r>
          </w:p>
          <w:p w:rsidR="005D166D" w:rsidRPr="0041479D" w:rsidRDefault="005D166D" w:rsidP="005D166D">
            <w:pPr>
              <w:pStyle w:val="Tabletext"/>
              <w:jc w:val="center"/>
              <w:rPr>
                <w:sz w:val="20"/>
              </w:rPr>
            </w:pPr>
            <w:r w:rsidRPr="00B20F49">
              <w:rPr>
                <w:b/>
              </w:rPr>
              <w:t>This accommodation requires DOE approval or no credit will be given.</w:t>
            </w:r>
          </w:p>
        </w:tc>
      </w:tr>
      <w:tr w:rsidR="005D166D" w:rsidTr="00CE5644">
        <w:trPr>
          <w:cantSplit/>
        </w:trPr>
        <w:tc>
          <w:tcPr>
            <w:tcW w:w="454" w:type="pct"/>
            <w:tcBorders>
              <w:top w:val="single" w:sz="4" w:space="0" w:color="auto"/>
              <w:left w:val="single" w:sz="4" w:space="0" w:color="auto"/>
              <w:bottom w:val="single" w:sz="4" w:space="0" w:color="auto"/>
              <w:right w:val="single" w:sz="4" w:space="0" w:color="auto"/>
            </w:tcBorders>
          </w:tcPr>
          <w:p w:rsidR="005D166D" w:rsidDel="00AF0560" w:rsidRDefault="005D166D" w:rsidP="005D166D">
            <w:pPr>
              <w:pStyle w:val="Tableplainhead"/>
            </w:pPr>
            <w:r w:rsidRPr="00B20F49">
              <w:t>Code</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66D" w:rsidRDefault="005D166D" w:rsidP="005D166D">
            <w:pPr>
              <w:pStyle w:val="Tableplainhead"/>
            </w:pPr>
            <w:r w:rsidRPr="00B20F49">
              <w:t>Tests were administered</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66D" w:rsidRPr="0041479D" w:rsidRDefault="005D166D" w:rsidP="005D166D">
            <w:pPr>
              <w:pStyle w:val="Tabletext"/>
              <w:rPr>
                <w:sz w:val="20"/>
              </w:rPr>
            </w:pPr>
            <w:r w:rsidRPr="00B20F49">
              <w:t>Details on Delivery of Accommodations</w:t>
            </w:r>
          </w:p>
        </w:tc>
      </w:tr>
      <w:tr w:rsidR="005D166D" w:rsidTr="00CE5644">
        <w:trPr>
          <w:cantSplit/>
        </w:trPr>
        <w:tc>
          <w:tcPr>
            <w:tcW w:w="454" w:type="pct"/>
            <w:tcBorders>
              <w:top w:val="single" w:sz="4" w:space="0" w:color="auto"/>
              <w:left w:val="single" w:sz="4" w:space="0" w:color="auto"/>
              <w:bottom w:val="single" w:sz="4" w:space="0" w:color="auto"/>
              <w:right w:val="single" w:sz="4" w:space="0" w:color="auto"/>
            </w:tcBorders>
          </w:tcPr>
          <w:p w:rsidR="005D166D" w:rsidDel="00AF0560" w:rsidRDefault="005D166D" w:rsidP="005D166D">
            <w:pPr>
              <w:pStyle w:val="Tableplainhead"/>
            </w:pPr>
            <w:r w:rsidRPr="00B20F49">
              <w:t>O1</w:t>
            </w:r>
          </w:p>
        </w:tc>
        <w:tc>
          <w:tcPr>
            <w:tcW w:w="1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66D" w:rsidRDefault="005D166D" w:rsidP="005D166D">
            <w:pPr>
              <w:pStyle w:val="Tableplainhead"/>
            </w:pPr>
            <w:r>
              <w:t>U</w:t>
            </w:r>
            <w:r w:rsidRPr="00B20F49">
              <w:t xml:space="preserve">sing other accommodation(s) not on this list, requested by the accommodations team. </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66D" w:rsidRPr="0041479D" w:rsidRDefault="005D166D" w:rsidP="005D166D">
            <w:pPr>
              <w:pStyle w:val="Tabletext"/>
              <w:rPr>
                <w:sz w:val="20"/>
              </w:rPr>
            </w:pPr>
            <w:r w:rsidRPr="00B20F49">
              <w:rPr>
                <w:sz w:val="20"/>
              </w:rPr>
              <w:t xml:space="preserve">An IEP team or other appropriate accommodation team may request that a student be provided an accommodation not included on this standard list of accommodations. Like all other accommodations, these should be consistent with the student’s normal routine during instruction and/or assessment. Requests should be made to the DOE when accommodation plans are being made for a student prior to testing. DOE approval must be received for the requested accommodation to be coded as an O1 accommodation. </w:t>
            </w:r>
            <w:r>
              <w:rPr>
                <w:sz w:val="20"/>
              </w:rPr>
              <w:t>Without pre-approval, bubbling of this accommodation will result in no credit being given.</w:t>
            </w:r>
          </w:p>
        </w:tc>
      </w:tr>
    </w:tbl>
    <w:p w:rsidR="0052554B" w:rsidRDefault="0052554B" w:rsidP="0052554B">
      <w:pPr>
        <w:rPr>
          <w:b/>
          <w:color w:val="1F497D" w:themeColor="text2"/>
          <w:sz w:val="28"/>
          <w:szCs w:val="28"/>
          <w:u w:val="single"/>
        </w:rPr>
      </w:pPr>
    </w:p>
    <w:p w:rsidR="0052554B" w:rsidRDefault="0052554B" w:rsidP="0052554B">
      <w:pPr>
        <w:rPr>
          <w:b/>
          <w:color w:val="1F497D" w:themeColor="text2"/>
          <w:sz w:val="28"/>
          <w:szCs w:val="28"/>
          <w:u w:val="single"/>
        </w:rPr>
      </w:pPr>
    </w:p>
    <w:p w:rsidR="006445EC" w:rsidRDefault="006445EC">
      <w:pPr>
        <w:rPr>
          <w:b/>
          <w:color w:val="1F497D" w:themeColor="text2"/>
          <w:sz w:val="28"/>
          <w:szCs w:val="28"/>
          <w:u w:val="single"/>
        </w:rPr>
      </w:pPr>
      <w:r>
        <w:rPr>
          <w:b/>
          <w:color w:val="1F497D" w:themeColor="text2"/>
          <w:sz w:val="28"/>
          <w:szCs w:val="28"/>
          <w:u w:val="single"/>
        </w:rPr>
        <w:br w:type="page"/>
      </w:r>
    </w:p>
    <w:p w:rsidR="0052554B" w:rsidRPr="00814184" w:rsidRDefault="0052554B" w:rsidP="0052554B">
      <w:pPr>
        <w:rPr>
          <w:b/>
          <w:color w:val="1F497D" w:themeColor="text2"/>
          <w:sz w:val="28"/>
          <w:szCs w:val="28"/>
          <w:u w:val="single"/>
        </w:rPr>
      </w:pPr>
      <w:r>
        <w:rPr>
          <w:b/>
          <w:color w:val="1F497D" w:themeColor="text2"/>
          <w:sz w:val="28"/>
          <w:szCs w:val="28"/>
          <w:u w:val="single"/>
        </w:rPr>
        <w:t xml:space="preserve">Paper Version </w:t>
      </w:r>
      <w:r w:rsidRPr="00814184">
        <w:rPr>
          <w:b/>
          <w:color w:val="1F497D" w:themeColor="text2"/>
          <w:sz w:val="28"/>
          <w:szCs w:val="28"/>
          <w:u w:val="single"/>
        </w:rPr>
        <w:t>Read Aloud / American Sign Language Specifications</w:t>
      </w:r>
    </w:p>
    <w:p w:rsidR="0052554B" w:rsidRDefault="0052554B" w:rsidP="0052554B">
      <w:pPr>
        <w:rPr>
          <w:b/>
          <w:color w:val="1F497D" w:themeColor="text2"/>
          <w:sz w:val="28"/>
          <w:szCs w:val="28"/>
        </w:rPr>
      </w:pPr>
    </w:p>
    <w:p w:rsidR="0052554B" w:rsidRDefault="0052554B" w:rsidP="0052554B">
      <w:r>
        <w:t>The following chart outlines the components of grade-level, content-level, and specific text that will be accessed within test platform system for Text-To-Speech (TTS). The same chart guidelines should follow for non-embedded accommodations being provided by a human reader (Read Aloud) and an interpreter (Sign Language). TTS</w:t>
      </w:r>
      <w:r w:rsidRPr="00525926">
        <w:t xml:space="preserve"> and/or Read Aloud must be made available to all students who are blind/visually impaired who do not have braille reading skills</w:t>
      </w:r>
      <w:r>
        <w:t>.</w:t>
      </w:r>
    </w:p>
    <w:p w:rsidR="0052554B" w:rsidRDefault="0052554B" w:rsidP="0052554B"/>
    <w:tbl>
      <w:tblPr>
        <w:tblW w:w="6210" w:type="dxa"/>
        <w:tblInd w:w="2178" w:type="dxa"/>
        <w:tblLayout w:type="fixed"/>
        <w:tblLook w:val="04A0" w:firstRow="1" w:lastRow="0" w:firstColumn="1" w:lastColumn="0" w:noHBand="0" w:noVBand="1"/>
      </w:tblPr>
      <w:tblGrid>
        <w:gridCol w:w="2880"/>
        <w:gridCol w:w="2070"/>
        <w:gridCol w:w="1260"/>
      </w:tblGrid>
      <w:tr w:rsidR="00A07EAB" w:rsidRPr="00525926" w:rsidTr="000D5F29">
        <w:trPr>
          <w:trHeight w:val="624"/>
        </w:trPr>
        <w:tc>
          <w:tcPr>
            <w:tcW w:w="621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A07EAB" w:rsidRDefault="00A07EAB" w:rsidP="00EF3F07">
            <w:pPr>
              <w:jc w:val="center"/>
              <w:rPr>
                <w:rFonts w:ascii="Calibri" w:eastAsia="Times New Roman" w:hAnsi="Calibri"/>
                <w:b/>
                <w:color w:val="000000" w:themeColor="text1"/>
              </w:rPr>
            </w:pPr>
            <w:r>
              <w:rPr>
                <w:rFonts w:ascii="Calibri" w:eastAsia="Times New Roman" w:hAnsi="Calibri"/>
                <w:b/>
                <w:color w:val="000000" w:themeColor="text1"/>
              </w:rPr>
              <w:t>Read Aloud &amp; ASL</w:t>
            </w:r>
          </w:p>
        </w:tc>
      </w:tr>
      <w:tr w:rsidR="00A07EAB" w:rsidRPr="00525926" w:rsidTr="00A07EAB">
        <w:trPr>
          <w:trHeight w:val="624"/>
        </w:trPr>
        <w:tc>
          <w:tcPr>
            <w:tcW w:w="288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07EAB" w:rsidRPr="00525926" w:rsidRDefault="00A07EAB" w:rsidP="00EF3F07">
            <w:pPr>
              <w:jc w:val="center"/>
              <w:rPr>
                <w:rFonts w:ascii="Calibri" w:eastAsia="Times New Roman" w:hAnsi="Calibri"/>
                <w:b/>
                <w:color w:val="000000" w:themeColor="text1"/>
              </w:rPr>
            </w:pPr>
            <w:r w:rsidRPr="00525926">
              <w:rPr>
                <w:rFonts w:ascii="Calibri" w:eastAsia="Times New Roman" w:hAnsi="Calibri"/>
                <w:b/>
                <w:color w:val="000000" w:themeColor="text1"/>
              </w:rPr>
              <w:t>Content Area</w:t>
            </w:r>
          </w:p>
        </w:tc>
        <w:tc>
          <w:tcPr>
            <w:tcW w:w="207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A07EAB" w:rsidRPr="00525926" w:rsidRDefault="00A07EAB" w:rsidP="00EF3F07">
            <w:pPr>
              <w:jc w:val="center"/>
              <w:rPr>
                <w:rFonts w:ascii="Calibri" w:eastAsia="Times New Roman" w:hAnsi="Calibri"/>
                <w:b/>
                <w:color w:val="000000" w:themeColor="text1"/>
              </w:rPr>
            </w:pPr>
            <w:r w:rsidRPr="00525926">
              <w:rPr>
                <w:rFonts w:ascii="Calibri" w:eastAsia="Times New Roman" w:hAnsi="Calibri"/>
                <w:b/>
                <w:color w:val="000000" w:themeColor="text1"/>
              </w:rPr>
              <w:t>Item</w:t>
            </w:r>
          </w:p>
        </w:tc>
        <w:tc>
          <w:tcPr>
            <w:tcW w:w="1260"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A07EAB" w:rsidRPr="00525926" w:rsidRDefault="00A07EAB" w:rsidP="00EF3F07">
            <w:pPr>
              <w:jc w:val="center"/>
              <w:rPr>
                <w:rFonts w:ascii="Calibri" w:eastAsia="Times New Roman" w:hAnsi="Calibri"/>
                <w:b/>
                <w:color w:val="000000" w:themeColor="text1"/>
              </w:rPr>
            </w:pPr>
            <w:r>
              <w:rPr>
                <w:rFonts w:ascii="Calibri" w:eastAsia="Times New Roman" w:hAnsi="Calibri"/>
                <w:b/>
                <w:color w:val="000000" w:themeColor="text1"/>
              </w:rPr>
              <w:t xml:space="preserve">Gr. 3 – 8  </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Pr>
                <w:rFonts w:ascii="Calibri" w:eastAsia="Times New Roman" w:hAnsi="Calibri"/>
                <w:color w:val="000000" w:themeColor="text1"/>
              </w:rPr>
              <w:t>Reading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Test Directions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Pr>
                <w:rFonts w:ascii="Calibri" w:eastAsia="Times New Roman" w:hAnsi="Calibri"/>
                <w:color w:val="000000" w:themeColor="text1"/>
              </w:rPr>
              <w:t>No</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Pr>
                <w:rFonts w:ascii="Calibri" w:eastAsia="Times New Roman" w:hAnsi="Calibri"/>
                <w:color w:val="000000" w:themeColor="text1"/>
              </w:rPr>
              <w:t>Reading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Test Questions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No</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Pr>
                <w:rFonts w:ascii="Calibri" w:eastAsia="Times New Roman" w:hAnsi="Calibri"/>
                <w:color w:val="000000" w:themeColor="text1"/>
              </w:rPr>
              <w:t>Reading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Answer Choices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No</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Pr>
                <w:rFonts w:ascii="Calibri" w:eastAsia="Times New Roman" w:hAnsi="Calibri"/>
                <w:color w:val="000000" w:themeColor="text1"/>
              </w:rPr>
              <w:t>Reading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Reading Passages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No</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 </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Math</w:t>
            </w:r>
            <w:r>
              <w:rPr>
                <w:rFonts w:ascii="Calibri" w:eastAsia="Times New Roman" w:hAnsi="Calibri"/>
                <w:color w:val="000000" w:themeColor="text1"/>
              </w:rPr>
              <w:t xml:space="preserve">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Test Directions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Yes</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Math</w:t>
            </w:r>
            <w:r>
              <w:rPr>
                <w:rFonts w:ascii="Calibri" w:eastAsia="Times New Roman" w:hAnsi="Calibri"/>
                <w:color w:val="000000" w:themeColor="text1"/>
              </w:rPr>
              <w:t xml:space="preserve">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Test Questions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Yes</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Math</w:t>
            </w:r>
            <w:r>
              <w:rPr>
                <w:rFonts w:ascii="Calibri" w:eastAsia="Times New Roman" w:hAnsi="Calibri"/>
                <w:color w:val="000000" w:themeColor="text1"/>
              </w:rPr>
              <w:t xml:space="preserve">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Answer Choices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Yes</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Math</w:t>
            </w:r>
            <w:r>
              <w:rPr>
                <w:rFonts w:ascii="Calibri" w:eastAsia="Times New Roman" w:hAnsi="Calibri"/>
                <w:color w:val="000000" w:themeColor="text1"/>
              </w:rPr>
              <w:t xml:space="preserve">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Passages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Yes</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A07EAB">
            <w:pPr>
              <w:rPr>
                <w:rFonts w:ascii="Calibri" w:eastAsia="Times New Roman" w:hAnsi="Calibri"/>
                <w:color w:val="000000" w:themeColor="text1"/>
              </w:rPr>
            </w:pP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 </w:t>
            </w:r>
          </w:p>
        </w:tc>
      </w:tr>
      <w:tr w:rsidR="00A07EAB" w:rsidRPr="00525926" w:rsidTr="00A07EAB">
        <w:trPr>
          <w:trHeight w:val="42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Writing</w:t>
            </w:r>
            <w:r>
              <w:rPr>
                <w:rFonts w:ascii="Calibri" w:eastAsia="Times New Roman" w:hAnsi="Calibri"/>
                <w:color w:val="000000" w:themeColor="text1"/>
              </w:rPr>
              <w:t xml:space="preserve"> &amp; Language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Test Directions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No</w:t>
            </w:r>
          </w:p>
        </w:tc>
      </w:tr>
      <w:tr w:rsidR="00A07EAB" w:rsidRPr="00525926" w:rsidTr="006445EC">
        <w:trPr>
          <w:trHeight w:val="44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Writing</w:t>
            </w:r>
            <w:r>
              <w:rPr>
                <w:rFonts w:ascii="Calibri" w:eastAsia="Times New Roman" w:hAnsi="Calibri"/>
                <w:color w:val="000000" w:themeColor="text1"/>
              </w:rPr>
              <w:t xml:space="preserve"> &amp; Language 1&amp;2</w:t>
            </w:r>
          </w:p>
        </w:tc>
        <w:tc>
          <w:tcPr>
            <w:tcW w:w="207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Test Questions</w:t>
            </w:r>
          </w:p>
        </w:tc>
        <w:tc>
          <w:tcPr>
            <w:tcW w:w="1260" w:type="dxa"/>
            <w:tcBorders>
              <w:top w:val="nil"/>
              <w:left w:val="nil"/>
              <w:bottom w:val="single" w:sz="4" w:space="0" w:color="auto"/>
              <w:right w:val="single" w:sz="4" w:space="0" w:color="auto"/>
            </w:tcBorders>
            <w:shd w:val="clear" w:color="auto" w:fill="auto"/>
            <w:noWrap/>
            <w:vAlign w:val="bottom"/>
            <w:hideMark/>
          </w:tcPr>
          <w:p w:rsidR="00A07EAB" w:rsidRPr="00525926" w:rsidRDefault="00A07EAB" w:rsidP="00EF3F07">
            <w:pPr>
              <w:jc w:val="center"/>
              <w:rPr>
                <w:rFonts w:ascii="Calibri" w:eastAsia="Times New Roman" w:hAnsi="Calibri"/>
                <w:color w:val="000000" w:themeColor="text1"/>
              </w:rPr>
            </w:pPr>
            <w:r w:rsidRPr="00525926">
              <w:rPr>
                <w:rFonts w:ascii="Calibri" w:eastAsia="Times New Roman" w:hAnsi="Calibri"/>
                <w:color w:val="000000" w:themeColor="text1"/>
              </w:rPr>
              <w:t>No</w:t>
            </w:r>
          </w:p>
        </w:tc>
      </w:tr>
      <w:tr w:rsidR="006445EC" w:rsidRPr="00525926" w:rsidTr="006445EC">
        <w:trPr>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sidRPr="00525926">
              <w:rPr>
                <w:rFonts w:ascii="Calibri" w:eastAsia="Times New Roman" w:hAnsi="Calibri"/>
                <w:color w:val="000000" w:themeColor="text1"/>
              </w:rPr>
              <w:t>Writing</w:t>
            </w:r>
            <w:r>
              <w:rPr>
                <w:rFonts w:ascii="Calibri" w:eastAsia="Times New Roman" w:hAnsi="Calibri"/>
                <w:color w:val="000000" w:themeColor="text1"/>
              </w:rPr>
              <w:t xml:space="preserve"> &amp; Language 1&amp;2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sidRPr="00525926">
              <w:rPr>
                <w:rFonts w:ascii="Calibri" w:eastAsia="Times New Roman" w:hAnsi="Calibri"/>
                <w:color w:val="000000" w:themeColor="text1"/>
              </w:rPr>
              <w:t>Answer Choices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No</w:t>
            </w:r>
          </w:p>
        </w:tc>
      </w:tr>
      <w:tr w:rsidR="006445EC" w:rsidRPr="00525926" w:rsidTr="006445EC">
        <w:trPr>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sidRPr="00525926">
              <w:rPr>
                <w:rFonts w:ascii="Calibri" w:eastAsia="Times New Roman" w:hAnsi="Calibri"/>
                <w:color w:val="000000" w:themeColor="text1"/>
              </w:rPr>
              <w:t>Writing</w:t>
            </w:r>
            <w:r>
              <w:rPr>
                <w:rFonts w:ascii="Calibri" w:eastAsia="Times New Roman" w:hAnsi="Calibri"/>
                <w:color w:val="000000" w:themeColor="text1"/>
              </w:rPr>
              <w:t xml:space="preserve"> &amp; Language 1&amp;2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Passages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No</w:t>
            </w:r>
          </w:p>
        </w:tc>
      </w:tr>
      <w:tr w:rsidR="006445EC" w:rsidRPr="00525926" w:rsidTr="006445EC">
        <w:trPr>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Default="006445EC" w:rsidP="00EF3F07">
            <w:pPr>
              <w:jc w:val="center"/>
              <w:rPr>
                <w:rFonts w:ascii="Calibri" w:eastAsia="Times New Roman" w:hAnsi="Calibr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p>
        </w:tc>
      </w:tr>
      <w:tr w:rsidR="006445EC" w:rsidRPr="00525926" w:rsidTr="006445EC">
        <w:trPr>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Writing/Essay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Test Directions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Yes</w:t>
            </w:r>
          </w:p>
        </w:tc>
      </w:tr>
      <w:tr w:rsidR="006445EC" w:rsidRPr="00525926" w:rsidTr="006445EC">
        <w:trPr>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Writing/Essay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Passages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Yes</w:t>
            </w:r>
          </w:p>
        </w:tc>
      </w:tr>
      <w:tr w:rsidR="006445EC" w:rsidRPr="00525926" w:rsidTr="006445EC">
        <w:trPr>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Writing/Essay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Prompts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r>
              <w:rPr>
                <w:rFonts w:ascii="Calibri" w:eastAsia="Times New Roman" w:hAnsi="Calibri"/>
                <w:color w:val="000000" w:themeColor="text1"/>
              </w:rPr>
              <w:t>Yes</w:t>
            </w:r>
          </w:p>
        </w:tc>
      </w:tr>
      <w:tr w:rsidR="006445EC" w:rsidRPr="00525926" w:rsidTr="006445EC">
        <w:trPr>
          <w:trHeight w:val="216"/>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Default="006445EC" w:rsidP="00EF3F07">
            <w:pPr>
              <w:jc w:val="center"/>
              <w:rPr>
                <w:rFonts w:ascii="Calibri" w:eastAsia="Times New Roman" w:hAnsi="Calibr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6445EC" w:rsidRPr="00525926" w:rsidRDefault="006445EC" w:rsidP="00EF3F07">
            <w:pPr>
              <w:jc w:val="center"/>
              <w:rPr>
                <w:rFonts w:ascii="Calibri" w:eastAsia="Times New Roman" w:hAnsi="Calibri"/>
                <w:color w:val="000000" w:themeColor="text1"/>
              </w:rPr>
            </w:pPr>
          </w:p>
        </w:tc>
      </w:tr>
    </w:tbl>
    <w:p w:rsidR="0052554B" w:rsidRPr="0052554B" w:rsidRDefault="0052554B" w:rsidP="0052554B"/>
    <w:sectPr w:rsidR="0052554B" w:rsidRPr="0052554B" w:rsidSect="001C0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07"/>
    <w:multiLevelType w:val="hybridMultilevel"/>
    <w:tmpl w:val="131C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C60B6"/>
    <w:multiLevelType w:val="hybridMultilevel"/>
    <w:tmpl w:val="D5A80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4B"/>
    <w:rsid w:val="000A0712"/>
    <w:rsid w:val="001C03E9"/>
    <w:rsid w:val="00336823"/>
    <w:rsid w:val="004440D5"/>
    <w:rsid w:val="004853F1"/>
    <w:rsid w:val="0052554B"/>
    <w:rsid w:val="00572D76"/>
    <w:rsid w:val="005D166D"/>
    <w:rsid w:val="006445EC"/>
    <w:rsid w:val="00645606"/>
    <w:rsid w:val="00722D5D"/>
    <w:rsid w:val="00754098"/>
    <w:rsid w:val="007A6827"/>
    <w:rsid w:val="007B6AC3"/>
    <w:rsid w:val="007D772B"/>
    <w:rsid w:val="00915CC5"/>
    <w:rsid w:val="00940DC5"/>
    <w:rsid w:val="009C7C1B"/>
    <w:rsid w:val="00A07EAB"/>
    <w:rsid w:val="00A315F1"/>
    <w:rsid w:val="00A56D06"/>
    <w:rsid w:val="00AF0560"/>
    <w:rsid w:val="00CE5644"/>
    <w:rsid w:val="00CF64DC"/>
    <w:rsid w:val="00D60060"/>
    <w:rsid w:val="00DB1183"/>
    <w:rsid w:val="00E051EF"/>
    <w:rsid w:val="00E92C3E"/>
    <w:rsid w:val="00EC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633E"/>
  <w15:docId w15:val="{2EBD7C0A-7ECF-4303-94D8-B11E26C5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3E9"/>
  </w:style>
  <w:style w:type="paragraph" w:styleId="Heading2">
    <w:name w:val="heading 2"/>
    <w:basedOn w:val="Normal"/>
    <w:next w:val="Normal"/>
    <w:link w:val="Heading2Char"/>
    <w:uiPriority w:val="1"/>
    <w:qFormat/>
    <w:rsid w:val="0052554B"/>
    <w:pPr>
      <w:keepNext/>
      <w:keepLines/>
      <w:spacing w:before="360" w:after="360" w:line="240" w:lineRule="auto"/>
      <w:outlineLvl w:val="1"/>
    </w:pPr>
    <w:rPr>
      <w:rFonts w:eastAsia="SimSun" w:cs="Times New Roman"/>
      <w:b/>
      <w:bCs/>
      <w:color w:val="3563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2554B"/>
    <w:rPr>
      <w:rFonts w:eastAsia="SimSun" w:cs="Times New Roman"/>
      <w:b/>
      <w:bCs/>
      <w:color w:val="356387"/>
      <w:sz w:val="28"/>
      <w:szCs w:val="26"/>
    </w:rPr>
  </w:style>
  <w:style w:type="paragraph" w:customStyle="1" w:styleId="Tablehead">
    <w:name w:val="Table head"/>
    <w:basedOn w:val="Normal"/>
    <w:uiPriority w:val="2"/>
    <w:qFormat/>
    <w:rsid w:val="0052554B"/>
    <w:pPr>
      <w:shd w:val="clear" w:color="auto" w:fill="356387"/>
      <w:spacing w:line="240" w:lineRule="auto"/>
      <w:jc w:val="center"/>
    </w:pPr>
    <w:rPr>
      <w:rFonts w:ascii="Lucida Sans" w:hAnsi="Lucida Sans" w:cs="Times New Roman"/>
      <w:b/>
      <w:color w:val="FFFFFF" w:themeColor="background1"/>
      <w:sz w:val="20"/>
      <w:szCs w:val="20"/>
    </w:rPr>
  </w:style>
  <w:style w:type="paragraph" w:customStyle="1" w:styleId="Tableplainhead">
    <w:name w:val="Table plain head"/>
    <w:basedOn w:val="Normal"/>
    <w:uiPriority w:val="3"/>
    <w:qFormat/>
    <w:rsid w:val="0052554B"/>
    <w:pPr>
      <w:spacing w:before="60" w:after="60" w:line="240" w:lineRule="auto"/>
    </w:pPr>
    <w:rPr>
      <w:rFonts w:ascii="Lucida Sans" w:hAnsi="Lucida Sans" w:cs="Times New Roman"/>
      <w:b/>
      <w:color w:val="3D301A"/>
      <w:sz w:val="20"/>
      <w:szCs w:val="20"/>
    </w:rPr>
  </w:style>
  <w:style w:type="paragraph" w:customStyle="1" w:styleId="Tabletext">
    <w:name w:val="Table text"/>
    <w:basedOn w:val="Normal"/>
    <w:uiPriority w:val="3"/>
    <w:qFormat/>
    <w:rsid w:val="0052554B"/>
    <w:pPr>
      <w:spacing w:before="60" w:after="60" w:line="240" w:lineRule="auto"/>
    </w:pPr>
    <w:rPr>
      <w:rFonts w:ascii="Lucida Sans" w:hAnsi="Lucida Sans" w:cs="Times New Roman"/>
      <w:color w:val="3D301A"/>
      <w:sz w:val="18"/>
      <w:szCs w:val="20"/>
    </w:rPr>
  </w:style>
  <w:style w:type="character" w:styleId="CommentReference">
    <w:name w:val="annotation reference"/>
    <w:basedOn w:val="DefaultParagraphFont"/>
    <w:uiPriority w:val="99"/>
    <w:semiHidden/>
    <w:unhideWhenUsed/>
    <w:rsid w:val="0052554B"/>
    <w:rPr>
      <w:sz w:val="18"/>
      <w:szCs w:val="18"/>
    </w:rPr>
  </w:style>
  <w:style w:type="paragraph" w:styleId="CommentText">
    <w:name w:val="annotation text"/>
    <w:basedOn w:val="Normal"/>
    <w:link w:val="CommentTextChar"/>
    <w:uiPriority w:val="99"/>
    <w:unhideWhenUsed/>
    <w:rsid w:val="0052554B"/>
    <w:pPr>
      <w:spacing w:before="120" w:after="120" w:line="240" w:lineRule="auto"/>
    </w:pPr>
    <w:rPr>
      <w:rFonts w:ascii="Lucida Sans" w:eastAsia="Cambria" w:hAnsi="Lucida Sans" w:cs="Times New Roman"/>
      <w:color w:val="3D301A"/>
    </w:rPr>
  </w:style>
  <w:style w:type="character" w:customStyle="1" w:styleId="CommentTextChar">
    <w:name w:val="Comment Text Char"/>
    <w:basedOn w:val="DefaultParagraphFont"/>
    <w:link w:val="CommentText"/>
    <w:uiPriority w:val="99"/>
    <w:rsid w:val="0052554B"/>
    <w:rPr>
      <w:rFonts w:ascii="Lucida Sans" w:eastAsia="Cambria" w:hAnsi="Lucida Sans" w:cs="Times New Roman"/>
      <w:color w:val="3D301A"/>
    </w:rPr>
  </w:style>
  <w:style w:type="paragraph" w:styleId="ListParagraph">
    <w:name w:val="List Paragraph"/>
    <w:basedOn w:val="Normal"/>
    <w:uiPriority w:val="34"/>
    <w:qFormat/>
    <w:rsid w:val="0052554B"/>
    <w:pPr>
      <w:spacing w:before="120" w:after="120" w:line="240" w:lineRule="auto"/>
      <w:ind w:left="720"/>
      <w:contextualSpacing/>
    </w:pPr>
    <w:rPr>
      <w:rFonts w:ascii="Lucida Sans" w:eastAsia="Cambria" w:hAnsi="Lucida Sans" w:cs="Times New Roman"/>
      <w:color w:val="3D301A"/>
      <w:sz w:val="20"/>
      <w:szCs w:val="20"/>
    </w:rPr>
  </w:style>
  <w:style w:type="paragraph" w:styleId="BalloonText">
    <w:name w:val="Balloon Text"/>
    <w:basedOn w:val="Normal"/>
    <w:link w:val="BalloonTextChar"/>
    <w:uiPriority w:val="99"/>
    <w:semiHidden/>
    <w:unhideWhenUsed/>
    <w:rsid w:val="00525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54B"/>
    <w:rPr>
      <w:rFonts w:ascii="Tahoma" w:hAnsi="Tahoma" w:cs="Tahoma"/>
      <w:sz w:val="16"/>
      <w:szCs w:val="16"/>
    </w:rPr>
  </w:style>
  <w:style w:type="paragraph" w:styleId="BodyTextIndent2">
    <w:name w:val="Body Text Indent 2"/>
    <w:basedOn w:val="Normal"/>
    <w:link w:val="BodyTextIndent2Char"/>
    <w:rsid w:val="00E051EF"/>
    <w:pPr>
      <w:spacing w:line="240" w:lineRule="auto"/>
      <w:ind w:left="720"/>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E051EF"/>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Nancy</dc:creator>
  <cp:lastModifiedBy>Buckhalter, Eric</cp:lastModifiedBy>
  <cp:revision>4</cp:revision>
  <cp:lastPrinted>2018-11-20T14:43:00Z</cp:lastPrinted>
  <dcterms:created xsi:type="dcterms:W3CDTF">2018-11-20T14:44:00Z</dcterms:created>
  <dcterms:modified xsi:type="dcterms:W3CDTF">2019-10-18T19:06:00Z</dcterms:modified>
</cp:coreProperties>
</file>