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F5" w:rsidRDefault="00D95684" w14:paraId="16BB9254" w14:textId="77777777">
      <w:pPr>
        <w:ind w:left="1" w:hanging="3"/>
        <w:jc w:val="center"/>
        <w:rPr>
          <w:rFonts w:ascii="Times New Roman" w:hAnsi="Times New Roman" w:eastAsia="Times New Roman" w:cs="Times New Roman"/>
          <w:sz w:val="32"/>
          <w:szCs w:val="32"/>
        </w:rPr>
      </w:pPr>
      <w:bookmarkStart w:name="_heading=h.gjdgxs" w:colFirst="0" w:colLast="0" w:id="0"/>
      <w:bookmarkStart w:name="_GoBack" w:id="1"/>
      <w:bookmarkEnd w:id="0"/>
      <w:bookmarkEnd w:id="1"/>
      <w:r>
        <w:rPr>
          <w:rFonts w:ascii="Times New Roman" w:hAnsi="Times New Roman" w:eastAsia="Times New Roman" w:cs="Times New Roman"/>
          <w:b/>
          <w:sz w:val="32"/>
          <w:szCs w:val="32"/>
        </w:rPr>
        <w:t>SAMPLE NALOXONE POLICY</w:t>
      </w:r>
    </w:p>
    <w:p w:rsidR="009C4AF5" w:rsidRDefault="00D95684" w14:paraId="34E964ED" w14:textId="77777777">
      <w:pP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Purpose</w:t>
      </w:r>
    </w:p>
    <w:p w:rsidR="009C4AF5" w:rsidRDefault="00D95684" w14:paraId="78D1ABB7" w14:textId="77777777">
      <w:pP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It is the intent of {District} to prevent opioid-related deaths on school premises. Naloxone, commonly known as Narcan, is a medication that can reverse an overdose that is caused by an opioid drug. When administered during an overdose, naloxone blocks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effects of opioids on the brain and respiratory system in order to prevent death. Naloxone has no potential for abuse and is a non-narcotic and non-addicting prescription medication.</w:t>
      </w:r>
    </w:p>
    <w:p w:rsidR="009C4AF5" w:rsidRDefault="00D95684" w14:paraId="1EB58099" w14:textId="77777777">
      <w:pP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It is the policy of {District} that all schools stock naloxone as an opi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oid antagonist to treat a case of suspected opioid overdose in a school setting. Any person </w:t>
      </w:r>
      <w:r>
        <w:rPr>
          <w:rFonts w:ascii="Times New Roman" w:hAnsi="Times New Roman" w:eastAsia="Times New Roman" w:cs="Times New Roman"/>
          <w:sz w:val="24"/>
          <w:szCs w:val="24"/>
        </w:rPr>
        <w:t>trained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may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administer naloxone to any person suspected of experiencing an opioid-related overdose.</w:t>
      </w:r>
    </w:p>
    <w:p w:rsidR="009C4AF5" w:rsidRDefault="00D95684" w14:paraId="34131D76" w14:textId="77777777">
      <w:pP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 w:rsidRPr="73DCE8A9" w:rsidR="00D9568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Authority</w:t>
      </w:r>
    </w:p>
    <w:p w:rsidR="009C4AF5" w:rsidP="73DCE8A9" w:rsidRDefault="00D95684" w14:paraId="5C5E1454" w14:textId="6614A34B">
      <w:pPr>
        <w:pStyle w:val="Normal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 w:rsidRPr="73DCE8A9" w:rsidR="46B3E03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73DCE8A9" w:rsidR="76609D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 June 8, 202</w:t>
      </w:r>
      <w:r w:rsidRPr="73DCE8A9" w:rsidR="1457F5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1, LD 772</w:t>
      </w:r>
      <w:r w:rsidRPr="73DCE8A9" w:rsidR="659013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DCE8A9" w:rsidR="659013B4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An Act to Permit Naloxone Possession, Prescription, Administration and Distribution in Public and Private Schools</w:t>
      </w:r>
      <w:r w:rsidRPr="73DCE8A9" w:rsidR="1457F5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was signed into </w:t>
      </w:r>
      <w:hyperlink r:id="Rc84dd587e39742ab">
        <w:r w:rsidRPr="73DCE8A9" w:rsidR="1457F5A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law</w:t>
        </w:r>
      </w:hyperlink>
      <w:r w:rsidRPr="73DCE8A9" w:rsidR="76609D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which  provides for the administration of naloxone hydrochloride in a noninjectable form to students, school staff and school visitors through collaborative practice agreements between physicians licensed in this State or school health advisors and public and private school nurse</w:t>
      </w:r>
      <w:r w:rsidRPr="73DCE8A9" w:rsidR="76E4D0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73DCE8A9" w:rsidR="76609D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DCE8A9" w:rsidR="1ABE8C1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Prior to that, i</w:t>
      </w:r>
      <w:r w:rsidRPr="73DCE8A9" w:rsidR="00D95684">
        <w:rPr>
          <w:rFonts w:ascii="Times New Roman" w:hAnsi="Times New Roman" w:eastAsia="Times New Roman" w:cs="Times New Roman"/>
          <w:sz w:val="24"/>
          <w:szCs w:val="24"/>
        </w:rPr>
        <w:t xml:space="preserve">n response to Executive Order No. 2 </w:t>
      </w:r>
      <w:r w:rsidRPr="73DCE8A9" w:rsidR="00D9568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An Order to Imple</w:t>
      </w:r>
      <w:r w:rsidRPr="73DCE8A9" w:rsidR="00D9568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ment Immediate Responses to Maine’s Opioid Epidemic,</w:t>
      </w:r>
      <w:r w:rsidRPr="73DCE8A9" w:rsidR="00D95684">
        <w:rPr>
          <w:rFonts w:ascii="Times New Roman" w:hAnsi="Times New Roman" w:eastAsia="Times New Roman" w:cs="Times New Roman"/>
          <w:sz w:val="24"/>
          <w:szCs w:val="24"/>
        </w:rPr>
        <w:t xml:space="preserve"> from the Governor of Maine, the Director of Opioid Response ha</w:t>
      </w:r>
      <w:r w:rsidRPr="73DCE8A9" w:rsidR="0F688C39">
        <w:rPr>
          <w:rFonts w:ascii="Times New Roman" w:hAnsi="Times New Roman" w:eastAsia="Times New Roman" w:cs="Times New Roman"/>
          <w:sz w:val="24"/>
          <w:szCs w:val="24"/>
        </w:rPr>
        <w:t>d</w:t>
      </w:r>
      <w:r w:rsidRPr="73DCE8A9" w:rsidR="00D95684">
        <w:rPr>
          <w:rFonts w:ascii="Times New Roman" w:hAnsi="Times New Roman" w:eastAsia="Times New Roman" w:cs="Times New Roman"/>
          <w:sz w:val="24"/>
          <w:szCs w:val="24"/>
        </w:rPr>
        <w:t xml:space="preserve"> encouraged all middle school and high schools in Maine to make naloxone readily available to anyone who may be experiencing opioid overdose</w:t>
      </w:r>
      <w:r w:rsidRPr="73DCE8A9" w:rsidR="00D95684">
        <w:rPr>
          <w:rFonts w:ascii="Times New Roman" w:hAnsi="Times New Roman" w:eastAsia="Times New Roman" w:cs="Times New Roman"/>
          <w:sz w:val="24"/>
          <w:szCs w:val="24"/>
        </w:rPr>
        <w:t>.</w:t>
      </w:r>
      <w:r w:rsidRPr="73DCE8A9" w:rsidR="676A98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9C4AF5" w:rsidRDefault="00D95684" w14:paraId="203EB9E7" w14:textId="77777777">
      <w:pP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Title 20-A Chapter 201 §4009: any non-licensed agent or employee of a school or school administrative unit who renders first aid, emergency treatment or rescue assistance to a student during a school program may not be held liable for injuries alleged to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have been sustained by that student or for the death of that student alleged to have occurred as a result of an act or omission in rendering such aid, treatment, or assistance. </w:t>
      </w:r>
    </w:p>
    <w:p w:rsidR="009C4AF5" w:rsidRDefault="00D95684" w14:paraId="216E8F2A" w14:textId="77777777">
      <w:pP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Permissions</w:t>
      </w:r>
    </w:p>
    <w:p w:rsidR="009C4AF5" w:rsidP="33BAD4AD" w:rsidRDefault="00D95684" w14:paraId="2976F33C" w14:textId="5F0271E1">
      <w:pPr>
        <w:pStyle w:val="Normal"/>
        <w:ind w:left="0" w:hanging="2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The superintendent or designee shall maintain a current standing 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medical order from the school medical advisor that prescribes naloxone for use by </w:t>
      </w:r>
      <w:r w:rsidRPr="33BAD4AD" w:rsidR="0CA9EC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school nurse or other licensed health care professional whose scope of practice includes administration of naloxone {or 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trained 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>school personnel</w:t>
      </w:r>
      <w:r w:rsidRPr="33BAD4AD" w:rsidR="2466DC82">
        <w:rPr>
          <w:rFonts w:ascii="Times New Roman" w:hAnsi="Times New Roman" w:eastAsia="Times New Roman" w:cs="Times New Roman"/>
          <w:sz w:val="24"/>
          <w:szCs w:val="24"/>
        </w:rPr>
        <w:t xml:space="preserve"> if a collaborative practice agreement is in place}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 to assist any individual suspected of experiencing an opioid related overdose on school grounds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>.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3BAD4AD" w:rsidR="7F3496A2">
        <w:rPr>
          <w:rFonts w:ascii="Times New Roman" w:hAnsi="Times New Roman" w:eastAsia="Times New Roman" w:cs="Times New Roman"/>
          <w:sz w:val="24"/>
          <w:szCs w:val="24"/>
        </w:rPr>
        <w:t>A school nurse or other licensed health care professional whose scope of practice includes administration of naloxone {or trained school personnel if a collaborative practice agreement is in place}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 may carry and administe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r naloxone on school 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 xml:space="preserve">grounds </w:t>
      </w:r>
      <w:r w:rsidRPr="33BAD4AD" w:rsidR="00D95684">
        <w:rPr>
          <w:rFonts w:ascii="Times New Roman" w:hAnsi="Times New Roman" w:eastAsia="Times New Roman" w:cs="Times New Roman"/>
          <w:sz w:val="24"/>
          <w:szCs w:val="24"/>
        </w:rPr>
        <w:t>with a standing order from the school health advisor.</w:t>
      </w:r>
    </w:p>
    <w:p w:rsidR="009C4AF5" w:rsidRDefault="00D95684" w14:paraId="535E0862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Procurement of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aloxone</w:t>
      </w:r>
    </w:p>
    <w:p w:rsidR="009C4AF5" w:rsidRDefault="009C4AF5" w14:paraId="59746B4C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:rsidR="009C4AF5" w:rsidRDefault="00D95684" w14:paraId="62451853" w14:textId="7777777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superintendent, principal, certified school nurse, or designee will be responsible for the procurement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naloxone. The school medical advisor s</w:t>
      </w:r>
      <w:r>
        <w:rPr>
          <w:rFonts w:ascii="Times New Roman" w:hAnsi="Times New Roman" w:eastAsia="Times New Roman" w:cs="Times New Roman"/>
          <w:sz w:val="24"/>
          <w:szCs w:val="24"/>
        </w:rPr>
        <w:t>hall prepare standing orders.</w:t>
      </w:r>
    </w:p>
    <w:p w:rsidR="009C4AF5" w:rsidRDefault="00D95684" w14:paraId="0FC32091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Storage</w:t>
      </w:r>
    </w:p>
    <w:p w:rsidR="009C4AF5" w:rsidRDefault="009C4AF5" w14:paraId="4BC50A2E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:rsidR="009C4AF5" w:rsidRDefault="00D95684" w14:paraId="612466B1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Naloxone will be clearly marked and stored in an unlocked storage cabinet in each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nurse’s office {or other designated area such as with AED}. The school nurse will ensure that all other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trained </w:t>
      </w: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staff are aware of the 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aloxone storage location. Naloxone will be stored in accordance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with the manufacturer's </w:t>
      </w:r>
      <w:r>
        <w:rPr>
          <w:rFonts w:ascii="Times New Roman" w:hAnsi="Times New Roman" w:eastAsia="Times New Roman" w:cs="Times New Roman"/>
          <w:sz w:val="24"/>
          <w:szCs w:val="24"/>
        </w:rPr>
        <w:t>instructions to avoid extreme co</w:t>
      </w:r>
      <w:r>
        <w:rPr>
          <w:rFonts w:ascii="Times New Roman" w:hAnsi="Times New Roman" w:eastAsia="Times New Roman" w:cs="Times New Roman"/>
          <w:sz w:val="24"/>
          <w:szCs w:val="24"/>
        </w:rPr>
        <w:t>ld, heat and direct sunlight.</w:t>
      </w:r>
    </w:p>
    <w:p w:rsidR="009C4AF5" w:rsidRDefault="009C4AF5" w14:paraId="4C84884A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:rsidR="009C4AF5" w:rsidRDefault="00D95684" w14:paraId="136D5F9E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Use of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aloxone</w:t>
      </w:r>
    </w:p>
    <w:p w:rsidR="009C4AF5" w:rsidRDefault="009C4AF5" w14:paraId="65F9F6FB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:rsidR="009C4AF5" w:rsidRDefault="00D95684" w14:paraId="4184D912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Follow the protocol for the administration of naloxone for suspected </w:t>
      </w:r>
      <w:r>
        <w:rPr>
          <w:rFonts w:ascii="Times New Roman" w:hAnsi="Times New Roman" w:eastAsia="Times New Roman" w:cs="Times New Roman"/>
          <w:sz w:val="24"/>
          <w:szCs w:val="24"/>
        </w:rPr>
        <w:t>opioid overdose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9C4AF5" w:rsidRDefault="009C4AF5" w14:paraId="208851DF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C4AF5" w:rsidRDefault="00D95684" w14:paraId="28B992AF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Follow Up</w:t>
      </w:r>
    </w:p>
    <w:p w:rsidR="009C4AF5" w:rsidRDefault="009C4AF5" w14:paraId="723CFFAA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:rsidR="009C4AF5" w:rsidRDefault="00D95684" w14:paraId="29291086" w14:textId="77777777">
      <w:pPr>
        <w:spacing w:after="0"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After administration of naloxone, the person administering naloxone will follow {District} policies for incident reporting. Notify district-level administration.</w:t>
      </w:r>
    </w:p>
    <w:p w:rsidR="009C4AF5" w:rsidRDefault="009C4AF5" w14:paraId="276BB095" w14:textId="77777777">
      <w:pPr>
        <w:ind w:left="2" w:hanging="4"/>
        <w:rPr>
          <w:rFonts w:ascii="Times New Roman" w:hAnsi="Times New Roman" w:eastAsia="Times New Roman" w:cs="Times New Roman"/>
          <w:sz w:val="40"/>
          <w:szCs w:val="40"/>
        </w:rPr>
      </w:pPr>
    </w:p>
    <w:sectPr w:rsidR="009C4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pgNumType w:start="1"/>
      <w:cols w:equalWidth="0" w:space="72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5684" w14:paraId="76B6EA48" w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D95684" w14:paraId="528D8669" w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AF5" w:rsidRDefault="009C4AF5" w14:paraId="7FB57808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AF5" w:rsidRDefault="00D95684" w14:paraId="4EBCC6ED" w14:textId="77777777">
    <w:pPr>
      <w:pBdr>
        <w:top w:val="single" w:color="622423" w:sz="24" w:space="1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rFonts w:ascii="Cambria" w:hAnsi="Cambria" w:eastAsia="Cambria" w:cs="Cambria"/>
        <w:color w:val="000000"/>
      </w:rPr>
    </w:pPr>
    <w:r>
      <w:rPr>
        <w:rFonts w:ascii="Cambria" w:hAnsi="Cambria" w:eastAsia="Cambria" w:cs="Cambria"/>
        <w:color w:val="000000"/>
      </w:rPr>
      <w:t>Naloxone Sample Policy 20</w:t>
    </w:r>
    <w:r>
      <w:rPr>
        <w:rFonts w:ascii="Cambria" w:hAnsi="Cambria" w:eastAsia="Cambria" w:cs="Cambria"/>
      </w:rPr>
      <w:t>20</w:t>
    </w:r>
    <w:r>
      <w:rPr>
        <w:rFonts w:ascii="Cambria" w:hAnsi="Cambria" w:eastAsia="Cambria" w:cs="Cambria"/>
        <w:color w:val="000000"/>
      </w:rPr>
      <w:tab/>
    </w:r>
    <w:r>
      <w:rPr>
        <w:rFonts w:ascii="Cambria" w:hAnsi="Cambria" w:eastAsia="Cambria" w:cs="Cambria"/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9C4AF5" w:rsidRDefault="009C4AF5" w14:paraId="3B284A70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AF5" w:rsidRDefault="009C4AF5" w14:paraId="14370A42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5684" w14:paraId="742764A2" w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D95684" w14:paraId="6335E1CB" w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9C4AF5" w:rsidRDefault="00D95684" w14:paraId="7A7F838D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E73F5A2" wp14:editId="31A31268">
              <wp:simplePos x="0" y="0"/>
              <wp:positionH relativeFrom="column">
                <wp:posOffset>457200</wp:posOffset>
              </wp:positionH>
              <wp:positionV relativeFrom="paragraph">
                <wp:posOffset>-1396999</wp:posOffset>
              </wp:positionV>
              <wp:extent cx="5939092" cy="5939092"/>
              <wp:effectExtent l="0" t="0" r="0" b="0"/>
              <wp:wrapNone/>
              <wp:docPr id="10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C4AF5" w:rsidRDefault="009C4AF5" w14:paraId="43F0D0F4" w14:textId="77777777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 wp14:anchorId="06E891C4" wp14:editId="7777777">
              <wp:simplePos x="0" y="0"/>
              <wp:positionH relativeFrom="column">
                <wp:posOffset>457200</wp:posOffset>
              </wp:positionH>
              <wp:positionV relativeFrom="paragraph">
                <wp:posOffset>-1396999</wp:posOffset>
              </wp:positionV>
              <wp:extent cx="5939092" cy="5939092"/>
              <wp:effectExtent l="0" t="0" r="0" b="0"/>
              <wp:wrapNone/>
              <wp:docPr id="51899619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9092" cy="59390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AF5" w:rsidRDefault="009C4AF5" w14:paraId="150A6D1C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9C4AF5" w:rsidRDefault="00D95684" w14:paraId="43181680" w14:textId="7777777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805EF5B" wp14:editId="76BC4C26">
              <wp:simplePos x="0" y="0"/>
              <wp:positionH relativeFrom="column">
                <wp:posOffset>457200</wp:posOffset>
              </wp:positionH>
              <wp:positionV relativeFrom="paragraph">
                <wp:posOffset>-1396999</wp:posOffset>
              </wp:positionV>
              <wp:extent cx="5939092" cy="5939092"/>
              <wp:effectExtent l="0" t="0" r="0" b="0"/>
              <wp:wrapNone/>
              <wp:docPr id="102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C4AF5" w:rsidRDefault="009C4AF5" w14:paraId="30C242B2" w14:textId="77777777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distT="0" distB="0" distL="114300" distR="114300" simplePos="0" relativeHeight="0" behindDoc="0" locked="0" layoutInCell="1" hidden="0" allowOverlap="1" wp14:anchorId="47DC7214" wp14:editId="7777777">
              <wp:simplePos x="0" y="0"/>
              <wp:positionH relativeFrom="column">
                <wp:posOffset>457200</wp:posOffset>
              </wp:positionH>
              <wp:positionV relativeFrom="paragraph">
                <wp:posOffset>-1396999</wp:posOffset>
              </wp:positionV>
              <wp:extent cx="5939092" cy="5939092"/>
              <wp:effectExtent l="0" t="0" r="0" b="0"/>
              <wp:wrapNone/>
              <wp:docPr id="4372634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9092" cy="593909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F5"/>
    <w:rsid w:val="009C4AF5"/>
    <w:rsid w:val="00D95684"/>
    <w:rsid w:val="0CA9EC42"/>
    <w:rsid w:val="0F688C39"/>
    <w:rsid w:val="1457F5AF"/>
    <w:rsid w:val="1ABE8C13"/>
    <w:rsid w:val="2466DC82"/>
    <w:rsid w:val="2B1B0A70"/>
    <w:rsid w:val="33BAD4AD"/>
    <w:rsid w:val="4367F023"/>
    <w:rsid w:val="46B3E03A"/>
    <w:rsid w:val="483B6146"/>
    <w:rsid w:val="4B730208"/>
    <w:rsid w:val="4EDDB16F"/>
    <w:rsid w:val="59DBFDAC"/>
    <w:rsid w:val="5EC8B41A"/>
    <w:rsid w:val="659013B4"/>
    <w:rsid w:val="676A9896"/>
    <w:rsid w:val="6FB9727A"/>
    <w:rsid w:val="70D36B96"/>
    <w:rsid w:val="73DCE8A9"/>
    <w:rsid w:val="748CE39D"/>
    <w:rsid w:val="76609DE4"/>
    <w:rsid w:val="76E4D006"/>
    <w:rsid w:val="7E1A9D86"/>
    <w:rsid w:val="7F349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EF1E"/>
  <w15:docId w15:val="{FE1FEC58-6598-4B40-AEFC-189E791D1C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uppressAutoHyphens/>
      <w:ind w:left="-1" w:leftChars="-1" w:hanging="1" w:hangingChars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  <w:pPr>
      <w:spacing w:after="0" w:line="240" w:lineRule="auto"/>
    </w:p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styleId="FooterChar" w:customStyle="1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://www.mainelegislature.org/legis/bills/getPDF.asp?paper=HP0577&amp;item=3&amp;snum=130" TargetMode="External" Id="Rc84dd587e39742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aLPrhwgVu8hjE3pak4HqTHdVg==">AMUW2mX6ZRiuKusSxkQeQkVyM5onFZkUJU38CkGHLqyc9xc9KlzgGWH2cbxLItFZ1pKsRH7i7g6+6Zbk8zV24OhG6lpST48AZf4bu/qcS1vDeD/581hyHmxSibh6FsbrzS9Fa1gSoWnv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84906F9E80945B4E723D9DE907722" ma:contentTypeVersion="10" ma:contentTypeDescription="Create a new document." ma:contentTypeScope="" ma:versionID="2b1d95427151fa7afb12bc5ab3c23f39">
  <xsd:schema xmlns:xsd="http://www.w3.org/2001/XMLSchema" xmlns:xs="http://www.w3.org/2001/XMLSchema" xmlns:p="http://schemas.microsoft.com/office/2006/metadata/properties" xmlns:ns2="c2e37e28-b4ca-4624-a640-b5c53a9c8615" xmlns:ns3="68299678-6d43-419c-bdd6-a6df7e9a4298" targetNamespace="http://schemas.microsoft.com/office/2006/metadata/properties" ma:root="true" ma:fieldsID="5276b6201601d0c0084026a60653c700" ns2:_="" ns3:_="">
    <xsd:import namespace="c2e37e28-b4ca-4624-a640-b5c53a9c8615"/>
    <xsd:import namespace="68299678-6d43-419c-bdd6-a6df7e9a4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37e28-b4ca-4624-a640-b5c53a9c8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99678-6d43-419c-bdd6-a6df7e9a4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299678-6d43-419c-bdd6-a6df7e9a4298">
      <UserInfo>
        <DisplayName>Smith, Gordon</DisplayName>
        <AccountId>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3F69863-CD66-4A55-AE5B-286B20818A0D}"/>
</file>

<file path=customXml/itemProps3.xml><?xml version="1.0" encoding="utf-8"?>
<ds:datastoreItem xmlns:ds="http://schemas.openxmlformats.org/officeDocument/2006/customXml" ds:itemID="{E48894EB-CED2-4534-AC2A-21BBE0EEB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D8E7B-7D4E-46DD-B685-6EC412AE7404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2e37e28-b4ca-4624-a640-b5c53a9c8615"/>
    <ds:schemaRef ds:uri="http://schemas.openxmlformats.org/package/2006/metadata/core-properties"/>
    <ds:schemaRef ds:uri="68299678-6d43-419c-bdd6-a6df7e9a4298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Dube, Nancy</dc:creator>
  <lastModifiedBy>Poland, Emily</lastModifiedBy>
  <revision>4</revision>
  <dcterms:created xsi:type="dcterms:W3CDTF">2020-06-25T18:38:00.0000000Z</dcterms:created>
  <dcterms:modified xsi:type="dcterms:W3CDTF">2021-10-05T13:03:00.9231468Z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0x010100E9F84906F9E80945B4E723D9DE907722</vt:lpwstr>
  </property>
</Properties>
</file>